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Employment Termination Policy</w:t>
      </w:r>
    </w:p>
    <w:p>
      <w:pPr>
        <w:pStyle w:val="Author"/>
      </w:pPr>
      <w:r>
        <w:t xml:space="preserve">First Digital — DWx Policy Manager</w:t>
      </w:r>
    </w:p>
    <w:bookmarkStart w:id="17" w:name="employment-termination-policy"/>
    <w:p>
      <w:pPr>
        <w:pStyle w:val="Heading1"/>
      </w:pPr>
      <w:r>
        <w:t xml:space="preserve">Employment Termination Policy</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POL-HR-009</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January 2027</w:t>
            </w:r>
          </w:p>
        </w:tc>
      </w:tr>
      <w:tr>
        <w:tc>
          <w:tcPr/>
          <w:p>
            <w:pPr>
              <w:pStyle w:val="Compact"/>
            </w:pPr>
            <w:r>
              <w:t xml:space="preserve">Policy Owner</w:t>
            </w:r>
          </w:p>
        </w:tc>
        <w:tc>
          <w:tcPr/>
          <w:p>
            <w:pPr>
              <w:pStyle w:val="Compact"/>
            </w:pPr>
            <w:r>
              <w:t xml:space="preserve">Chief People Officer</w:t>
            </w:r>
          </w:p>
        </w:tc>
      </w:tr>
      <w:tr>
        <w:tc>
          <w:tcPr/>
          <w:p>
            <w:pPr>
              <w:pStyle w:val="Compact"/>
            </w:pPr>
            <w:r>
              <w:t xml:space="preserve">Classification</w:t>
            </w:r>
          </w:p>
        </w:tc>
        <w:tc>
          <w:tcPr/>
          <w:p>
            <w:pPr>
              <w:pStyle w:val="Compact"/>
            </w:pPr>
            <w:r>
              <w:t xml:space="preserve">Confidential — Managers and HR</w:t>
            </w:r>
          </w:p>
        </w:tc>
      </w:tr>
      <w:tr>
        <w:tc>
          <w:tcPr/>
          <w:p>
            <w:pPr>
              <w:pStyle w:val="Compact"/>
            </w:pPr>
            <w:r>
              <w:t xml:space="preserve">Compliance Risk</w:t>
            </w:r>
          </w:p>
        </w:tc>
        <w:tc>
          <w:tcPr/>
          <w:p>
            <w:pPr>
              <w:pStyle w:val="Compact"/>
            </w:pPr>
            <w:r>
              <w:t xml:space="preserve">Critical</w:t>
            </w:r>
          </w:p>
        </w:tc>
      </w:tr>
    </w:tbl>
    <w:bookmarkStart w:id="9" w:name="purpose"/>
    <w:p>
      <w:pPr>
        <w:pStyle w:val="Heading2"/>
      </w:pPr>
      <w:r>
        <w:t xml:space="preserve">1. Purpose</w:t>
      </w:r>
    </w:p>
    <w:p>
      <w:pPr>
        <w:pStyle w:val="FirstParagraph"/>
      </w:pPr>
      <w:r>
        <w:t xml:space="preserve">This policy outlines the procedures for managing all forms of employment termination at First Digital, ensuring compliance with employment legislation, fair treatment of departing employees, and protection of company interests.</w:t>
      </w:r>
    </w:p>
    <w:bookmarkEnd w:id="9"/>
    <w:bookmarkStart w:id="10" w:name="types-of-termination"/>
    <w:p>
      <w:pPr>
        <w:pStyle w:val="Heading2"/>
      </w:pPr>
      <w:r>
        <w:t xml:space="preserve">2. Types of Termination</w:t>
      </w:r>
    </w:p>
    <w:p>
      <w:pPr>
        <w:pStyle w:val="Compact"/>
        <w:numPr>
          <w:ilvl w:val="0"/>
          <w:numId w:val="1001"/>
        </w:numPr>
      </w:pPr>
      <w:r>
        <w:rPr>
          <w:b/>
          <w:bCs/>
        </w:rPr>
        <w:t xml:space="preserve">Resignation:</w:t>
      </w:r>
      <w:r>
        <w:t xml:space="preserve"> </w:t>
      </w:r>
      <w:r>
        <w:t xml:space="preserve">Voluntary departure initiated by the employee</w:t>
      </w:r>
    </w:p>
    <w:p>
      <w:pPr>
        <w:pStyle w:val="Compact"/>
        <w:numPr>
          <w:ilvl w:val="0"/>
          <w:numId w:val="1001"/>
        </w:numPr>
      </w:pPr>
      <w:r>
        <w:rPr>
          <w:b/>
          <w:bCs/>
        </w:rPr>
        <w:t xml:space="preserve">Redundancy:</w:t>
      </w:r>
      <w:r>
        <w:t xml:space="preserve"> </w:t>
      </w:r>
      <w:r>
        <w:t xml:space="preserve">Role elimination due to organisational restructuring</w:t>
      </w:r>
    </w:p>
    <w:p>
      <w:pPr>
        <w:pStyle w:val="Compact"/>
        <w:numPr>
          <w:ilvl w:val="0"/>
          <w:numId w:val="1001"/>
        </w:numPr>
      </w:pPr>
      <w:r>
        <w:rPr>
          <w:b/>
          <w:bCs/>
        </w:rPr>
        <w:t xml:space="preserve">Dismissal:</w:t>
      </w:r>
      <w:r>
        <w:t xml:space="preserve"> </w:t>
      </w:r>
      <w:r>
        <w:t xml:space="preserve">Involuntary termination due to performance or conduct</w:t>
      </w:r>
    </w:p>
    <w:p>
      <w:pPr>
        <w:pStyle w:val="Compact"/>
        <w:numPr>
          <w:ilvl w:val="0"/>
          <w:numId w:val="1001"/>
        </w:numPr>
      </w:pPr>
      <w:r>
        <w:rPr>
          <w:b/>
          <w:bCs/>
        </w:rPr>
        <w:t xml:space="preserve">End of Contract:</w:t>
      </w:r>
      <w:r>
        <w:t xml:space="preserve"> </w:t>
      </w:r>
      <w:r>
        <w:t xml:space="preserve">Expiry of a fixed-term engagement</w:t>
      </w:r>
    </w:p>
    <w:p>
      <w:pPr>
        <w:pStyle w:val="Compact"/>
        <w:numPr>
          <w:ilvl w:val="0"/>
          <w:numId w:val="1001"/>
        </w:numPr>
      </w:pPr>
      <w:r>
        <w:rPr>
          <w:b/>
          <w:bCs/>
        </w:rPr>
        <w:t xml:space="preserve">Mutual Agreement:</w:t>
      </w:r>
      <w:r>
        <w:t xml:space="preserve"> </w:t>
      </w:r>
      <w:r>
        <w:t xml:space="preserve">Agreed separation between employer and employee</w:t>
      </w:r>
    </w:p>
    <w:p>
      <w:pPr>
        <w:pStyle w:val="Compact"/>
        <w:numPr>
          <w:ilvl w:val="0"/>
          <w:numId w:val="1001"/>
        </w:numPr>
      </w:pPr>
      <w:r>
        <w:rPr>
          <w:b/>
          <w:bCs/>
        </w:rPr>
        <w:t xml:space="preserve">Retirement:</w:t>
      </w:r>
      <w:r>
        <w:t xml:space="preserve"> </w:t>
      </w:r>
      <w:r>
        <w:t xml:space="preserve">Voluntary departure upon reaching retirement</w:t>
      </w:r>
    </w:p>
    <w:bookmarkEnd w:id="10"/>
    <w:bookmarkStart w:id="11" w:name="notice-periods"/>
    <w:p>
      <w:pPr>
        <w:pStyle w:val="Heading2"/>
      </w:pPr>
      <w:r>
        <w:t xml:space="preserve">3. Notice Periods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Length of Service</w:t>
            </w:r>
          </w:p>
        </w:tc>
        <w:tc>
          <w:tcPr/>
          <w:p>
            <w:pPr>
              <w:pStyle w:val="Compact"/>
            </w:pPr>
            <w:r>
              <w:t xml:space="preserve">Employee Notice</w:t>
            </w:r>
          </w:p>
        </w:tc>
        <w:tc>
          <w:tcPr/>
          <w:p>
            <w:pPr>
              <w:pStyle w:val="Compact"/>
            </w:pPr>
            <w:r>
              <w:t xml:space="preserve">Employer Notice</w:t>
            </w:r>
          </w:p>
        </w:tc>
      </w:tr>
      <w:tr>
        <w:tc>
          <w:tcPr/>
          <w:p>
            <w:pPr>
              <w:pStyle w:val="Compact"/>
            </w:pPr>
            <w:r>
              <w:t xml:space="preserve">During probation</w:t>
            </w:r>
          </w:p>
        </w:tc>
        <w:tc>
          <w:tcPr/>
          <w:p>
            <w:pPr>
              <w:pStyle w:val="Compact"/>
            </w:pPr>
            <w:r>
              <w:t xml:space="preserve">1 week</w:t>
            </w:r>
          </w:p>
        </w:tc>
        <w:tc>
          <w:tcPr/>
          <w:p>
            <w:pPr>
              <w:pStyle w:val="Compact"/>
            </w:pPr>
            <w:r>
              <w:t xml:space="preserve">1 week</w:t>
            </w:r>
          </w:p>
        </w:tc>
      </w:tr>
      <w:tr>
        <w:tc>
          <w:tcPr/>
          <w:p>
            <w:pPr>
              <w:pStyle w:val="Compact"/>
            </w:pPr>
            <w:r>
              <w:t xml:space="preserve">Under 1 year</w:t>
            </w:r>
          </w:p>
        </w:tc>
        <w:tc>
          <w:tcPr/>
          <w:p>
            <w:pPr>
              <w:pStyle w:val="Compact"/>
            </w:pPr>
            <w:r>
              <w:t xml:space="preserve">2 weeks</w:t>
            </w:r>
          </w:p>
        </w:tc>
        <w:tc>
          <w:tcPr/>
          <w:p>
            <w:pPr>
              <w:pStyle w:val="Compact"/>
            </w:pPr>
            <w:r>
              <w:t xml:space="preserve">2 weeks</w:t>
            </w:r>
          </w:p>
        </w:tc>
      </w:tr>
      <w:tr>
        <w:tc>
          <w:tcPr/>
          <w:p>
            <w:pPr>
              <w:pStyle w:val="Compact"/>
            </w:pPr>
            <w:r>
              <w:t xml:space="preserve">1 - 3 years</w:t>
            </w:r>
          </w:p>
        </w:tc>
        <w:tc>
          <w:tcPr/>
          <w:p>
            <w:pPr>
              <w:pStyle w:val="Compact"/>
            </w:pPr>
            <w:r>
              <w:t xml:space="preserve">4 weeks</w:t>
            </w:r>
          </w:p>
        </w:tc>
        <w:tc>
          <w:tcPr/>
          <w:p>
            <w:pPr>
              <w:pStyle w:val="Compact"/>
            </w:pPr>
            <w:r>
              <w:t xml:space="preserve">4 weeks</w:t>
            </w:r>
          </w:p>
        </w:tc>
      </w:tr>
      <w:tr>
        <w:tc>
          <w:tcPr/>
          <w:p>
            <w:pPr>
              <w:pStyle w:val="Compact"/>
            </w:pPr>
            <w:r>
              <w:t xml:space="preserve">3 - 5 years</w:t>
            </w:r>
          </w:p>
        </w:tc>
        <w:tc>
          <w:tcPr/>
          <w:p>
            <w:pPr>
              <w:pStyle w:val="Compact"/>
            </w:pPr>
            <w:r>
              <w:t xml:space="preserve">4 weeks</w:t>
            </w:r>
          </w:p>
        </w:tc>
        <w:tc>
          <w:tcPr/>
          <w:p>
            <w:pPr>
              <w:pStyle w:val="Compact"/>
            </w:pPr>
            <w:r>
              <w:t xml:space="preserve">6 weeks</w:t>
            </w:r>
          </w:p>
        </w:tc>
      </w:tr>
      <w:tr>
        <w:tc>
          <w:tcPr/>
          <w:p>
            <w:pPr>
              <w:pStyle w:val="Compact"/>
            </w:pPr>
            <w:r>
              <w:t xml:space="preserve">5+ years</w:t>
            </w:r>
          </w:p>
        </w:tc>
        <w:tc>
          <w:tcPr/>
          <w:p>
            <w:pPr>
              <w:pStyle w:val="Compact"/>
            </w:pPr>
            <w:r>
              <w:t xml:space="preserve">4 weeks</w:t>
            </w:r>
          </w:p>
        </w:tc>
        <w:tc>
          <w:tcPr/>
          <w:p>
            <w:pPr>
              <w:pStyle w:val="Compact"/>
            </w:pPr>
            <w:r>
              <w:t xml:space="preserve">8 weeks</w:t>
            </w:r>
          </w:p>
        </w:tc>
      </w:tr>
      <w:tr>
        <w:tc>
          <w:tcPr/>
          <w:p>
            <w:pPr>
              <w:pStyle w:val="Compact"/>
            </w:pPr>
            <w:r>
              <w:t xml:space="preserve">Over 45 years of age (2+ yrs service)</w:t>
            </w:r>
          </w:p>
        </w:tc>
        <w:tc>
          <w:tcPr/>
          <w:p>
            <w:pPr>
              <w:pStyle w:val="Compact"/>
            </w:pPr>
            <w:r>
              <w:t xml:space="preserve">4 weeks</w:t>
            </w:r>
          </w:p>
        </w:tc>
        <w:tc>
          <w:tcPr/>
          <w:p>
            <w:pPr>
              <w:pStyle w:val="Compact"/>
            </w:pPr>
            <w:r>
              <w:t xml:space="preserve">+1 additional week</w:t>
            </w:r>
          </w:p>
        </w:tc>
      </w:tr>
    </w:tbl>
    <w:bookmarkEnd w:id="11"/>
    <w:bookmarkStart w:id="12" w:name="exit-process"/>
    <w:p>
      <w:pPr>
        <w:pStyle w:val="Heading2"/>
      </w:pPr>
      <w:r>
        <w:t xml:space="preserve">4. Exit Process</w:t>
      </w:r>
    </w:p>
    <w:p>
      <w:pPr>
        <w:pStyle w:val="Compact"/>
        <w:numPr>
          <w:ilvl w:val="0"/>
          <w:numId w:val="1002"/>
        </w:numPr>
      </w:pPr>
      <w:r>
        <w:rPr>
          <w:b/>
          <w:bCs/>
        </w:rPr>
        <w:t xml:space="preserve">Notification:</w:t>
      </w:r>
      <w:r>
        <w:t xml:space="preserve"> </w:t>
      </w:r>
      <w:r>
        <w:t xml:space="preserve">Employee submits written resignation to manager and HR, or employer provides written notice of termination</w:t>
      </w:r>
    </w:p>
    <w:p>
      <w:pPr>
        <w:pStyle w:val="Compact"/>
        <w:numPr>
          <w:ilvl w:val="0"/>
          <w:numId w:val="1002"/>
        </w:numPr>
      </w:pPr>
      <w:r>
        <w:rPr>
          <w:b/>
          <w:bCs/>
        </w:rPr>
        <w:t xml:space="preserve">Acknowledgement:</w:t>
      </w:r>
      <w:r>
        <w:t xml:space="preserve"> </w:t>
      </w:r>
      <w:r>
        <w:t xml:space="preserve">HR confirms receipt, last day of employment, and final pay date within 2 business days</w:t>
      </w:r>
    </w:p>
    <w:p>
      <w:pPr>
        <w:pStyle w:val="Compact"/>
        <w:numPr>
          <w:ilvl w:val="0"/>
          <w:numId w:val="1002"/>
        </w:numPr>
      </w:pPr>
      <w:r>
        <w:rPr>
          <w:b/>
          <w:bCs/>
        </w:rPr>
        <w:t xml:space="preserve">Knowledge Transfer:</w:t>
      </w:r>
      <w:r>
        <w:t xml:space="preserve"> </w:t>
      </w:r>
      <w:r>
        <w:t xml:space="preserve">Employee completes handover documentation and transitions responsibilities</w:t>
      </w:r>
    </w:p>
    <w:p>
      <w:pPr>
        <w:pStyle w:val="Compact"/>
        <w:numPr>
          <w:ilvl w:val="0"/>
          <w:numId w:val="1002"/>
        </w:numPr>
      </w:pPr>
      <w:r>
        <w:rPr>
          <w:b/>
          <w:bCs/>
        </w:rPr>
        <w:t xml:space="preserve">Exit Interview:</w:t>
      </w:r>
      <w:r>
        <w:t xml:space="preserve"> </w:t>
      </w:r>
      <w:r>
        <w:t xml:space="preserve">HR conducts a confidential exit interview to gather feedback</w:t>
      </w:r>
    </w:p>
    <w:p>
      <w:pPr>
        <w:pStyle w:val="Compact"/>
        <w:numPr>
          <w:ilvl w:val="0"/>
          <w:numId w:val="1002"/>
        </w:numPr>
      </w:pPr>
      <w:r>
        <w:rPr>
          <w:b/>
          <w:bCs/>
        </w:rPr>
        <w:t xml:space="preserve">IT Offboarding:</w:t>
      </w:r>
      <w:r>
        <w:t xml:space="preserve"> </w:t>
      </w:r>
      <w:r>
        <w:t xml:space="preserve">IT disables access to systems, retrieves equipment, and revokes credentials on the last day</w:t>
      </w:r>
    </w:p>
    <w:p>
      <w:pPr>
        <w:pStyle w:val="Compact"/>
        <w:numPr>
          <w:ilvl w:val="0"/>
          <w:numId w:val="1002"/>
        </w:numPr>
      </w:pPr>
      <w:r>
        <w:rPr>
          <w:b/>
          <w:bCs/>
        </w:rPr>
        <w:t xml:space="preserve">Final Pay:</w:t>
      </w:r>
      <w:r>
        <w:t xml:space="preserve"> </w:t>
      </w:r>
      <w:r>
        <w:t xml:space="preserve">All outstanding entitlements (salary, leave, expenses) are paid within the pay cycle following the last day</w:t>
      </w:r>
    </w:p>
    <w:bookmarkEnd w:id="12"/>
    <w:bookmarkStart w:id="13" w:name="redundancy"/>
    <w:p>
      <w:pPr>
        <w:pStyle w:val="Heading2"/>
      </w:pPr>
      <w:r>
        <w:t xml:space="preserve">5. Redundancy</w:t>
      </w:r>
    </w:p>
    <w:p>
      <w:pPr>
        <w:pStyle w:val="FirstParagraph"/>
      </w:pPr>
      <w:r>
        <w:rPr>
          <w:b/>
          <w:bCs/>
        </w:rPr>
        <w:t xml:space="preserve">Redundancy payments</w:t>
      </w:r>
      <w:r>
        <w:t xml:space="preserve"> </w:t>
      </w:r>
      <w:r>
        <w:t xml:space="preserve">are calculated at 4 weeks of base salary per year of service (pro-rata), capped at 16 weeks. Employees with less than 12 months of service are not eligible for redundancy pay. Outplacement support is provided for all redundancy-affected employees.</w:t>
      </w:r>
    </w:p>
    <w:bookmarkEnd w:id="13"/>
    <w:bookmarkStart w:id="14" w:name="return-of-company-property"/>
    <w:p>
      <w:pPr>
        <w:pStyle w:val="Heading2"/>
      </w:pPr>
      <w:r>
        <w:t xml:space="preserve">6. Return of Company Property</w:t>
      </w:r>
    </w:p>
    <w:p>
      <w:pPr>
        <w:pStyle w:val="FirstParagraph"/>
      </w:pPr>
      <w:r>
        <w:t xml:space="preserve">All company property must be returned on or before the last day of employment, including laptops, mobile phones, access cards, keys, uniforms, and any confidential documents or data.</w:t>
      </w:r>
    </w:p>
    <w:bookmarkEnd w:id="14"/>
    <w:bookmarkStart w:id="15" w:name="post-employment-obligations"/>
    <w:p>
      <w:pPr>
        <w:pStyle w:val="Heading2"/>
      </w:pPr>
      <w:r>
        <w:t xml:space="preserve">7. Post-Employment Obligations</w:t>
      </w:r>
    </w:p>
    <w:p>
      <w:pPr>
        <w:pStyle w:val="FirstParagraph"/>
      </w:pPr>
      <w:r>
        <w:t xml:space="preserve">Departing employees are reminded of their ongoing obligations under confidentiality agreements, intellectual property assignments, and any applicable restraint of trade clauses as outlined in their employment contract.</w:t>
      </w:r>
    </w:p>
    <w:bookmarkEnd w:id="15"/>
    <w:bookmarkStart w:id="16" w:name="references"/>
    <w:p>
      <w:pPr>
        <w:pStyle w:val="Heading2"/>
      </w:pPr>
      <w:r>
        <w:t xml:space="preserve">8. References</w:t>
      </w:r>
    </w:p>
    <w:p>
      <w:pPr>
        <w:pStyle w:val="FirstParagraph"/>
      </w:pPr>
      <w:r>
        <w:t xml:space="preserve">First Digital provides factual employment references confirming dates of employment, position held, and employment status. Character or performance references are not provided as standard but may be given at the discretion of the employee's manager.</w:t>
      </w:r>
    </w:p>
    <w:p>
      <w:pPr>
        <w:pStyle w:val="BodyText"/>
      </w:pPr>
      <w:r>
        <w:t xml:space="preserve">First Digital — DWx Policy Manager • Document generated for testing purposes • Version 1.0</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Termination Policy</dc:title>
  <dc:creator>First Digital — DWx Policy Manager</dc:creator>
  <cp:category>Human Resources</cp:category>
  <cp:keywords/>
  <dcterms:created xsi:type="dcterms:W3CDTF">2026-04-11T22:11:42Z</dcterms:created>
  <dcterms:modified xsi:type="dcterms:W3CDTF">2026-04-11T22:11:42Z</dcterms:modified>
</cp:coreProperties>
</file>

<file path=docProps/custom.xml><?xml version="1.0" encoding="utf-8"?>
<Properties xmlns="http://schemas.openxmlformats.org/officeDocument/2006/custom-properties" xmlns:vt="http://schemas.openxmlformats.org/officeDocument/2006/docPropsVTypes"/>
</file>