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 and Development Policy</w:t>
      </w:r>
    </w:p>
    <w:p>
      <w:pPr>
        <w:pStyle w:val="Author"/>
      </w:pPr>
      <w:r>
        <w:t xml:space="preserve">First Digital — DWx Policy Manager</w:t>
      </w:r>
    </w:p>
    <w:bookmarkStart w:id="18" w:name="training-and-development-policy"/>
    <w:p>
      <w:pPr>
        <w:pStyle w:val="Heading1"/>
      </w:pPr>
      <w:r>
        <w:t xml:space="preserve">Training and Development Policy</w:t>
      </w:r>
    </w:p>
    <w:tbl>
      <w:tblPr>
        <w:tblStyle w:val="Table"/>
        <w:tblW w:type="auto" w:w="0"/>
        <w:tblLook w:firstRow="0" w:lastRow="0" w:firstColumn="0" w:lastColumn="0" w:noHBand="0" w:noVBand="0" w:val="0000"/>
      </w:tblPr>
      <w:tblGrid>
        <w:gridCol w:w="3960"/>
        <w:gridCol w:w="3960"/>
      </w:tblGrid>
      <w:tr>
        <w:tc>
          <w:tcPr/>
          <w:p>
            <w:pPr>
              <w:pStyle w:val="Compact"/>
            </w:pPr>
            <w:r>
              <w:t xml:space="preserve">Policy Number</w:t>
            </w:r>
          </w:p>
        </w:tc>
        <w:tc>
          <w:tcPr/>
          <w:p>
            <w:pPr>
              <w:pStyle w:val="Compact"/>
            </w:pPr>
            <w:r>
              <w:t xml:space="preserve">POL-HR-005</w:t>
            </w:r>
          </w:p>
        </w:tc>
      </w:tr>
      <w:tr>
        <w:tc>
          <w:tcPr/>
          <w:p>
            <w:pPr>
              <w:pStyle w:val="Compact"/>
            </w:pPr>
            <w:r>
              <w:t xml:space="preserve">Effective Date</w:t>
            </w:r>
          </w:p>
        </w:tc>
        <w:tc>
          <w:tcPr/>
          <w:p>
            <w:pPr>
              <w:pStyle w:val="Compact"/>
            </w:pPr>
            <w:r>
              <w:t xml:space="preserve">1 January 2026</w:t>
            </w:r>
          </w:p>
        </w:tc>
      </w:tr>
      <w:tr>
        <w:tc>
          <w:tcPr/>
          <w:p>
            <w:pPr>
              <w:pStyle w:val="Compact"/>
            </w:pPr>
            <w:r>
              <w:t xml:space="preserve">Review Date</w:t>
            </w:r>
          </w:p>
        </w:tc>
        <w:tc>
          <w:tcPr/>
          <w:p>
            <w:pPr>
              <w:pStyle w:val="Compact"/>
            </w:pPr>
            <w:r>
              <w:t xml:space="preserve">1 January 2027</w:t>
            </w:r>
          </w:p>
        </w:tc>
      </w:tr>
      <w:tr>
        <w:tc>
          <w:tcPr/>
          <w:p>
            <w:pPr>
              <w:pStyle w:val="Compact"/>
            </w:pPr>
            <w:r>
              <w:t xml:space="preserve">Policy Owner</w:t>
            </w:r>
          </w:p>
        </w:tc>
        <w:tc>
          <w:tcPr/>
          <w:p>
            <w:pPr>
              <w:pStyle w:val="Compact"/>
            </w:pPr>
            <w:r>
              <w:t xml:space="preserve">Head of Learning &amp; Development</w:t>
            </w:r>
          </w:p>
        </w:tc>
      </w:tr>
      <w:tr>
        <w:tc>
          <w:tcPr/>
          <w:p>
            <w:pPr>
              <w:pStyle w:val="Compact"/>
            </w:pPr>
            <w:r>
              <w:t xml:space="preserve">Classification</w:t>
            </w:r>
          </w:p>
        </w:tc>
        <w:tc>
          <w:tcPr/>
          <w:p>
            <w:pPr>
              <w:pStyle w:val="Compact"/>
            </w:pPr>
            <w:r>
              <w:t xml:space="preserve">Internal — All Employees</w:t>
            </w:r>
          </w:p>
        </w:tc>
      </w:tr>
      <w:tr>
        <w:tc>
          <w:tcPr/>
          <w:p>
            <w:pPr>
              <w:pStyle w:val="Compact"/>
            </w:pPr>
            <w:r>
              <w:t xml:space="preserve">Compliance Risk</w:t>
            </w:r>
          </w:p>
        </w:tc>
        <w:tc>
          <w:tcPr/>
          <w:p>
            <w:pPr>
              <w:pStyle w:val="Compact"/>
            </w:pPr>
            <w:r>
              <w:t xml:space="preserve">Low</w:t>
            </w:r>
          </w:p>
        </w:tc>
      </w:tr>
    </w:tbl>
    <w:bookmarkStart w:id="9" w:name="purpose"/>
    <w:p>
      <w:pPr>
        <w:pStyle w:val="Heading2"/>
      </w:pPr>
      <w:r>
        <w:t xml:space="preserve">1. Purpose</w:t>
      </w:r>
    </w:p>
    <w:p>
      <w:pPr>
        <w:pStyle w:val="FirstParagraph"/>
      </w:pPr>
      <w:r>
        <w:t xml:space="preserve">First Digital recognises that continuous learning is essential to maintaining a skilled, engaged, and adaptable workforce. This policy establishes the framework for employee training and professional development across the organisation.</w:t>
      </w:r>
    </w:p>
    <w:bookmarkEnd w:id="9"/>
    <w:bookmarkStart w:id="10" w:name="learning-philosophy"/>
    <w:p>
      <w:pPr>
        <w:pStyle w:val="Heading2"/>
      </w:pPr>
      <w:r>
        <w:t xml:space="preserve">2. Learning Philosophy</w:t>
      </w:r>
    </w:p>
    <w:p>
      <w:pPr>
        <w:pStyle w:val="FirstParagraph"/>
      </w:pPr>
      <w:r>
        <w:t xml:space="preserve">We adopt a 70-20-10 learning model:</w:t>
      </w:r>
    </w:p>
    <w:p>
      <w:pPr>
        <w:pStyle w:val="Compact"/>
        <w:numPr>
          <w:ilvl w:val="0"/>
          <w:numId w:val="1001"/>
        </w:numPr>
      </w:pPr>
      <w:r>
        <w:rPr>
          <w:b/>
          <w:bCs/>
        </w:rPr>
        <w:t xml:space="preserve">70%</w:t>
      </w:r>
      <w:r>
        <w:t xml:space="preserve"> </w:t>
      </w:r>
      <w:r>
        <w:t xml:space="preserve">— On-the-job learning through projects, stretch assignments, and job rotations</w:t>
      </w:r>
    </w:p>
    <w:p>
      <w:pPr>
        <w:pStyle w:val="Compact"/>
        <w:numPr>
          <w:ilvl w:val="0"/>
          <w:numId w:val="1001"/>
        </w:numPr>
      </w:pPr>
      <w:r>
        <w:rPr>
          <w:b/>
          <w:bCs/>
        </w:rPr>
        <w:t xml:space="preserve">20%</w:t>
      </w:r>
      <w:r>
        <w:t xml:space="preserve"> </w:t>
      </w:r>
      <w:r>
        <w:t xml:space="preserve">— Social learning through mentoring, coaching, and peer collaboration</w:t>
      </w:r>
    </w:p>
    <w:p>
      <w:pPr>
        <w:pStyle w:val="Compact"/>
        <w:numPr>
          <w:ilvl w:val="0"/>
          <w:numId w:val="1001"/>
        </w:numPr>
      </w:pPr>
      <w:r>
        <w:rPr>
          <w:b/>
          <w:bCs/>
        </w:rPr>
        <w:t xml:space="preserve">10%</w:t>
      </w:r>
      <w:r>
        <w:t xml:space="preserve"> </w:t>
      </w:r>
      <w:r>
        <w:t xml:space="preserve">— Formal learning through courses, certifications, and workshops</w:t>
      </w:r>
    </w:p>
    <w:bookmarkEnd w:id="10"/>
    <w:bookmarkStart w:id="11" w:name="training-categories"/>
    <w:p>
      <w:pPr>
        <w:pStyle w:val="Heading2"/>
      </w:pPr>
      <w:r>
        <w:t xml:space="preserve">3. Training Categories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Description</w:t>
            </w:r>
          </w:p>
        </w:tc>
        <w:tc>
          <w:tcPr/>
          <w:p>
            <w:pPr>
              <w:pStyle w:val="Compact"/>
            </w:pPr>
            <w:r>
              <w:t xml:space="preserve">Frequency</w:t>
            </w:r>
          </w:p>
        </w:tc>
        <w:tc>
          <w:tcPr/>
          <w:p>
            <w:pPr>
              <w:pStyle w:val="Compact"/>
            </w:pPr>
            <w:r>
              <w:t xml:space="preserve">Mandatory</w:t>
            </w:r>
          </w:p>
        </w:tc>
      </w:tr>
      <w:tr>
        <w:tc>
          <w:tcPr/>
          <w:p>
            <w:pPr>
              <w:pStyle w:val="Compact"/>
            </w:pPr>
            <w:r>
              <w:t xml:space="preserve">Compliance Training</w:t>
            </w:r>
          </w:p>
        </w:tc>
        <w:tc>
          <w:tcPr/>
          <w:p>
            <w:pPr>
              <w:pStyle w:val="Compact"/>
            </w:pPr>
            <w:r>
              <w:t xml:space="preserve">Regulatory and legal requirements (WHS, privacy, anti-corruption)</w:t>
            </w:r>
          </w:p>
        </w:tc>
        <w:tc>
          <w:tcPr/>
          <w:p>
            <w:pPr>
              <w:pStyle w:val="Compact"/>
            </w:pPr>
            <w:r>
              <w:t xml:space="preserve">Annual</w:t>
            </w:r>
          </w:p>
        </w:tc>
        <w:tc>
          <w:tcPr/>
          <w:p>
            <w:pPr>
              <w:pStyle w:val="Compact"/>
            </w:pPr>
            <w:r>
              <w:t xml:space="preserve">Yes</w:t>
            </w:r>
          </w:p>
        </w:tc>
      </w:tr>
      <w:tr>
        <w:tc>
          <w:tcPr/>
          <w:p>
            <w:pPr>
              <w:pStyle w:val="Compact"/>
            </w:pPr>
            <w:r>
              <w:t xml:space="preserve">Technical Skills</w:t>
            </w:r>
          </w:p>
        </w:tc>
        <w:tc>
          <w:tcPr/>
          <w:p>
            <w:pPr>
              <w:pStyle w:val="Compact"/>
            </w:pPr>
            <w:r>
              <w:t xml:space="preserve">Role-specific technical capabilities and certifications</w:t>
            </w:r>
          </w:p>
        </w:tc>
        <w:tc>
          <w:tcPr/>
          <w:p>
            <w:pPr>
              <w:pStyle w:val="Compact"/>
            </w:pPr>
            <w:r>
              <w:t xml:space="preserve">Ongoing</w:t>
            </w:r>
          </w:p>
        </w:tc>
        <w:tc>
          <w:tcPr/>
          <w:p>
            <w:pPr>
              <w:pStyle w:val="Compact"/>
            </w:pPr>
            <w:r>
              <w:t xml:space="preserve">No</w:t>
            </w:r>
          </w:p>
        </w:tc>
      </w:tr>
      <w:tr>
        <w:tc>
          <w:tcPr/>
          <w:p>
            <w:pPr>
              <w:pStyle w:val="Compact"/>
            </w:pPr>
            <w:r>
              <w:t xml:space="preserve">Leadership Development</w:t>
            </w:r>
          </w:p>
        </w:tc>
        <w:tc>
          <w:tcPr/>
          <w:p>
            <w:pPr>
              <w:pStyle w:val="Compact"/>
            </w:pPr>
            <w:r>
              <w:t xml:space="preserve">Management and leadership programmes for current and emerging leaders</w:t>
            </w:r>
          </w:p>
        </w:tc>
        <w:tc>
          <w:tcPr/>
          <w:p>
            <w:pPr>
              <w:pStyle w:val="Compact"/>
            </w:pPr>
            <w:r>
              <w:t xml:space="preserve">Annual</w:t>
            </w:r>
          </w:p>
        </w:tc>
        <w:tc>
          <w:tcPr/>
          <w:p>
            <w:pPr>
              <w:pStyle w:val="Compact"/>
            </w:pPr>
            <w:r>
              <w:t xml:space="preserve">For managers</w:t>
            </w:r>
          </w:p>
        </w:tc>
      </w:tr>
      <w:tr>
        <w:tc>
          <w:tcPr/>
          <w:p>
            <w:pPr>
              <w:pStyle w:val="Compact"/>
            </w:pPr>
            <w:r>
              <w:t xml:space="preserve">Onboarding</w:t>
            </w:r>
          </w:p>
        </w:tc>
        <w:tc>
          <w:tcPr/>
          <w:p>
            <w:pPr>
              <w:pStyle w:val="Compact"/>
            </w:pPr>
            <w:r>
              <w:t xml:space="preserve">New hire orientation and role-specific induction</w:t>
            </w:r>
          </w:p>
        </w:tc>
        <w:tc>
          <w:tcPr/>
          <w:p>
            <w:pPr>
              <w:pStyle w:val="Compact"/>
            </w:pPr>
            <w:r>
              <w:t xml:space="preserve">First 90 days</w:t>
            </w:r>
          </w:p>
        </w:tc>
        <w:tc>
          <w:tcPr/>
          <w:p>
            <w:pPr>
              <w:pStyle w:val="Compact"/>
            </w:pPr>
            <w:r>
              <w:t xml:space="preserve">Yes</w:t>
            </w:r>
          </w:p>
        </w:tc>
      </w:tr>
      <w:tr>
        <w:tc>
          <w:tcPr/>
          <w:p>
            <w:pPr>
              <w:pStyle w:val="Compact"/>
            </w:pPr>
            <w:r>
              <w:t xml:space="preserve">Professional Development</w:t>
            </w:r>
          </w:p>
        </w:tc>
        <w:tc>
          <w:tcPr/>
          <w:p>
            <w:pPr>
              <w:pStyle w:val="Compact"/>
            </w:pPr>
            <w:r>
              <w:t xml:space="preserve">Industry conferences, external courses, professional memberships</w:t>
            </w:r>
          </w:p>
        </w:tc>
        <w:tc>
          <w:tcPr/>
          <w:p>
            <w:pPr>
              <w:pStyle w:val="Compact"/>
            </w:pPr>
            <w:r>
              <w:t xml:space="preserve">As approved</w:t>
            </w:r>
          </w:p>
        </w:tc>
        <w:tc>
          <w:tcPr/>
          <w:p>
            <w:pPr>
              <w:pStyle w:val="Compact"/>
            </w:pPr>
            <w:r>
              <w:t xml:space="preserve">No</w:t>
            </w:r>
          </w:p>
        </w:tc>
      </w:tr>
    </w:tbl>
    <w:bookmarkEnd w:id="11"/>
    <w:bookmarkStart w:id="12" w:name="learning-budget"/>
    <w:p>
      <w:pPr>
        <w:pStyle w:val="Heading2"/>
      </w:pPr>
      <w:r>
        <w:t xml:space="preserve">4. Learning Budget</w:t>
      </w:r>
    </w:p>
    <w:p>
      <w:pPr>
        <w:pStyle w:val="FirstParagraph"/>
      </w:pPr>
      <w:r>
        <w:t xml:space="preserve">Each employee receives an annual learning budget of</w:t>
      </w:r>
      <w:r>
        <w:t xml:space="preserve"> </w:t>
      </w:r>
      <w:r>
        <w:rPr>
          <w:b/>
          <w:bCs/>
        </w:rPr>
        <w:t xml:space="preserve">$2,000 AUD</w:t>
      </w:r>
      <w:r>
        <w:t xml:space="preserve">. Managers may approve expenditure up to $5,000 for strategic skill development aligned with business objectives. Amounts exceeding $5,000 require VP-level approval.</w:t>
      </w:r>
    </w:p>
    <w:bookmarkEnd w:id="12"/>
    <w:bookmarkStart w:id="13" w:name="study-leave"/>
    <w:p>
      <w:pPr>
        <w:pStyle w:val="Heading2"/>
      </w:pPr>
      <w:r>
        <w:t xml:space="preserve">5. Study Leave</w:t>
      </w:r>
    </w:p>
    <w:p>
      <w:pPr>
        <w:pStyle w:val="FirstParagraph"/>
      </w:pPr>
      <w:r>
        <w:t xml:space="preserve">Employees undertaking approved study programmes are entitled to 5 days of paid study leave per year. Additional unpaid study leave may be negotiated with the employee's manager and HR.</w:t>
      </w:r>
    </w:p>
    <w:bookmarkEnd w:id="13"/>
    <w:bookmarkStart w:id="14" w:name="certification-support"/>
    <w:p>
      <w:pPr>
        <w:pStyle w:val="Heading2"/>
      </w:pPr>
      <w:r>
        <w:t xml:space="preserve">6. Certification Support</w:t>
      </w:r>
    </w:p>
    <w:p>
      <w:pPr>
        <w:pStyle w:val="FirstParagraph"/>
      </w:pPr>
      <w:r>
        <w:t xml:space="preserve">First Digital will fund one professional certification per year per employee, subject to manager approval and relevance to the employee's role or career path. Upon successful completion, the employee must remain with the company for 12 months or reimburse costs on a pro-rata basis.</w:t>
      </w:r>
    </w:p>
    <w:bookmarkEnd w:id="14"/>
    <w:bookmarkStart w:id="15" w:name="mentoring-programme"/>
    <w:p>
      <w:pPr>
        <w:pStyle w:val="Heading2"/>
      </w:pPr>
      <w:r>
        <w:t xml:space="preserve">7. Mentoring Programme</w:t>
      </w:r>
    </w:p>
    <w:p>
      <w:pPr>
        <w:pStyle w:val="FirstParagraph"/>
      </w:pPr>
      <w:r>
        <w:t xml:space="preserve">A formal mentoring programme pairs junior employees with senior leaders for a 12-month period. Mentoring pairs meet monthly, with structured goals and mid-programme reviews facilitated by L&amp;D.</w:t>
      </w:r>
    </w:p>
    <w:bookmarkEnd w:id="15"/>
    <w:bookmarkStart w:id="16" w:name="training-records"/>
    <w:p>
      <w:pPr>
        <w:pStyle w:val="Heading2"/>
      </w:pPr>
      <w:r>
        <w:t xml:space="preserve">8. Training Records</w:t>
      </w:r>
    </w:p>
    <w:p>
      <w:pPr>
        <w:pStyle w:val="FirstParagraph"/>
      </w:pPr>
      <w:r>
        <w:t xml:space="preserve">All training completions are recorded in the company Learning Management System (LMS) and tracked through the DWx Policy Manager for compliance-related training. Managers can view team training status through the Manager Dashboard.</w:t>
      </w:r>
    </w:p>
    <w:bookmarkEnd w:id="16"/>
    <w:bookmarkStart w:id="17" w:name="evaluation"/>
    <w:p>
      <w:pPr>
        <w:pStyle w:val="Heading2"/>
      </w:pPr>
      <w:r>
        <w:t xml:space="preserve">9. Evaluation</w:t>
      </w:r>
    </w:p>
    <w:p>
      <w:pPr>
        <w:pStyle w:val="FirstParagraph"/>
      </w:pPr>
      <w:r>
        <w:t xml:space="preserve">Training effectiveness is measured using Kirkpatrick's four-level model: Reaction, Learning, Behaviour, and Results. Post-training surveys are mandatory for all formal learning activities.</w:t>
      </w:r>
    </w:p>
    <w:p>
      <w:pPr>
        <w:pStyle w:val="BodyText"/>
      </w:pPr>
      <w:r>
        <w:t xml:space="preserve">First Digital — DWx Policy Manager • Document generated for testing purposes • Version 1.0</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and Development Policy</dc:title>
  <dc:creator>First Digital — DWx Policy Manager</dc:creator>
  <cp:category>Human Resources</cp:category>
  <cp:keywords/>
  <dcterms:created xsi:type="dcterms:W3CDTF">2026-04-11T22:11:43Z</dcterms:created>
  <dcterms:modified xsi:type="dcterms:W3CDTF">2026-04-11T22:11:43Z</dcterms:modified>
</cp:coreProperties>
</file>

<file path=docProps/custom.xml><?xml version="1.0" encoding="utf-8"?>
<Properties xmlns="http://schemas.openxmlformats.org/officeDocument/2006/custom-properties" xmlns:vt="http://schemas.openxmlformats.org/officeDocument/2006/docPropsVTypes"/>
</file>