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Whistleblower Protection Policy - First Digital</w:t>
      </w:r>
    </w:p>
    <w:bookmarkStart w:id="18" w:name="whistleblower-protection-policy"/>
    <w:p>
      <w:pPr>
        <w:pStyle w:val="Heading1"/>
      </w:pPr>
      <w:r>
        <w:t xml:space="preserve">Whistleblower Protection Policy</w:t>
      </w:r>
    </w:p>
    <w:p>
      <w:pPr>
        <w:pStyle w:val="FirstParagraph"/>
      </w:pPr>
      <w:r>
        <w:t xml:space="preserve">Policy ID: FD-LC-008 | Version 3.0 | Effective: 1 October 2025</w:t>
      </w:r>
    </w:p>
    <w:p>
      <w:pPr>
        <w:pStyle w:val="BodyText"/>
      </w:pPr>
      <w:r>
        <w:rPr>
          <w:b/>
          <w:bCs/>
        </w:rPr>
        <w:t xml:space="preserve">Your Protection:</w:t>
      </w:r>
      <w:r>
        <w:t xml:space="preserve"> </w:t>
      </w:r>
      <w:r>
        <w:t xml:space="preserve">First Digital is committed to protecting whistleblowers. If you report a concern in good faith, you will be protected from retaliation regardless of the outcome of the investigation. Anonymous reports are accepted and investigated with the same rigour as identified reports.</w:t>
      </w:r>
    </w:p>
    <w:bookmarkStart w:id="9" w:name="purpose"/>
    <w:p>
      <w:pPr>
        <w:pStyle w:val="Heading2"/>
      </w:pPr>
      <w:r>
        <w:t xml:space="preserve">1. Purpose</w:t>
      </w:r>
    </w:p>
    <w:p>
      <w:pPr>
        <w:pStyle w:val="FirstParagraph"/>
      </w:pPr>
      <w:r>
        <w:t xml:space="preserve">This policy encourages and facilitates the reporting of wrongdoing, misconduct, or dangers within First Digital. It establishes safe, confidential channels for raising concerns and sets out the protections available to individuals who make disclosures. First Digital recognises that employees are often the first to detect unethical or illegal conduct and values their courage in speaking up.</w:t>
      </w:r>
    </w:p>
    <w:bookmarkEnd w:id="9"/>
    <w:bookmarkStart w:id="10" w:name="scope"/>
    <w:p>
      <w:pPr>
        <w:pStyle w:val="Heading2"/>
      </w:pPr>
      <w:r>
        <w:t xml:space="preserve">2. Scope</w:t>
      </w:r>
    </w:p>
    <w:p>
      <w:pPr>
        <w:pStyle w:val="FirstParagraph"/>
      </w:pPr>
      <w:r>
        <w:t xml:space="preserve">This policy applies to all current and former employees, directors, officers, contractors, suppliers, and their relatives or dependants. It covers disclosures made about First Digital or any of its subsidiaries, officers, or employees.</w:t>
      </w:r>
    </w:p>
    <w:bookmarkEnd w:id="10"/>
    <w:bookmarkStart w:id="11" w:name="what-can-be-reported"/>
    <w:p>
      <w:pPr>
        <w:pStyle w:val="Heading2"/>
      </w:pPr>
      <w:r>
        <w:t xml:space="preserve">3. What Can Be Reported</w:t>
      </w:r>
    </w:p>
    <w:p>
      <w:pPr>
        <w:pStyle w:val="FirstParagraph"/>
      </w:pPr>
      <w:r>
        <w:t xml:space="preserve">A qualifying disclosure is a report of conduct that the discloser has reasonable grounds to suspect involves:</w:t>
      </w:r>
    </w:p>
    <w:p>
      <w:pPr>
        <w:pStyle w:val="Compact"/>
        <w:numPr>
          <w:ilvl w:val="0"/>
          <w:numId w:val="1001"/>
        </w:numPr>
      </w:pPr>
      <w:r>
        <w:t xml:space="preserve">Fraud, theft, corruption, or bribery.</w:t>
      </w:r>
    </w:p>
    <w:p>
      <w:pPr>
        <w:pStyle w:val="Compact"/>
        <w:numPr>
          <w:ilvl w:val="0"/>
          <w:numId w:val="1001"/>
        </w:numPr>
      </w:pPr>
      <w:r>
        <w:t xml:space="preserve">Breaches of law, regulation, or licence conditions.</w:t>
      </w:r>
    </w:p>
    <w:p>
      <w:pPr>
        <w:pStyle w:val="Compact"/>
        <w:numPr>
          <w:ilvl w:val="0"/>
          <w:numId w:val="1001"/>
        </w:numPr>
      </w:pPr>
      <w:r>
        <w:t xml:space="preserve">Financial irregularities, including misrepresentation of financial position.</w:t>
      </w:r>
    </w:p>
    <w:p>
      <w:pPr>
        <w:pStyle w:val="Compact"/>
        <w:numPr>
          <w:ilvl w:val="0"/>
          <w:numId w:val="1001"/>
        </w:numPr>
      </w:pPr>
      <w:r>
        <w:t xml:space="preserve">Negligent, reckless, or deliberate conduct that poses a danger to public health or safety.</w:t>
      </w:r>
    </w:p>
    <w:p>
      <w:pPr>
        <w:pStyle w:val="Compact"/>
        <w:numPr>
          <w:ilvl w:val="0"/>
          <w:numId w:val="1001"/>
        </w:numPr>
      </w:pPr>
      <w:r>
        <w:t xml:space="preserve">Harassment, discrimination, or bullying that is systemic or involves senior management.</w:t>
      </w:r>
    </w:p>
    <w:p>
      <w:pPr>
        <w:pStyle w:val="Compact"/>
        <w:numPr>
          <w:ilvl w:val="0"/>
          <w:numId w:val="1001"/>
        </w:numPr>
      </w:pPr>
      <w:r>
        <w:t xml:space="preserve">Environmental damage or breaches of environmental regulations.</w:t>
      </w:r>
    </w:p>
    <w:p>
      <w:pPr>
        <w:pStyle w:val="Compact"/>
        <w:numPr>
          <w:ilvl w:val="0"/>
          <w:numId w:val="1001"/>
        </w:numPr>
      </w:pPr>
      <w:r>
        <w:t xml:space="preserve">Deliberate concealment of any of the above.</w:t>
      </w:r>
    </w:p>
    <w:p>
      <w:pPr>
        <w:pStyle w:val="FirstParagraph"/>
      </w:pPr>
      <w:r>
        <w:t xml:space="preserve">Personal grievances (e.g., interpersonal conflicts, performance management disagreements) that do not involve broader misconduct are generally not covered by this policy and should be raised through the Grievance Resolution Procedure.</w:t>
      </w:r>
    </w:p>
    <w:bookmarkEnd w:id="11"/>
    <w:bookmarkStart w:id="12" w:name="how-to-report"/>
    <w:p>
      <w:pPr>
        <w:pStyle w:val="Heading2"/>
      </w:pPr>
      <w:r>
        <w:t xml:space="preserve">4. How to Report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Details</w:t>
            </w:r>
          </w:p>
        </w:tc>
        <w:tc>
          <w:tcPr/>
          <w:p>
            <w:pPr>
              <w:pStyle w:val="Compact"/>
            </w:pPr>
            <w:r>
              <w:t xml:space="preserve">Availability</w:t>
            </w:r>
          </w:p>
        </w:tc>
      </w:tr>
      <w:tr>
        <w:tc>
          <w:tcPr/>
          <w:p>
            <w:pPr>
              <w:pStyle w:val="Compact"/>
            </w:pPr>
            <w:r>
              <w:rPr>
                <w:b/>
                <w:bCs/>
              </w:rPr>
              <w:t xml:space="preserve">Whistleblower Protection Officer</w:t>
            </w:r>
          </w:p>
        </w:tc>
        <w:tc>
          <w:tcPr/>
          <w:p>
            <w:pPr>
              <w:pStyle w:val="Compact"/>
            </w:pPr>
            <w:r>
              <w:t xml:space="preserve">General Counsel — whistleblower@firstdigital.com</w:t>
            </w:r>
          </w:p>
        </w:tc>
        <w:tc>
          <w:tcPr/>
          <w:p>
            <w:pPr>
              <w:pStyle w:val="Compact"/>
            </w:pPr>
            <w:r>
              <w:t xml:space="preserve">Business hours</w:t>
            </w:r>
          </w:p>
        </w:tc>
      </w:tr>
      <w:tr>
        <w:tc>
          <w:tcPr/>
          <w:p>
            <w:pPr>
              <w:pStyle w:val="Compact"/>
            </w:pPr>
            <w:r>
              <w:rPr>
                <w:b/>
                <w:bCs/>
              </w:rPr>
              <w:t xml:space="preserve">External Hotline</w:t>
            </w:r>
          </w:p>
        </w:tc>
        <w:tc>
          <w:tcPr/>
          <w:p>
            <w:pPr>
              <w:pStyle w:val="Compact"/>
            </w:pPr>
            <w:r>
              <w:t xml:space="preserve">Independent service: 1800 555 0123 (Australia) / +61 2 5555 0123 (International)</w:t>
            </w:r>
          </w:p>
        </w:tc>
        <w:tc>
          <w:tcPr/>
          <w:p>
            <w:pPr>
              <w:pStyle w:val="Compact"/>
            </w:pPr>
            <w:r>
              <w:t xml:space="preserve">24/7, anonymous</w:t>
            </w:r>
          </w:p>
        </w:tc>
      </w:tr>
      <w:tr>
        <w:tc>
          <w:tcPr/>
          <w:p>
            <w:pPr>
              <w:pStyle w:val="Compact"/>
            </w:pPr>
            <w:r>
              <w:rPr>
                <w:b/>
                <w:bCs/>
              </w:rPr>
              <w:t xml:space="preserve">Online Portal</w:t>
            </w:r>
          </w:p>
        </w:tc>
        <w:tc>
          <w:tcPr/>
          <w:p>
            <w:pPr>
              <w:pStyle w:val="Compact"/>
            </w:pPr>
            <w:r>
              <w:t xml:space="preserve">https://firstdigital.ethicspoint.com — secure, anonymous submission</w:t>
            </w:r>
          </w:p>
        </w:tc>
        <w:tc>
          <w:tcPr/>
          <w:p>
            <w:pPr>
              <w:pStyle w:val="Compact"/>
            </w:pPr>
            <w:r>
              <w:t xml:space="preserve">24/7</w:t>
            </w:r>
          </w:p>
        </w:tc>
      </w:tr>
      <w:tr>
        <w:tc>
          <w:tcPr/>
          <w:p>
            <w:pPr>
              <w:pStyle w:val="Compact"/>
            </w:pPr>
            <w:r>
              <w:rPr>
                <w:b/>
                <w:bCs/>
              </w:rPr>
              <w:t xml:space="preserve">Board Audit Committee</w:t>
            </w:r>
          </w:p>
        </w:tc>
        <w:tc>
          <w:tcPr/>
          <w:p>
            <w:pPr>
              <w:pStyle w:val="Compact"/>
            </w:pPr>
            <w:r>
              <w:t xml:space="preserve">Chair of Audit Committee — via Company Secretary</w:t>
            </w:r>
          </w:p>
        </w:tc>
        <w:tc>
          <w:tcPr/>
          <w:p>
            <w:pPr>
              <w:pStyle w:val="Compact"/>
            </w:pPr>
            <w:r>
              <w:t xml:space="preserve">Written submission</w:t>
            </w:r>
          </w:p>
        </w:tc>
      </w:tr>
      <w:tr>
        <w:tc>
          <w:tcPr/>
          <w:p>
            <w:pPr>
              <w:pStyle w:val="Compact"/>
            </w:pPr>
            <w:r>
              <w:rPr>
                <w:b/>
                <w:bCs/>
              </w:rPr>
              <w:t xml:space="preserve">External Regulator</w:t>
            </w:r>
          </w:p>
        </w:tc>
        <w:tc>
          <w:tcPr/>
          <w:p>
            <w:pPr>
              <w:pStyle w:val="Compact"/>
            </w:pPr>
            <w:r>
              <w:t xml:space="preserve">ASIC, APRA, ATO, or other relevant regulator (where legally entitled)</w:t>
            </w:r>
          </w:p>
        </w:tc>
        <w:tc>
          <w:tcPr/>
          <w:p>
            <w:pPr>
              <w:pStyle w:val="Compact"/>
            </w:pPr>
            <w:r>
              <w:t xml:space="preserve">As per regulator</w:t>
            </w:r>
          </w:p>
        </w:tc>
      </w:tr>
    </w:tbl>
    <w:bookmarkEnd w:id="12"/>
    <w:bookmarkStart w:id="13" w:name="confidentiality"/>
    <w:p>
      <w:pPr>
        <w:pStyle w:val="Heading2"/>
      </w:pPr>
      <w:r>
        <w:t xml:space="preserve">5. Confidentiality</w:t>
      </w:r>
    </w:p>
    <w:p>
      <w:pPr>
        <w:pStyle w:val="FirstParagraph"/>
      </w:pPr>
      <w:r>
        <w:t xml:space="preserve">The identity of a whistleblower will be kept confidential to the greatest extent possible. Disclosure of a whistleblower's identity without consent is prohibited except where required by law or where necessary to prevent a serious and imminent threat. Information shared during an investigation will be limited to those with a genuine need to know. Breach of confidentiality will be treated as a serious disciplinary matter.</w:t>
      </w:r>
    </w:p>
    <w:bookmarkEnd w:id="13"/>
    <w:bookmarkStart w:id="14" w:name="protection-from-retaliation"/>
    <w:p>
      <w:pPr>
        <w:pStyle w:val="Heading2"/>
      </w:pPr>
      <w:r>
        <w:t xml:space="preserve">6. Protection from Retaliation</w:t>
      </w:r>
    </w:p>
    <w:p>
      <w:pPr>
        <w:pStyle w:val="FirstParagraph"/>
      </w:pPr>
      <w:r>
        <w:t xml:space="preserve">First Digital will not tolerate any form of retaliation against a person who makes a qualifying disclosure. Retaliation includes but is not limited to:</w:t>
      </w:r>
    </w:p>
    <w:p>
      <w:pPr>
        <w:pStyle w:val="Compact"/>
        <w:numPr>
          <w:ilvl w:val="0"/>
          <w:numId w:val="1002"/>
        </w:numPr>
      </w:pPr>
      <w:r>
        <w:t xml:space="preserve">Dismissal, demotion, or refusal of promotion.</w:t>
      </w:r>
    </w:p>
    <w:p>
      <w:pPr>
        <w:pStyle w:val="Compact"/>
        <w:numPr>
          <w:ilvl w:val="0"/>
          <w:numId w:val="1002"/>
        </w:numPr>
      </w:pPr>
      <w:r>
        <w:t xml:space="preserve">Harassment, intimidation, or threats.</w:t>
      </w:r>
    </w:p>
    <w:p>
      <w:pPr>
        <w:pStyle w:val="Compact"/>
        <w:numPr>
          <w:ilvl w:val="0"/>
          <w:numId w:val="1002"/>
        </w:numPr>
      </w:pPr>
      <w:r>
        <w:t xml:space="preserve">Exclusion from projects, meetings, or professional development opportunities.</w:t>
      </w:r>
    </w:p>
    <w:p>
      <w:pPr>
        <w:pStyle w:val="Compact"/>
        <w:numPr>
          <w:ilvl w:val="0"/>
          <w:numId w:val="1002"/>
        </w:numPr>
      </w:pPr>
      <w:r>
        <w:t xml:space="preserve">Adverse changes to terms and conditions of employment.</w:t>
      </w:r>
    </w:p>
    <w:p>
      <w:pPr>
        <w:pStyle w:val="Compact"/>
        <w:numPr>
          <w:ilvl w:val="0"/>
          <w:numId w:val="1002"/>
        </w:numPr>
      </w:pPr>
      <w:r>
        <w:t xml:space="preserve">Any other conduct that constitutes detriment to the discloser.</w:t>
      </w:r>
    </w:p>
    <w:p>
      <w:pPr>
        <w:pStyle w:val="FirstParagraph"/>
      </w:pPr>
      <w:r>
        <w:t xml:space="preserve">Any employee who retaliates against a whistleblower will face disciplinary action up to and including termination. Whistleblowers who believe they have experienced retaliation should report it to the Whistleblower Protection Officer or the external hotline.</w:t>
      </w:r>
    </w:p>
    <w:bookmarkEnd w:id="14"/>
    <w:bookmarkStart w:id="15" w:name="investigation-process"/>
    <w:p>
      <w:pPr>
        <w:pStyle w:val="Heading2"/>
      </w:pPr>
      <w:r>
        <w:t xml:space="preserve">7. Investigation Process</w:t>
      </w:r>
    </w:p>
    <w:p>
      <w:pPr>
        <w:pStyle w:val="Compact"/>
        <w:numPr>
          <w:ilvl w:val="0"/>
          <w:numId w:val="1003"/>
        </w:numPr>
      </w:pPr>
      <w:r>
        <w:rPr>
          <w:b/>
          <w:bCs/>
        </w:rPr>
        <w:t xml:space="preserve">Receipt and Acknowledgement:</w:t>
      </w:r>
      <w:r>
        <w:t xml:space="preserve"> </w:t>
      </w:r>
      <w:r>
        <w:t xml:space="preserve">The Whistleblower Protection Officer acknowledges receipt within 48 hours (or as soon as practicable for anonymous reports).</w:t>
      </w:r>
    </w:p>
    <w:p>
      <w:pPr>
        <w:pStyle w:val="Compact"/>
        <w:numPr>
          <w:ilvl w:val="0"/>
          <w:numId w:val="1003"/>
        </w:numPr>
      </w:pPr>
      <w:r>
        <w:rPr>
          <w:b/>
          <w:bCs/>
        </w:rPr>
        <w:t xml:space="preserve">Assessment:</w:t>
      </w:r>
      <w:r>
        <w:t xml:space="preserve"> </w:t>
      </w:r>
      <w:r>
        <w:t xml:space="preserve">The disclosure is assessed to determine whether it constitutes a qualifying disclosure and the appropriate investigation approach.</w:t>
      </w:r>
    </w:p>
    <w:p>
      <w:pPr>
        <w:pStyle w:val="Compact"/>
        <w:numPr>
          <w:ilvl w:val="0"/>
          <w:numId w:val="1003"/>
        </w:numPr>
      </w:pPr>
      <w:r>
        <w:rPr>
          <w:b/>
          <w:bCs/>
        </w:rPr>
        <w:t xml:space="preserve">Investigation:</w:t>
      </w:r>
      <w:r>
        <w:t xml:space="preserve"> </w:t>
      </w:r>
      <w:r>
        <w:t xml:space="preserve">An independent investigator (internal or external) is appointed. The investigation is conducted fairly, objectively, and with due regard for confidentiality.</w:t>
      </w:r>
    </w:p>
    <w:p>
      <w:pPr>
        <w:pStyle w:val="Compact"/>
        <w:numPr>
          <w:ilvl w:val="0"/>
          <w:numId w:val="1003"/>
        </w:numPr>
      </w:pPr>
      <w:r>
        <w:rPr>
          <w:b/>
          <w:bCs/>
        </w:rPr>
        <w:t xml:space="preserve">Findings and Action:</w:t>
      </w:r>
      <w:r>
        <w:t xml:space="preserve"> </w:t>
      </w:r>
      <w:r>
        <w:t xml:space="preserve">Investigation findings are reported to the Whistleblower Protection Officer and, where appropriate, to the Board Audit Committee. Corrective action is taken as warranted.</w:t>
      </w:r>
    </w:p>
    <w:p>
      <w:pPr>
        <w:pStyle w:val="Compact"/>
        <w:numPr>
          <w:ilvl w:val="0"/>
          <w:numId w:val="1003"/>
        </w:numPr>
      </w:pPr>
      <w:r>
        <w:rPr>
          <w:b/>
          <w:bCs/>
        </w:rPr>
        <w:t xml:space="preserve">Feedback:</w:t>
      </w:r>
      <w:r>
        <w:t xml:space="preserve"> </w:t>
      </w:r>
      <w:r>
        <w:t xml:space="preserve">The discloser is informed of the outcome to the extent possible without compromising confidentiality or legal privilege.</w:t>
      </w:r>
    </w:p>
    <w:bookmarkEnd w:id="15"/>
    <w:bookmarkStart w:id="16" w:name="responsibilities"/>
    <w:p>
      <w:pPr>
        <w:pStyle w:val="Heading2"/>
      </w:pPr>
      <w:r>
        <w:t xml:space="preserve">8.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Whistleblower Protection Officer</w:t>
            </w:r>
          </w:p>
        </w:tc>
        <w:tc>
          <w:tcPr/>
          <w:p>
            <w:pPr>
              <w:pStyle w:val="Compact"/>
            </w:pPr>
            <w:r>
              <w:t xml:space="preserve">Receive and manage disclosures; ensure protections are applied; oversee investigations.</w:t>
            </w:r>
          </w:p>
        </w:tc>
      </w:tr>
      <w:tr>
        <w:tc>
          <w:tcPr/>
          <w:p>
            <w:pPr>
              <w:pStyle w:val="Compact"/>
            </w:pPr>
            <w:r>
              <w:t xml:space="preserve">Board Audit Committee</w:t>
            </w:r>
          </w:p>
        </w:tc>
        <w:tc>
          <w:tcPr/>
          <w:p>
            <w:pPr>
              <w:pStyle w:val="Compact"/>
            </w:pPr>
            <w:r>
              <w:t xml:space="preserve">Oversight of whistleblower program; review investigation outcomes; ensure policy effectiveness.</w:t>
            </w:r>
          </w:p>
        </w:tc>
      </w:tr>
      <w:tr>
        <w:tc>
          <w:tcPr/>
          <w:p>
            <w:pPr>
              <w:pStyle w:val="Compact"/>
            </w:pPr>
            <w:r>
              <w:t xml:space="preserve">All Employees</w:t>
            </w:r>
          </w:p>
        </w:tc>
        <w:tc>
          <w:tcPr/>
          <w:p>
            <w:pPr>
              <w:pStyle w:val="Compact"/>
            </w:pPr>
            <w:r>
              <w:t xml:space="preserve">Report suspected wrongdoing; cooperate with investigations; maintain confidentiality.</w:t>
            </w:r>
          </w:p>
        </w:tc>
      </w:tr>
      <w:tr>
        <w:tc>
          <w:tcPr/>
          <w:p>
            <w:pPr>
              <w:pStyle w:val="Compact"/>
            </w:pPr>
            <w:r>
              <w:t xml:space="preserve">Managers</w:t>
            </w:r>
          </w:p>
        </w:tc>
        <w:tc>
          <w:tcPr/>
          <w:p>
            <w:pPr>
              <w:pStyle w:val="Compact"/>
            </w:pPr>
            <w:r>
              <w:t xml:space="preserve">Create a safe environment for reporting; escalate disclosures appropriately; never obstruct a report.</w:t>
            </w:r>
          </w:p>
        </w:tc>
      </w:tr>
    </w:tbl>
    <w:bookmarkEnd w:id="16"/>
    <w:bookmarkStart w:id="17" w:name="review"/>
    <w:p>
      <w:pPr>
        <w:pStyle w:val="Heading2"/>
      </w:pPr>
      <w:r>
        <w:t xml:space="preserve">9. Review</w:t>
      </w:r>
    </w:p>
    <w:p>
      <w:pPr>
        <w:pStyle w:val="FirstParagraph"/>
      </w:pPr>
      <w:r>
        <w:t xml:space="preserve">This policy is reviewed annually by the Legal and Compliance Department and approved by the Board Audit Committee. The next review is October 2026.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Whistleblower Protection Policy - First Digital</dc:title>
  <dc:creator/>
  <dc:language>en</dc:language>
  <cp:keywords/>
  <dcterms:created xsi:type="dcterms:W3CDTF">2026-04-11T22:11:28Z</dcterms:created>
  <dcterms:modified xsi:type="dcterms:W3CDTF">2026-04-11T22:11:28Z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