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F3864"/>
          <w:sz w:val="48"/>
          <w:szCs w:val="48"/>
        </w:rPr>
        <w:t xml:space="preserve">PawsVIP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2E5090"/>
          <w:sz w:val="30"/>
          <w:szCs w:val="30"/>
        </w:rPr>
        <w:t xml:space="preserve">Consolidated Profit &amp; Loss Report</w:t>
      </w:r>
    </w:p>
    <w:p>
      <w:pPr>
        <w:spacing w:after="280" w:before="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January – May 2026  |  All Locations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1. Executive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Total Revenue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8"/>
                <w:szCs w:val="28"/>
              </w:rPr>
              <w:t xml:space="preserve">$1,431,095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Total Expenses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8B0000"/>
                <w:sz w:val="28"/>
                <w:szCs w:val="28"/>
              </w:rPr>
              <w:t xml:space="preserve">$1,406,750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Net Income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5E38"/>
                <w:sz w:val="28"/>
                <w:szCs w:val="28"/>
              </w:rPr>
              <w:t xml:space="preserve">+$5,942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160"/>
              <w:left w:type="dxa" w:w="140"/>
              <w:bottom w:type="dxa" w:w="16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555555"/>
                <w:sz w:val="16"/>
                <w:szCs w:val="16"/>
              </w:rPr>
              <w:t xml:space="preserve">Net Margin</w:t>
            </w:r>
          </w:p>
          <w:p>
            <w:pPr>
              <w:spacing w:after="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0F5E38"/>
                <w:sz w:val="28"/>
                <w:szCs w:val="28"/>
              </w:rPr>
              <w:t xml:space="preserve">0.4%</w:t>
            </w:r>
          </w:p>
        </w:tc>
      </w:tr>
    </w:tbl>
    <w:p>
      <w:pPr>
        <w:spacing w:after="0" w:before="1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2. Location Snapshots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PawsVIP INC (Main)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Revenue: </w:t>
            </w: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$998,344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Expenses: </w:t>
            </w: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$1,105,976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Net Income: </w:t>
            </w: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−$126,035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Carries corporate payroll &amp; SBA loan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West Seattle LLC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Revenue: </w:t>
            </w: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$265,703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Expenses: </w:t>
            </w: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$143,078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Net Income: </w:t>
            </w: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+$122,625 (46% margin)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Top performer — strong growth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8FF" w:val="clear"/>
            <w:tcMar>
              <w:top w:type="dxa" w:w="140"/>
              <w:left w:type="dxa" w:w="140"/>
              <w:bottom w:type="dxa" w:w="14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8"/>
                <w:szCs w:val="18"/>
              </w:rPr>
              <w:t xml:space="preserve">Ballard LLC (opened Dec 2025)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Revenue: </w:t>
            </w: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$167,048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Expenses: </w:t>
            </w: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$157,696</w:t>
            </w:r>
          </w:p>
          <w:p>
            <w:pPr>
              <w:spacing w:after="0" w:before="40"/>
            </w:pPr>
            <w:r>
              <w:rPr>
                <w:rFonts w:ascii="Arial" w:cs="Arial" w:eastAsia="Arial" w:hAnsi="Arial"/>
                <w:color w:val="444444"/>
                <w:sz w:val="17"/>
                <w:szCs w:val="17"/>
              </w:rPr>
              <w:t xml:space="preserve">Net Income: </w:t>
            </w: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+$9,352</w:t>
            </w:r>
          </w:p>
          <w:p>
            <w:pPr>
              <w:spacing w:after="0" w:before="80"/>
            </w:pPr>
            <w:r>
              <w:rPr>
                <w:rFonts w:ascii="Arial" w:cs="Arial" w:eastAsia="Arial" w:hAnsi="Arial"/>
                <w:color w:val="666666"/>
                <w:sz w:val="15"/>
                <w:szCs w:val="15"/>
              </w:rPr>
              <w:t xml:space="preserve">Turned profitable in March 2026</w:t>
            </w:r>
          </w:p>
        </w:tc>
      </w:tr>
    </w:tbl>
    <w:p>
      <w:pPr>
        <w:spacing w:after="0" w:before="1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3. Consolidated Profit &amp; Loss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0"/>
        <w:gridCol w:w="1650"/>
        <w:gridCol w:w="1650"/>
        <w:gridCol w:w="1650"/>
        <w:gridCol w:w="1650"/>
      </w:tblGrid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Line Item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PawsVIP INC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West Seattle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Ballard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Combined Total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INCOME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Services Revenue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$818,281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$275,245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$139,180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$1,232,706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Airport / Other Revenue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$144,736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$144,736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Subscription Revenue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$35,327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$28,087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$63,414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Cost of Goods Sold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$19,353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$19,353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Revenue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$998,344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$265,703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$167,048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$1,431,095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Gross Profit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$978,991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$265,703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$167,048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$1,411,742</w:t>
            </w:r>
          </w:p>
        </w:tc>
      </w:tr>
      <w:tr>
        <w:tc>
          <w:tcPr>
            <w:gridSpan w:val="5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KEY EXPENSES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Payroll &amp; Taxes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$782,717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$1,778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$52,053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$836,548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Rent / Lease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$60,548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$67,558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$85,880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$213,986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SBA Loan Interest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$60,172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—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$60,172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Repairs &amp; Maintenance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$29,273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$49,314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$2,681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$81,268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Supplies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$43,010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$1,429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$2,665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$47,104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Marketing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$16,038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$2,766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$24,220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$43,024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Utilities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$7,552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$5,264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$9,519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$22,335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Legal &amp; Professional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$3,920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$17,330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$478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$21,728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Software &amp; Tech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$7,661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$201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$273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$8,135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Bank Charges &amp; Fees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$468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$5,448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$3,476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7"/>
                <w:szCs w:val="17"/>
              </w:rPr>
              <w:t xml:space="preserve">$9,392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Total Expenses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$1,105,976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$143,078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$157,696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E1F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00000"/>
                <w:sz w:val="17"/>
                <w:szCs w:val="17"/>
              </w:rPr>
              <w:t xml:space="preserve">$1,406,750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Net Operating Income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−$126,985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+$122,625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+$9,352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+$4,992</w:t>
            </w:r>
          </w:p>
        </w:tc>
      </w:tr>
      <w:tr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Net Income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−$126,035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+$122,625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+$9,352</w:t>
            </w:r>
          </w:p>
        </w:tc>
        <w:tc>
          <w:tcPr>
            <w:tcW w:type="dxa" w:w="165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+$5,942</w:t>
            </w:r>
          </w:p>
        </w:tc>
      </w:tr>
    </w:tbl>
    <w:p>
      <w:pPr>
        <w:spacing w:after="160" w:before="80"/>
        <w:jc w:val="left"/>
      </w:pPr>
      <w:r>
        <w:rPr>
          <w:rFonts w:ascii="Arial" w:cs="Arial" w:eastAsia="Arial" w:hAnsi="Arial"/>
          <w:b w:val="false"/>
          <w:bCs w:val="false"/>
          <w:color w:val="888888"/>
          <w:sz w:val="15"/>
          <w:szCs w:val="15"/>
        </w:rPr>
        <w:t xml:space="preserve">* West Seattle and Ballard Jan–May figures derived from monthly columns (Dec 2025 excluded).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4. Monthly Net Income by Location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60"/>
        <w:gridCol w:w="1800"/>
        <w:gridCol w:w="1800"/>
        <w:gridCol w:w="1800"/>
        <w:gridCol w:w="1800"/>
      </w:tblGrid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Month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PawsVIP INC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West Seattle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Ballard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Combined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January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−$55,321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+$12,612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−$22,200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−$64,909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February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+$294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+$20,280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−$1,627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+$18,947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March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−$187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+$28,357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+$9,764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+$37,934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April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−$66,406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+$44,873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+$6,154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−$15,379</w:t>
            </w:r>
          </w:p>
        </w:tc>
      </w:tr>
      <w:tr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17"/>
                <w:szCs w:val="17"/>
              </w:rPr>
              <w:t xml:space="preserve">May 2026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8B0000"/>
                <w:sz w:val="17"/>
                <w:szCs w:val="17"/>
              </w:rPr>
              <w:t xml:space="preserve">−$4,415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+$16,504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+$17,262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AFC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0F5E38"/>
                <w:sz w:val="17"/>
                <w:szCs w:val="17"/>
              </w:rPr>
              <w:t xml:space="preserve">+$29,351</w:t>
            </w:r>
          </w:p>
        </w:tc>
      </w:tr>
    </w:tbl>
    <w:p>
      <w:pPr>
        <w:spacing w:after="0" w:before="1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5. Key Observations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West Seattle is the top performer with a 46% net margin — revenue nearly doubled from $36K in January to $73K in April.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Ballard turned profitable in March 2026 (its 4th month of operation) and reached +$17K net in May — strong growth trajectory.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PawsVIP INC carries the bulk of payroll ($782K) and the SBA loan ($60K interest). Allocating these costs across all locations would show a more accurate per-location picture.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Combined, all three locations achieved near-breakeven (+$5,942) in a period that included a new location ramp-up.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Largest expense across all entities: Payroll &amp; Taxes at $836,548 (59% of combined expenses).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18"/>
          <w:szCs w:val="18"/>
        </w:rPr>
        <w:t xml:space="preserve">Rent totals $213,986 across all locations — Ballard’s $85,880 is the highest relative to its current revenue stage.</w:t>
      </w:r>
    </w:p>
    <w:p>
      <w:pPr>
        <w:spacing w:after="0" w:before="180"/>
      </w:pP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3864"/>
          <w:sz w:val="28"/>
          <w:szCs w:val="28"/>
        </w:rPr>
        <w:t xml:space="preserve">6. 2025 Full Year Reference — PawsVIP INC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Year 2025 Revenue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Full Year 2025 Net Income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0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Note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3864"/>
                <w:sz w:val="20"/>
                <w:szCs w:val="20"/>
              </w:rPr>
              <w:t xml:space="preserve">$2,213,900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F5E38"/>
                <w:sz w:val="20"/>
                <w:szCs w:val="20"/>
              </w:rPr>
              <w:t xml:space="preserve">+$628,035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7"/>
                <w:szCs w:val="17"/>
              </w:rPr>
              <w:t xml:space="preserve">2026 reflects Ballard startup costs &amp; expanded payroll</w:t>
            </w:r>
          </w:p>
        </w:tc>
      </w:tr>
    </w:tbl>
    <w:p>
      <w:pPr>
        <w:spacing w:after="0" w:before="240"/>
      </w:pP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F3864" w:sz="6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777777"/>
        <w:sz w:val="16"/>
        <w:szCs w:val="16"/>
      </w:rPr>
      <w:t xml:space="preserve">Report generated June 13, 2026  |  PawsVIP INC  |  Confidential</w:t>
    </w:r>
    <w:r>
      <w:rPr>
        <w:rFonts w:ascii="Arial" w:cs="Arial" w:eastAsia="Arial" w:hAnsi="Arial"/>
        <w:color w:val="777777"/>
        <w:sz w:val="16"/>
        <w:szCs w:val="16"/>
      </w:rPr>
      <w:t xml:space="preserve">	Page </w:t>
    </w:r>
    <w:r>
      <w:rPr>
        <w:rFonts w:ascii="Arial" w:cs="Arial" w:eastAsia="Arial" w:hAnsi="Arial"/>
        <w:color w:val="777777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3864" w:sz="6" w:space="1"/>
      </w:pBdr>
      <w:spacing w:after="120" w:before="0"/>
      <w:jc w:val="center"/>
    </w:pPr>
    <w:r>
      <w:rPr>
        <w:rFonts w:ascii="Arial" w:cs="Arial" w:eastAsia="Arial" w:hAnsi="Arial"/>
        <w:b/>
        <w:bCs/>
        <w:color w:val="1F3864"/>
        <w:sz w:val="17"/>
        <w:szCs w:val="17"/>
      </w:rPr>
      <w:t xml:space="preserve">PawsVIP INC  —  Consolidated Profit &amp; Loss Report  —  January–May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2026-06-14T03:59:44.016Z</dcterms:created>
  <dcterms:modified xsi:type="dcterms:W3CDTF">2026-06-14T03:59:44.017Z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