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pPr w:leftFromText="180" w:rightFromText="180" w:vertAnchor="text" w:horzAnchor="margin" w:tblpY="-920"/>
        <w:tblOverlap w:val="never"/>
        <w:tblW w:w="9338"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39"/>
        <w:gridCol w:w="3092"/>
        <w:gridCol w:w="3107"/>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93" w:hRule="atLeast"/>
        </w:trPr>
        <w:tc>
          <w:tcPr>
            <w:tcW w:w="3139" w:type="dxa"/>
          </w:tcPr>
          <w:p>
            <w:pPr>
              <w:ind w:firstLine="0" w:firstLineChars="0"/>
              <w:jc w:val="center"/>
              <w:rPr>
                <w:rFonts w:cs="Times New Roman"/>
              </w:rPr>
            </w:pPr>
            <w:r>
              <w:rPr>
                <w:rFonts w:cs="Times New Roman"/>
                <w:b/>
                <w:szCs w:val="24"/>
              </w:rPr>
              <w:t>Problem Chosen</w:t>
            </w:r>
            <w:r>
              <w:rPr>
                <w:rFonts w:cs="Times New Roman"/>
                <w:b/>
              </w:rPr>
              <w:br w:type="textWrapping"/>
            </w:r>
            <w:r>
              <w:rPr>
                <w:rFonts w:cs="Times New Roman"/>
                <w:sz w:val="40"/>
                <w:szCs w:val="40"/>
              </w:rPr>
              <w:t>E</w:t>
            </w:r>
          </w:p>
        </w:tc>
        <w:tc>
          <w:tcPr>
            <w:tcW w:w="3092" w:type="dxa"/>
          </w:tcPr>
          <w:p>
            <w:pPr>
              <w:ind w:firstLine="0" w:firstLineChars="0"/>
              <w:jc w:val="center"/>
              <w:rPr>
                <w:rFonts w:cs="Times New Roman"/>
              </w:rPr>
            </w:pPr>
            <w:r>
              <w:rPr>
                <w:rFonts w:cs="Times New Roman"/>
                <w:b/>
                <w:bCs/>
                <w:szCs w:val="24"/>
              </w:rPr>
              <w:t>2022</w:t>
            </w:r>
            <w:r>
              <w:rPr>
                <w:rFonts w:cs="Times New Roman"/>
                <w:b/>
                <w:bCs/>
                <w:szCs w:val="24"/>
              </w:rPr>
              <w:br w:type="textWrapping"/>
            </w:r>
            <w:r>
              <w:rPr>
                <w:rFonts w:cs="Times New Roman"/>
                <w:b/>
                <w:bCs/>
                <w:szCs w:val="24"/>
              </w:rPr>
              <w:t>MCM/ICM</w:t>
            </w:r>
            <w:r>
              <w:rPr>
                <w:rFonts w:cs="Times New Roman"/>
                <w:b/>
                <w:bCs/>
                <w:szCs w:val="24"/>
              </w:rPr>
              <w:br w:type="textWrapping"/>
            </w:r>
            <w:r>
              <w:rPr>
                <w:rFonts w:cs="Times New Roman"/>
                <w:b/>
                <w:bCs/>
                <w:szCs w:val="24"/>
              </w:rPr>
              <w:t>Summary Sheet</w:t>
            </w:r>
          </w:p>
        </w:tc>
        <w:tc>
          <w:tcPr>
            <w:tcW w:w="3107" w:type="dxa"/>
          </w:tcPr>
          <w:p>
            <w:pPr>
              <w:ind w:firstLine="0" w:firstLineChars="0"/>
              <w:jc w:val="center"/>
              <w:rPr>
                <w:rFonts w:cs="Times New Roman"/>
              </w:rPr>
            </w:pPr>
            <w:r>
              <w:rPr>
                <w:rFonts w:cs="Times New Roman"/>
                <w:b/>
                <w:szCs w:val="24"/>
              </w:rPr>
              <w:t>Team Control Number</w:t>
            </w:r>
            <w:r>
              <w:rPr>
                <w:rFonts w:cs="Times New Roman"/>
                <w:b/>
              </w:rPr>
              <w:br w:type="textWrapping"/>
            </w:r>
            <w:r>
              <w:rPr>
                <w:rFonts w:cs="Times New Roman"/>
                <w:sz w:val="40"/>
                <w:szCs w:val="40"/>
              </w:rPr>
              <w:t>2213398</w:t>
            </w:r>
          </w:p>
        </w:tc>
      </w:tr>
    </w:tbl>
    <w:p>
      <w:pPr>
        <w:ind w:firstLine="0" w:firstLineChars="0"/>
        <w:jc w:val="center"/>
        <w:rPr>
          <w:b/>
          <w:bCs/>
          <w:sz w:val="32"/>
          <w:szCs w:val="28"/>
        </w:rPr>
      </w:pPr>
      <w:r>
        <w:rPr>
          <w:rFonts w:cs="Times New Roman"/>
        </w:rPr>
        <w:pict>
          <v:rect id="_x0000_i1025" o:spt="1" style="height:1.5pt;width:468pt;" fillcolor="#000000" filled="t" stroked="f" coordsize="21600,21600" o:hr="t" o:hrstd="t" o:hrnoshade="t" o:hralign="center">
            <v:path/>
            <v:fill on="t" focussize="0,0"/>
            <v:stroke on="f"/>
            <v:imagedata o:title=""/>
            <o:lock v:ext="edit"/>
            <w10:wrap type="none"/>
            <w10:anchorlock/>
          </v:rect>
        </w:pict>
      </w:r>
      <w:r>
        <w:rPr>
          <w:b/>
          <w:bCs/>
          <w:sz w:val="32"/>
          <w:szCs w:val="28"/>
        </w:rPr>
        <w:t>H</w:t>
      </w:r>
      <w:r>
        <w:rPr>
          <w:rFonts w:hint="eastAsia"/>
          <w:b/>
          <w:bCs/>
          <w:sz w:val="32"/>
          <w:szCs w:val="28"/>
          <w:highlight w:val="yellow"/>
        </w:rPr>
        <w:t>arvest</w:t>
      </w:r>
      <w:r>
        <w:rPr>
          <w:b/>
          <w:bCs/>
          <w:sz w:val="32"/>
          <w:szCs w:val="28"/>
        </w:rPr>
        <w:t xml:space="preserve"> T</w:t>
      </w:r>
      <w:r>
        <w:rPr>
          <w:rFonts w:hint="eastAsia"/>
          <w:b/>
          <w:bCs/>
          <w:sz w:val="32"/>
          <w:szCs w:val="28"/>
        </w:rPr>
        <w:t>rees，</w:t>
      </w:r>
    </w:p>
    <w:p>
      <w:pPr>
        <w:adjustRightInd w:val="0"/>
        <w:snapToGrid w:val="0"/>
        <w:spacing w:after="163" w:afterLines="50"/>
        <w:ind w:firstLine="0" w:firstLineChars="0"/>
        <w:jc w:val="center"/>
        <w:rPr>
          <w:b/>
          <w:bCs/>
          <w:sz w:val="28"/>
          <w:szCs w:val="24"/>
        </w:rPr>
      </w:pPr>
      <w:r>
        <w:rPr>
          <w:b/>
          <w:bCs/>
          <w:sz w:val="28"/>
          <w:szCs w:val="24"/>
        </w:rPr>
        <w:t>Summary</w:t>
      </w:r>
    </w:p>
    <w:p>
      <w:pPr>
        <w:ind w:firstLine="480"/>
      </w:pPr>
    </w:p>
    <w:p>
      <w:pPr>
        <w:ind w:firstLine="480"/>
        <w:rPr>
          <w:rFonts w:cs="Times New Roman"/>
          <w:szCs w:val="24"/>
        </w:rPr>
      </w:pPr>
    </w:p>
    <w:p>
      <w:pPr>
        <w:ind w:firstLine="480"/>
        <w:rPr>
          <w:rFonts w:cs="Times New Roman"/>
          <w:szCs w:val="24"/>
        </w:rPr>
      </w:pPr>
      <w:r>
        <w:rPr>
          <w:rFonts w:cs="Times New Roman"/>
          <w:szCs w:val="24"/>
        </w:rPr>
        <w:t>First, we establish</w:t>
      </w:r>
      <w:r>
        <w:rPr>
          <w:rFonts w:cs="Times New Roman"/>
          <w:b/>
          <w:bCs/>
          <w:szCs w:val="24"/>
        </w:rPr>
        <w:t xml:space="preserve"> Carbon Sequestration Model</w:t>
      </w:r>
      <w:r>
        <w:rPr>
          <w:rFonts w:cs="Times New Roman"/>
          <w:szCs w:val="24"/>
        </w:rPr>
        <w:t xml:space="preserve"> to obtain the total result of carbon sequestration. Considering influencing factors, this model includes </w:t>
      </w:r>
      <w:r>
        <w:rPr>
          <w:rFonts w:cs="Times New Roman"/>
          <w:b/>
          <w:bCs/>
          <w:szCs w:val="24"/>
        </w:rPr>
        <w:t>two core formulas</w:t>
      </w:r>
      <w:r>
        <w:rPr>
          <w:rFonts w:cs="Times New Roman"/>
          <w:szCs w:val="24"/>
        </w:rPr>
        <w:t xml:space="preserve"> -- "carbon sequestration amount - tree age formula" and "optimal number of trees of each age - tree age formula". The final result balances the two carbon storage methods of forest products and forest retention, and can determines what forest management plan is most effective at sequestering carbon dioxide.</w:t>
      </w:r>
    </w:p>
    <w:p>
      <w:pPr>
        <w:ind w:firstLine="480"/>
        <w:rPr>
          <w:rFonts w:cs="Times New Roman"/>
          <w:szCs w:val="24"/>
        </w:rPr>
      </w:pPr>
      <w:r>
        <w:rPr>
          <w:rFonts w:cs="Times New Roman"/>
          <w:szCs w:val="24"/>
        </w:rPr>
        <w:t xml:space="preserve">Next, considering that the value of forests is not only carbon sequestration, we begin with </w:t>
      </w:r>
      <w:r>
        <w:rPr>
          <w:rFonts w:cs="Times New Roman"/>
          <w:b/>
          <w:bCs/>
          <w:szCs w:val="24"/>
        </w:rPr>
        <w:t>improving the spectrum</w:t>
      </w:r>
      <w:r>
        <w:rPr>
          <w:rFonts w:cs="Times New Roman"/>
          <w:szCs w:val="24"/>
        </w:rPr>
        <w:t xml:space="preserve"> for the improvement of forest management plan, adding "potential carbon sequestration, conservation and biodiversity aspects, recreational uses, and cultural considerations". At the same time, we </w:t>
      </w:r>
      <w:r>
        <w:rPr>
          <w:rFonts w:cs="Times New Roman"/>
          <w:b/>
          <w:bCs/>
          <w:szCs w:val="24"/>
        </w:rPr>
        <w:t>determine the corresponding conditions</w:t>
      </w:r>
      <w:r>
        <w:rPr>
          <w:rFonts w:cs="Times New Roman"/>
          <w:szCs w:val="24"/>
        </w:rPr>
        <w:t xml:space="preserve"> that ",,,,, trees should be uncut".</w:t>
      </w:r>
    </w:p>
    <w:p>
      <w:pPr>
        <w:ind w:firstLine="480"/>
        <w:rPr>
          <w:rFonts w:cs="Times New Roman"/>
          <w:szCs w:val="24"/>
        </w:rPr>
      </w:pPr>
      <w:r>
        <w:rPr>
          <w:rFonts w:cs="Times New Roman"/>
          <w:szCs w:val="24"/>
        </w:rPr>
        <w:t>After clarifying the scope and harvest conditions, we made</w:t>
      </w:r>
      <w:r>
        <w:rPr>
          <w:rFonts w:cs="Times New Roman"/>
          <w:b/>
          <w:bCs/>
          <w:szCs w:val="24"/>
        </w:rPr>
        <w:t xml:space="preserve"> </w:t>
      </w:r>
      <w:r>
        <w:rPr>
          <w:rFonts w:cs="Times New Roman"/>
          <w:b/>
          <w:bCs/>
          <w:color w:val="000000"/>
          <w:szCs w:val="24"/>
        </w:rPr>
        <w:t>Forest Management Decision Model</w:t>
      </w:r>
      <w:r>
        <w:rPr>
          <w:rFonts w:cs="Times New Roman"/>
          <w:szCs w:val="24"/>
        </w:rPr>
        <w:t xml:space="preserve">. It integrates various forest values and thus leads to a more comprehensive optimal plan for forest management. It is worth noting that there is always </w:t>
      </w:r>
      <w:r>
        <w:rPr>
          <w:rFonts w:cs="Times New Roman"/>
          <w:b/>
          <w:bCs/>
          <w:szCs w:val="24"/>
        </w:rPr>
        <w:t>a transition point</w:t>
      </w:r>
      <w:r>
        <w:rPr>
          <w:rFonts w:cs="Times New Roman"/>
          <w:szCs w:val="24"/>
        </w:rPr>
        <w:t xml:space="preserve"> when the two management plans are implemented, and we find that generally this transition point can be effectively determined by the ",,," parameters of the forest.</w:t>
      </w:r>
    </w:p>
    <w:p>
      <w:pPr>
        <w:ind w:firstLine="480"/>
        <w:rPr>
          <w:rFonts w:cs="Times New Roman"/>
          <w:szCs w:val="24"/>
        </w:rPr>
      </w:pPr>
      <w:r>
        <w:rPr>
          <w:rFonts w:cs="Times New Roman"/>
          <w:szCs w:val="24"/>
        </w:rPr>
        <w:t xml:space="preserve">Then, we apply the above two models to various forests, including </w:t>
      </w:r>
      <w:r>
        <w:rPr>
          <w:rFonts w:cs="Times New Roman"/>
          <w:b/>
          <w:bCs/>
          <w:szCs w:val="24"/>
        </w:rPr>
        <w:t>",,,, selected forest name"</w:t>
      </w:r>
      <w:r>
        <w:rPr>
          <w:rFonts w:cs="Times New Roman"/>
          <w:szCs w:val="24"/>
        </w:rPr>
        <w:t xml:space="preserve">.完全不砍100年的总固定量是、、、，整体发展得分是、、、。三种砍树情况下的总固定量及发展得分分别是、、、。我们在后三种情况下继续优化，从而确保了合理性且是最佳的 thus verify the rationality of our plan. Our conclusion is:将什么类型的树木或者什么年龄的树木砍掉或者最终保持到什么样的状态，比保持不刊更有利于这个森林整理发展. 在砍树政策实施的条件下，将最有利于、、、森林的整理发展，且多少含量的 carbon would be sequestered by the forest and its products over 100 years, which is (是不实行的多少倍) total amount without harvest. </w:t>
      </w:r>
    </w:p>
    <w:p>
      <w:pPr>
        <w:ind w:firstLine="480"/>
        <w:rPr>
          <w:rFonts w:cs="Times New Roman"/>
          <w:szCs w:val="24"/>
        </w:rPr>
      </w:pPr>
      <w:r>
        <w:rPr>
          <w:rFonts w:cs="Times New Roman"/>
          <w:szCs w:val="24"/>
        </w:rPr>
        <w:t xml:space="preserve">In addition, to ensure a smooth transition from the existing management schedule to the new one, we not only discuss </w:t>
      </w:r>
      <w:r>
        <w:rPr>
          <w:rFonts w:cs="Times New Roman"/>
          <w:b/>
          <w:bCs/>
          <w:szCs w:val="24"/>
        </w:rPr>
        <w:t>a targeted strategy</w:t>
      </w:r>
      <w:r>
        <w:rPr>
          <w:rFonts w:cs="Times New Roman"/>
          <w:szCs w:val="24"/>
        </w:rPr>
        <w:t xml:space="preserve"> that is relevant to anyone related, but also write a two-page </w:t>
      </w:r>
      <w:r>
        <w:rPr>
          <w:rFonts w:cs="Times New Roman"/>
          <w:b/>
          <w:bCs/>
          <w:szCs w:val="24"/>
        </w:rPr>
        <w:t>non-technical newspaper articl</w:t>
      </w:r>
      <w:r>
        <w:rPr>
          <w:rFonts w:cs="Times New Roman"/>
          <w:szCs w:val="24"/>
        </w:rPr>
        <w:t xml:space="preserve">e to convince the local community. </w:t>
      </w:r>
    </w:p>
    <w:p>
      <w:pPr>
        <w:ind w:firstLine="480"/>
        <w:rPr>
          <w:rFonts w:cs="Times New Roman"/>
          <w:szCs w:val="24"/>
        </w:rPr>
      </w:pPr>
      <w:r>
        <w:rPr>
          <w:rFonts w:cs="Times New Roman"/>
          <w:szCs w:val="24"/>
        </w:rPr>
        <w:t xml:space="preserve">Finally, we carry out </w:t>
      </w:r>
      <w:r>
        <w:rPr>
          <w:rFonts w:cs="Times New Roman"/>
          <w:b/>
          <w:bCs/>
          <w:szCs w:val="24"/>
        </w:rPr>
        <w:t xml:space="preserve">a sensitivity analysis of the \\\ model </w:t>
      </w:r>
      <w:r>
        <w:rPr>
          <w:rFonts w:cs="Times New Roman"/>
          <w:szCs w:val="24"/>
        </w:rPr>
        <w:t xml:space="preserve">and </w:t>
      </w:r>
      <w:r>
        <w:rPr>
          <w:rFonts w:cs="Times New Roman"/>
          <w:b/>
          <w:bCs/>
          <w:szCs w:val="24"/>
        </w:rPr>
        <w:t>an error analysis of the \\\\ model</w:t>
      </w:r>
      <w:r>
        <w:rPr>
          <w:rFonts w:cs="Times New Roman"/>
          <w:szCs w:val="24"/>
        </w:rPr>
        <w:t>, demonstrating the robustness and accuracy of our models. We also evaluate the advantages and disadvantages of our models, hoping to continue to extend them in the future.</w:t>
      </w:r>
    </w:p>
    <w:p>
      <w:pPr>
        <w:pStyle w:val="23"/>
        <w:spacing w:after="260" w:line="240" w:lineRule="auto"/>
        <w:ind w:firstLine="0"/>
        <w:rPr>
          <w:b/>
          <w:bCs/>
          <w:color w:val="000000"/>
          <w:sz w:val="24"/>
          <w:szCs w:val="24"/>
        </w:rPr>
      </w:pPr>
    </w:p>
    <w:p>
      <w:pPr>
        <w:pStyle w:val="23"/>
        <w:spacing w:after="260" w:line="240" w:lineRule="auto"/>
        <w:ind w:firstLine="0"/>
        <w:rPr>
          <w:rFonts w:eastAsiaTheme="minorEastAsia"/>
          <w:color w:val="000000"/>
          <w:sz w:val="24"/>
          <w:szCs w:val="24"/>
        </w:rPr>
      </w:pPr>
      <w:r>
        <w:rPr>
          <w:b/>
          <w:bCs/>
          <w:color w:val="000000"/>
          <w:sz w:val="24"/>
          <w:szCs w:val="24"/>
        </w:rPr>
        <w:t>Keywords:</w:t>
      </w:r>
      <w:r>
        <w:rPr>
          <w:b/>
          <w:bCs/>
          <w:sz w:val="24"/>
          <w:szCs w:val="24"/>
        </w:rPr>
        <w:t xml:space="preserve"> </w:t>
      </w:r>
      <w:r>
        <w:rPr>
          <w:sz w:val="24"/>
          <w:szCs w:val="24"/>
        </w:rPr>
        <w:t>Forest Management; Carbon Sequestration Model;</w:t>
      </w:r>
      <w:r>
        <w:rPr>
          <w:rFonts w:eastAsiaTheme="minorEastAsia"/>
          <w:color w:val="000000"/>
          <w:sz w:val="24"/>
          <w:szCs w:val="24"/>
        </w:rPr>
        <w:t xml:space="preserve"> Forest Management Decision Model; ……. Forest;</w:t>
      </w:r>
    </w:p>
    <w:p>
      <w:pPr>
        <w:pStyle w:val="23"/>
        <w:spacing w:after="260" w:line="240" w:lineRule="auto"/>
        <w:ind w:firstLine="0"/>
        <w:rPr>
          <w:rFonts w:eastAsiaTheme="minorEastAsia"/>
          <w:color w:val="000000"/>
          <w:sz w:val="24"/>
        </w:rPr>
      </w:pPr>
    </w:p>
    <w:p>
      <w:pPr>
        <w:pStyle w:val="23"/>
        <w:spacing w:after="260" w:line="240" w:lineRule="auto"/>
        <w:ind w:firstLine="0"/>
        <w:rPr>
          <w:rFonts w:eastAsiaTheme="minorEastAsia"/>
          <w:color w:val="000000"/>
          <w:sz w:val="24"/>
        </w:rPr>
      </w:pPr>
    </w:p>
    <w:p>
      <w:pPr>
        <w:pStyle w:val="23"/>
        <w:spacing w:after="260" w:line="240" w:lineRule="auto"/>
        <w:ind w:firstLine="0"/>
        <w:rPr>
          <w:rFonts w:eastAsiaTheme="minorEastAsia"/>
          <w:b/>
          <w:bCs/>
          <w:color w:val="000000"/>
        </w:rPr>
      </w:pPr>
    </w:p>
    <w:p>
      <w:pPr>
        <w:pStyle w:val="23"/>
        <w:spacing w:after="260" w:line="240" w:lineRule="auto"/>
        <w:ind w:firstLine="0"/>
        <w:rPr>
          <w:rFonts w:eastAsiaTheme="minorEastAsia"/>
          <w:b/>
          <w:bCs/>
          <w:color w:val="000000"/>
        </w:rPr>
      </w:pPr>
      <w:r>
        <w:rPr>
          <w:rFonts w:eastAsiaTheme="minorEastAsia"/>
          <w:b/>
          <w:bCs/>
          <w:color w:val="000000"/>
        </w:rPr>
        <w:drawing>
          <wp:inline distT="0" distB="0" distL="0" distR="0">
            <wp:extent cx="5731510" cy="42538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731510" cy="4253865"/>
                    </a:xfrm>
                    <a:prstGeom prst="rect">
                      <a:avLst/>
                    </a:prstGeom>
                  </pic:spPr>
                </pic:pic>
              </a:graphicData>
            </a:graphic>
          </wp:inline>
        </w:drawing>
      </w:r>
    </w:p>
    <w:p>
      <w:pPr>
        <w:pStyle w:val="23"/>
        <w:spacing w:after="260" w:line="240" w:lineRule="auto"/>
        <w:ind w:firstLine="0"/>
        <w:jc w:val="both"/>
        <w:rPr>
          <w:rFonts w:eastAsiaTheme="minorEastAsia"/>
          <w:b/>
          <w:bCs/>
          <w:color w:val="000000"/>
        </w:rPr>
      </w:pPr>
      <w:r>
        <w:rPr>
          <w:rFonts w:hint="eastAsia" w:eastAsiaTheme="minorEastAsia"/>
          <w:b/>
          <w:bCs/>
          <w:color w:val="000000"/>
        </w:rPr>
        <w:t>2~</w:t>
      </w:r>
      <w:r>
        <w:rPr>
          <w:rFonts w:eastAsiaTheme="minorEastAsia"/>
          <w:b/>
          <w:bCs/>
          <w:color w:val="000000"/>
        </w:rPr>
        <w:t>3</w:t>
      </w:r>
      <w:r>
        <w:rPr>
          <w:rFonts w:hint="eastAsia" w:eastAsiaTheme="minorEastAsia"/>
          <w:b/>
          <w:bCs/>
          <w:color w:val="000000"/>
        </w:rPr>
        <w:t>句话，3~</w:t>
      </w:r>
      <w:r>
        <w:rPr>
          <w:rFonts w:eastAsiaTheme="minorEastAsia"/>
          <w:b/>
          <w:bCs/>
          <w:color w:val="000000"/>
        </w:rPr>
        <w:t>5</w:t>
      </w:r>
      <w:r>
        <w:rPr>
          <w:rFonts w:hint="eastAsia" w:eastAsiaTheme="minorEastAsia"/>
          <w:b/>
          <w:bCs/>
          <w:color w:val="000000"/>
        </w:rPr>
        <w:t>行</w:t>
      </w:r>
    </w:p>
    <w:p>
      <w:pPr>
        <w:pStyle w:val="23"/>
        <w:spacing w:after="260" w:line="240" w:lineRule="auto"/>
        <w:ind w:firstLine="0"/>
        <w:jc w:val="both"/>
        <w:rPr>
          <w:rFonts w:eastAsiaTheme="minorEastAsia"/>
          <w:b/>
          <w:bCs/>
          <w:color w:val="000000"/>
        </w:rPr>
      </w:pPr>
      <w:r>
        <w:rPr>
          <w:rFonts w:eastAsiaTheme="minorEastAsia"/>
          <w:b/>
          <w:bCs/>
          <w:color w:val="000000"/>
        </w:rPr>
        <w:t>F</w:t>
      </w:r>
      <w:r>
        <w:rPr>
          <w:rFonts w:hint="eastAsia" w:eastAsiaTheme="minorEastAsia"/>
          <w:b/>
          <w:bCs/>
          <w:color w:val="000000"/>
        </w:rPr>
        <w:t>irst</w:t>
      </w:r>
    </w:p>
    <w:p>
      <w:pPr>
        <w:pStyle w:val="23"/>
        <w:spacing w:after="260" w:line="240" w:lineRule="auto"/>
        <w:ind w:firstLine="0"/>
        <w:jc w:val="both"/>
        <w:rPr>
          <w:rFonts w:eastAsiaTheme="minorEastAsia"/>
          <w:b/>
          <w:bCs/>
          <w:color w:val="000000"/>
        </w:rPr>
      </w:pPr>
      <w:r>
        <w:rPr>
          <w:rFonts w:eastAsiaTheme="minorEastAsia"/>
          <w:b/>
          <w:bCs/>
          <w:color w:val="000000"/>
        </w:rPr>
        <w:t>N</w:t>
      </w:r>
      <w:r>
        <w:rPr>
          <w:rFonts w:hint="eastAsia" w:eastAsiaTheme="minorEastAsia"/>
          <w:b/>
          <w:bCs/>
          <w:color w:val="000000"/>
        </w:rPr>
        <w:t>ext</w:t>
      </w:r>
    </w:p>
    <w:p>
      <w:pPr>
        <w:pStyle w:val="23"/>
        <w:spacing w:after="260" w:line="240" w:lineRule="auto"/>
        <w:ind w:firstLine="0"/>
        <w:jc w:val="both"/>
        <w:rPr>
          <w:rFonts w:eastAsiaTheme="minorEastAsia"/>
          <w:b/>
          <w:bCs/>
          <w:color w:val="000000"/>
        </w:rPr>
      </w:pPr>
      <w:r>
        <w:rPr>
          <w:rFonts w:eastAsiaTheme="minorEastAsia"/>
          <w:b/>
          <w:bCs/>
          <w:color w:val="000000"/>
        </w:rPr>
        <w:t>T</w:t>
      </w:r>
      <w:r>
        <w:rPr>
          <w:rFonts w:hint="eastAsia" w:eastAsiaTheme="minorEastAsia"/>
          <w:b/>
          <w:bCs/>
          <w:color w:val="000000"/>
        </w:rPr>
        <w:t>hen</w:t>
      </w:r>
    </w:p>
    <w:p>
      <w:pPr>
        <w:pStyle w:val="23"/>
        <w:spacing w:after="260" w:line="240" w:lineRule="auto"/>
        <w:ind w:firstLine="0"/>
        <w:jc w:val="both"/>
        <w:rPr>
          <w:rFonts w:eastAsiaTheme="minorEastAsia"/>
          <w:b/>
          <w:bCs/>
          <w:color w:val="000000"/>
        </w:rPr>
      </w:pPr>
      <w:r>
        <w:rPr>
          <w:rFonts w:eastAsiaTheme="minorEastAsia"/>
          <w:b/>
          <w:bCs/>
          <w:color w:val="000000"/>
        </w:rPr>
        <w:t>F</w:t>
      </w:r>
      <w:r>
        <w:rPr>
          <w:rFonts w:hint="eastAsia" w:eastAsiaTheme="minorEastAsia"/>
          <w:b/>
          <w:bCs/>
          <w:color w:val="000000"/>
        </w:rPr>
        <w:t>inally</w:t>
      </w:r>
    </w:p>
    <w:p>
      <w:pPr>
        <w:pStyle w:val="23"/>
        <w:spacing w:after="260" w:line="240" w:lineRule="auto"/>
        <w:ind w:firstLine="0"/>
        <w:jc w:val="both"/>
        <w:rPr>
          <w:rFonts w:eastAsiaTheme="minorEastAsia"/>
          <w:b/>
          <w:bCs/>
          <w:color w:val="000000"/>
        </w:rPr>
      </w:pPr>
    </w:p>
    <w:p>
      <w:pPr>
        <w:pStyle w:val="23"/>
        <w:spacing w:after="260" w:line="240" w:lineRule="auto"/>
        <w:ind w:firstLine="0"/>
        <w:jc w:val="both"/>
        <w:rPr>
          <w:rFonts w:eastAsiaTheme="minorEastAsia"/>
          <w:b/>
          <w:bCs/>
          <w:color w:val="000000"/>
        </w:rPr>
      </w:pPr>
      <w:r>
        <w:rPr>
          <w:rFonts w:hint="eastAsia" w:eastAsiaTheme="minorEastAsia"/>
          <w:b/>
          <w:bCs/>
          <w:color w:val="000000"/>
        </w:rPr>
        <w:t>我们解决什么问题+我们使用了什么方法+我们得到了什么结论</w:t>
      </w:r>
    </w:p>
    <w:p>
      <w:pPr>
        <w:pStyle w:val="23"/>
        <w:spacing w:after="260" w:line="240" w:lineRule="auto"/>
        <w:ind w:firstLine="0"/>
        <w:jc w:val="both"/>
        <w:rPr>
          <w:color w:val="000000"/>
          <w:sz w:val="24"/>
        </w:rPr>
      </w:pPr>
      <w:bookmarkStart w:id="0" w:name="_Hlk96244387"/>
      <w:r>
        <w:rPr>
          <w:b/>
          <w:bCs/>
          <w:color w:val="000000"/>
          <w:sz w:val="24"/>
        </w:rPr>
        <w:t xml:space="preserve">Keywords: </w:t>
      </w:r>
      <w:r>
        <w:rPr>
          <w:color w:val="000000"/>
          <w:sz w:val="24"/>
          <w:highlight w:val="yellow"/>
        </w:rPr>
        <w:t>keyword1; keyword2; keyword3; keyword4</w:t>
      </w:r>
    </w:p>
    <w:bookmarkEnd w:id="0"/>
    <w:p>
      <w:pPr>
        <w:pStyle w:val="23"/>
        <w:spacing w:after="260" w:line="240" w:lineRule="auto"/>
        <w:ind w:firstLine="0"/>
        <w:jc w:val="both"/>
        <w:rPr>
          <w:rFonts w:eastAsiaTheme="minorEastAsia"/>
          <w:color w:val="000000"/>
          <w:sz w:val="24"/>
        </w:rPr>
      </w:pPr>
    </w:p>
    <w:p>
      <w:pPr>
        <w:pStyle w:val="23"/>
        <w:spacing w:after="260" w:line="240" w:lineRule="auto"/>
        <w:ind w:firstLine="0"/>
        <w:jc w:val="both"/>
        <w:rPr>
          <w:rFonts w:eastAsiaTheme="minorEastAsia"/>
          <w:color w:val="000000"/>
          <w:sz w:val="24"/>
        </w:rPr>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851" w:footer="992" w:gutter="0"/>
          <w:cols w:space="425" w:num="1"/>
          <w:titlePg/>
          <w:docGrid w:type="lines" w:linePitch="326" w:charSpace="0"/>
        </w:sectPr>
      </w:pPr>
    </w:p>
    <w:sdt>
      <w:sdtPr>
        <w:rPr>
          <w:b w:val="0"/>
          <w:sz w:val="32"/>
          <w:szCs w:val="24"/>
          <w:lang w:val="zh-CN"/>
        </w:rPr>
        <w:id w:val="-1687361599"/>
        <w:docPartObj>
          <w:docPartGallery w:val="Table of Contents"/>
          <w:docPartUnique/>
        </w:docPartObj>
      </w:sdtPr>
      <w:sdtEndPr>
        <w:rPr>
          <w:b w:val="0"/>
          <w:bCs/>
          <w:sz w:val="24"/>
          <w:szCs w:val="21"/>
          <w:lang w:val="zh-CN"/>
        </w:rPr>
      </w:sdtEndPr>
      <w:sdtContent>
        <w:p>
          <w:pPr>
            <w:pStyle w:val="20"/>
            <w:rPr>
              <w:sz w:val="32"/>
              <w:szCs w:val="24"/>
            </w:rPr>
          </w:pPr>
          <w:r>
            <w:rPr>
              <w:sz w:val="32"/>
              <w:szCs w:val="24"/>
            </w:rPr>
            <w:t>Table of Contents</w:t>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TOC \o "1-3" \h \z \u </w:instrText>
          </w:r>
          <w:r>
            <w:fldChar w:fldCharType="separate"/>
          </w:r>
          <w:r>
            <w:fldChar w:fldCharType="begin"/>
          </w:r>
          <w:r>
            <w:instrText xml:space="preserve"> HYPERLINK \l "_Toc58786693" </w:instrText>
          </w:r>
          <w:r>
            <w:fldChar w:fldCharType="separate"/>
          </w:r>
          <w:r>
            <w:rPr>
              <w:rStyle w:val="13"/>
            </w:rPr>
            <w:t>1 Introduction</w:t>
          </w:r>
          <w:r>
            <w:tab/>
          </w:r>
          <w:r>
            <w:fldChar w:fldCharType="begin"/>
          </w:r>
          <w:r>
            <w:instrText xml:space="preserve"> PAGEREF _Toc58786693 \h </w:instrText>
          </w:r>
          <w:r>
            <w:fldChar w:fldCharType="separate"/>
          </w:r>
          <w:r>
            <w:t>3</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"_Toc58786694" </w:instrText>
          </w:r>
          <w:r>
            <w:fldChar w:fldCharType="separate"/>
          </w:r>
          <w:r>
            <w:rPr>
              <w:rStyle w:val="13"/>
            </w:rPr>
            <w:t>1.1 Problem Background</w:t>
          </w:r>
          <w:r>
            <w:tab/>
          </w:r>
          <w:r>
            <w:fldChar w:fldCharType="begin"/>
          </w:r>
          <w:r>
            <w:instrText xml:space="preserve"> PAGEREF _Toc58786694 \h </w:instrText>
          </w:r>
          <w:r>
            <w:fldChar w:fldCharType="separate"/>
          </w:r>
          <w:r>
            <w:t>3</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"_Toc58786695" </w:instrText>
          </w:r>
          <w:r>
            <w:fldChar w:fldCharType="separate"/>
          </w:r>
          <w:r>
            <w:rPr>
              <w:rStyle w:val="13"/>
            </w:rPr>
            <w:t>1.2 Restatement of the Problem</w:t>
          </w:r>
          <w:r>
            <w:tab/>
          </w:r>
          <w:r>
            <w:fldChar w:fldCharType="begin"/>
          </w:r>
          <w:r>
            <w:instrText xml:space="preserve"> PAGEREF _Toc58786695 \h </w:instrText>
          </w:r>
          <w:r>
            <w:fldChar w:fldCharType="separate"/>
          </w:r>
          <w:r>
            <w:t>3</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"_Toc58786696" </w:instrText>
          </w:r>
          <w:r>
            <w:fldChar w:fldCharType="separate"/>
          </w:r>
          <w:r>
            <w:rPr>
              <w:rStyle w:val="13"/>
            </w:rPr>
            <w:t>1.3 Literature Review</w:t>
          </w:r>
          <w:r>
            <w:tab/>
          </w:r>
          <w:r>
            <w:fldChar w:fldCharType="begin"/>
          </w:r>
          <w:r>
            <w:instrText xml:space="preserve"> PAGEREF _Toc58786696 \h </w:instrText>
          </w:r>
          <w:r>
            <w:fldChar w:fldCharType="separate"/>
          </w:r>
          <w:r>
            <w:t>3</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"_Toc58786697" </w:instrText>
          </w:r>
          <w:r>
            <w:fldChar w:fldCharType="separate"/>
          </w:r>
          <w:r>
            <w:rPr>
              <w:rStyle w:val="13"/>
            </w:rPr>
            <w:t>1.4 Our Work</w:t>
          </w:r>
          <w:r>
            <w:tab/>
          </w:r>
          <w:r>
            <w:fldChar w:fldCharType="begin"/>
          </w:r>
          <w:r>
            <w:instrText xml:space="preserve"> PAGEREF _Toc58786697 \h </w:instrText>
          </w:r>
          <w:r>
            <w:fldChar w:fldCharType="separate"/>
          </w:r>
          <w:r>
            <w:t>4</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"_Toc58786698" </w:instrText>
          </w:r>
          <w:r>
            <w:fldChar w:fldCharType="separate"/>
          </w:r>
          <w:r>
            <w:rPr>
              <w:rStyle w:val="13"/>
            </w:rPr>
            <w:t>2 Assumptions and Justifications</w:t>
          </w:r>
          <w:r>
            <w:tab/>
          </w:r>
          <w:r>
            <w:fldChar w:fldCharType="begin"/>
          </w:r>
          <w:r>
            <w:instrText xml:space="preserve"> PAGEREF _Toc58786698 \h </w:instrText>
          </w:r>
          <w:r>
            <w:fldChar w:fldCharType="separate"/>
          </w:r>
          <w:r>
            <w:t>5</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"_Toc58786699" </w:instrText>
          </w:r>
          <w:r>
            <w:fldChar w:fldCharType="separate"/>
          </w:r>
          <w:r>
            <w:rPr>
              <w:rStyle w:val="13"/>
            </w:rPr>
            <w:t>3 Notations</w:t>
          </w:r>
          <w:r>
            <w:tab/>
          </w:r>
          <w:r>
            <w:fldChar w:fldCharType="begin"/>
          </w:r>
          <w:r>
            <w:instrText xml:space="preserve"> PAGEREF _Toc58786699 \h </w:instrText>
          </w:r>
          <w:r>
            <w:fldChar w:fldCharType="separate"/>
          </w:r>
          <w:r>
            <w:t>6</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"_Toc58786700" </w:instrText>
          </w:r>
          <w:r>
            <w:fldChar w:fldCharType="separate"/>
          </w:r>
          <w:r>
            <w:rPr>
              <w:rStyle w:val="13"/>
              <w:highlight w:val="yellow"/>
            </w:rPr>
            <w:t>4 The name of model 1</w:t>
          </w:r>
          <w:r>
            <w:tab/>
          </w:r>
          <w:r>
            <w:fldChar w:fldCharType="begin"/>
          </w:r>
          <w:r>
            <w:instrText xml:space="preserve"> PAGEREF _Toc58786700 \h </w:instrText>
          </w:r>
          <w:r>
            <w:fldChar w:fldCharType="separate"/>
          </w:r>
          <w:r>
            <w:t>6</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"_Toc58786701" </w:instrText>
          </w:r>
          <w:r>
            <w:fldChar w:fldCharType="separate"/>
          </w:r>
          <w:r>
            <w:rPr>
              <w:rStyle w:val="13"/>
              <w:highlight w:val="yellow"/>
            </w:rPr>
            <w:t>4.1 Data Description</w:t>
          </w:r>
          <w:r>
            <w:tab/>
          </w:r>
          <w:r>
            <w:fldChar w:fldCharType="begin"/>
          </w:r>
          <w:r>
            <w:instrText xml:space="preserve"> PAGEREF _Toc58786701 \h </w:instrText>
          </w:r>
          <w:r>
            <w:fldChar w:fldCharType="separate"/>
          </w:r>
          <w:r>
            <w:t>7</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"_Toc58786702" </w:instrText>
          </w:r>
          <w:r>
            <w:fldChar w:fldCharType="separate"/>
          </w:r>
          <w:r>
            <w:rPr>
              <w:rStyle w:val="13"/>
              <w:highlight w:val="yellow"/>
            </w:rPr>
            <w:t>4.2 The Establishment of Model 1</w:t>
          </w:r>
          <w:r>
            <w:tab/>
          </w:r>
          <w:r>
            <w:fldChar w:fldCharType="begin"/>
          </w:r>
          <w:r>
            <w:instrText xml:space="preserve"> PAGEREF _Toc58786702 \h </w:instrText>
          </w:r>
          <w:r>
            <w:fldChar w:fldCharType="separate"/>
          </w:r>
          <w:r>
            <w:t>7</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"_Toc58786703" </w:instrText>
          </w:r>
          <w:r>
            <w:fldChar w:fldCharType="separate"/>
          </w:r>
          <w:r>
            <w:rPr>
              <w:rStyle w:val="13"/>
              <w:highlight w:val="yellow"/>
            </w:rPr>
            <w:t>4.3 The Solution of Model 1</w:t>
          </w:r>
          <w:r>
            <w:tab/>
          </w:r>
          <w:r>
            <w:fldChar w:fldCharType="begin"/>
          </w:r>
          <w:r>
            <w:instrText xml:space="preserve"> PAGEREF _Toc58786703 \h </w:instrText>
          </w:r>
          <w:r>
            <w:fldChar w:fldCharType="separate"/>
          </w:r>
          <w:r>
            <w:t>7</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"_Toc58786704" </w:instrText>
          </w:r>
          <w:r>
            <w:fldChar w:fldCharType="separate"/>
          </w:r>
          <w:r>
            <w:rPr>
              <w:rStyle w:val="13"/>
              <w:highlight w:val="yellow"/>
            </w:rPr>
            <w:t>5 The name of model 2</w:t>
          </w:r>
          <w:r>
            <w:tab/>
          </w:r>
          <w:r>
            <w:fldChar w:fldCharType="begin"/>
          </w:r>
          <w:r>
            <w:instrText xml:space="preserve"> PAGEREF _Toc58786704 \h </w:instrText>
          </w:r>
          <w:r>
            <w:fldChar w:fldCharType="separate"/>
          </w:r>
          <w:r>
            <w:t>8</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"_Toc58786705" </w:instrText>
          </w:r>
          <w:r>
            <w:fldChar w:fldCharType="separate"/>
          </w:r>
          <w:r>
            <w:rPr>
              <w:rStyle w:val="13"/>
              <w:highlight w:val="yellow"/>
            </w:rPr>
            <w:t>6 The name of model 3</w:t>
          </w:r>
          <w:r>
            <w:tab/>
          </w:r>
          <w:r>
            <w:fldChar w:fldCharType="begin"/>
          </w:r>
          <w:r>
            <w:instrText xml:space="preserve"> PAGEREF _Toc58786705 \h </w:instrText>
          </w:r>
          <w:r>
            <w:fldChar w:fldCharType="separate"/>
          </w:r>
          <w:r>
            <w:t>8</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"_Toc58786706" </w:instrText>
          </w:r>
          <w:r>
            <w:fldChar w:fldCharType="separate"/>
          </w:r>
          <w:r>
            <w:rPr>
              <w:rStyle w:val="13"/>
            </w:rPr>
            <w:t>7 Sensitivity Analysis</w:t>
          </w:r>
          <w:r>
            <w:tab/>
          </w:r>
          <w:r>
            <w:fldChar w:fldCharType="begin"/>
          </w:r>
          <w:r>
            <w:instrText xml:space="preserve"> PAGEREF _Toc58786706 \h </w:instrText>
          </w:r>
          <w:r>
            <w:fldChar w:fldCharType="separate"/>
          </w:r>
          <w:r>
            <w:t>8</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"_Toc58786707" </w:instrText>
          </w:r>
          <w:r>
            <w:fldChar w:fldCharType="separate"/>
          </w:r>
          <w:r>
            <w:rPr>
              <w:rStyle w:val="13"/>
            </w:rPr>
            <w:t>8 Model Evaluation and Further Discussion</w:t>
          </w:r>
          <w:r>
            <w:tab/>
          </w:r>
          <w:r>
            <w:fldChar w:fldCharType="begin"/>
          </w:r>
          <w:r>
            <w:instrText xml:space="preserve"> PAGEREF _Toc58786707 \h </w:instrText>
          </w:r>
          <w:r>
            <w:fldChar w:fldCharType="separate"/>
          </w:r>
          <w:r>
            <w:t>8</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"_Toc58786708" </w:instrText>
          </w:r>
          <w:r>
            <w:fldChar w:fldCharType="separate"/>
          </w:r>
          <w:r>
            <w:rPr>
              <w:rStyle w:val="13"/>
            </w:rPr>
            <w:t>8.1 Strengths</w:t>
          </w:r>
          <w:r>
            <w:tab/>
          </w:r>
          <w:r>
            <w:fldChar w:fldCharType="begin"/>
          </w:r>
          <w:r>
            <w:instrText xml:space="preserve"> PAGEREF _Toc58786708 \h </w:instrText>
          </w:r>
          <w:r>
            <w:fldChar w:fldCharType="separate"/>
          </w:r>
          <w:r>
            <w:t>8</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"_Toc58786709" </w:instrText>
          </w:r>
          <w:r>
            <w:fldChar w:fldCharType="separate"/>
          </w:r>
          <w:r>
            <w:rPr>
              <w:rStyle w:val="13"/>
            </w:rPr>
            <w:t>8.2 Weaknesses</w:t>
          </w:r>
          <w:r>
            <w:tab/>
          </w:r>
          <w:r>
            <w:fldChar w:fldCharType="begin"/>
          </w:r>
          <w:r>
            <w:instrText xml:space="preserve"> PAGEREF _Toc58786709 \h </w:instrText>
          </w:r>
          <w:r>
            <w:fldChar w:fldCharType="separate"/>
          </w:r>
          <w:r>
            <w:t>9</w:t>
          </w:r>
          <w:r>
            <w:fldChar w:fldCharType="end"/>
          </w:r>
          <w:r>
            <w:fldChar w:fldCharType="end"/>
          </w:r>
        </w:p>
        <w:p>
          <w:pPr>
            <w:pStyle w:val="9"/>
            <w:rPr>
              <w:rFonts w:asciiTheme="minorHAnsi" w:hAnsiTheme="minorHAnsi" w:eastAsiaTheme="minorEastAsia"/>
              <w:bCs w:val="0"/>
              <w:sz w:val="21"/>
            </w:rPr>
          </w:pPr>
          <w:r>
            <w:fldChar w:fldCharType="begin"/>
          </w:r>
          <w:r>
            <w:instrText xml:space="preserve"> HYPERLINK \l "_Toc58786710" </w:instrText>
          </w:r>
          <w:r>
            <w:fldChar w:fldCharType="separate"/>
          </w:r>
          <w:r>
            <w:rPr>
              <w:rStyle w:val="13"/>
            </w:rPr>
            <w:t>8.3 Further Discussion</w:t>
          </w:r>
          <w:r>
            <w:tab/>
          </w:r>
          <w:r>
            <w:fldChar w:fldCharType="begin"/>
          </w:r>
          <w:r>
            <w:instrText xml:space="preserve"> PAGEREF _Toc58786710 \h </w:instrText>
          </w:r>
          <w:r>
            <w:fldChar w:fldCharType="separate"/>
          </w:r>
          <w:r>
            <w:t>9</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"_Toc58786711" </w:instrText>
          </w:r>
          <w:r>
            <w:fldChar w:fldCharType="separate"/>
          </w:r>
          <w:r>
            <w:rPr>
              <w:rStyle w:val="13"/>
            </w:rPr>
            <w:t>9 Conclusion</w:t>
          </w:r>
          <w:r>
            <w:tab/>
          </w:r>
          <w:r>
            <w:fldChar w:fldCharType="begin"/>
          </w:r>
          <w:r>
            <w:instrText xml:space="preserve"> PAGEREF _Toc58786711 \h </w:instrText>
          </w:r>
          <w:r>
            <w:fldChar w:fldCharType="separate"/>
          </w:r>
          <w:r>
            <w:t>9</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"_Toc58786712" </w:instrText>
          </w:r>
          <w:r>
            <w:fldChar w:fldCharType="separate"/>
          </w:r>
          <w:r>
            <w:rPr>
              <w:rStyle w:val="13"/>
            </w:rPr>
            <w:t>References</w:t>
          </w:r>
          <w:r>
            <w:tab/>
          </w:r>
          <w:r>
            <w:fldChar w:fldCharType="begin"/>
          </w:r>
          <w:r>
            <w:instrText xml:space="preserve"> PAGEREF _Toc58786712 \h </w:instrText>
          </w:r>
          <w:r>
            <w:fldChar w:fldCharType="separate"/>
          </w:r>
          <w:r>
            <w:t>10</w:t>
          </w:r>
          <w:r>
            <w:fldChar w:fldCharType="end"/>
          </w:r>
          <w:r>
            <w:fldChar w:fldCharType="end"/>
          </w:r>
        </w:p>
        <w:p>
          <w:pPr>
            <w:pStyle w:val="8"/>
            <w:tabs>
              <w:tab w:val="right" w:leader="dot" w:pos="9016"/>
            </w:tabs>
            <w:rPr>
              <w:rFonts w:asciiTheme="minorHAnsi" w:hAnsiTheme="minorHAnsi" w:eastAsiaTheme="minorEastAsia"/>
              <w:b w:val="0"/>
              <w:bCs w:val="0"/>
              <w:iCs w:val="0"/>
              <w:sz w:val="21"/>
              <w:szCs w:val="22"/>
            </w:rPr>
          </w:pPr>
          <w:r>
            <w:fldChar w:fldCharType="begin"/>
          </w:r>
          <w:r>
            <w:instrText xml:space="preserve"> HYPERLINK \l "_Toc58786713" </w:instrText>
          </w:r>
          <w:r>
            <w:fldChar w:fldCharType="separate"/>
          </w:r>
          <w:r>
            <w:rPr>
              <w:rStyle w:val="13"/>
            </w:rPr>
            <w:t>Appendices</w:t>
          </w:r>
          <w:r>
            <w:tab/>
          </w:r>
          <w:r>
            <w:fldChar w:fldCharType="begin"/>
          </w:r>
          <w:r>
            <w:instrText xml:space="preserve"> PAGEREF _Toc58786713 \h </w:instrText>
          </w:r>
          <w:r>
            <w:fldChar w:fldCharType="separate"/>
          </w:r>
          <w:r>
            <w:t>11</w:t>
          </w:r>
          <w:r>
            <w:fldChar w:fldCharType="end"/>
          </w:r>
          <w:r>
            <w:fldChar w:fldCharType="end"/>
          </w:r>
        </w:p>
        <w:p>
          <w:pPr>
            <w:ind w:firstLine="482"/>
          </w:pPr>
          <w:r>
            <w:rPr>
              <w:b/>
              <w:bCs/>
              <w:lang w:val="zh-CN"/>
            </w:rPr>
            <w:fldChar w:fldCharType="end"/>
          </w:r>
        </w:p>
      </w:sdtContent>
    </w:sdt>
    <w:p>
      <w:pPr>
        <w:widowControl/>
        <w:ind w:firstLine="0" w:firstLineChars="0"/>
        <w:jc w:val="left"/>
      </w:pPr>
    </w:p>
    <w:p>
      <w:pPr>
        <w:widowControl/>
        <w:ind w:firstLine="0" w:firstLineChars="0"/>
        <w:jc w:val="left"/>
      </w:pPr>
      <w:r>
        <w:br w:type="page"/>
      </w:r>
    </w:p>
    <w:p>
      <w:pPr>
        <w:pStyle w:val="2"/>
      </w:pPr>
      <w:bookmarkStart w:id="1" w:name="bookmark57"/>
      <w:bookmarkStart w:id="2" w:name="_Toc58786693"/>
      <w:bookmarkStart w:id="3" w:name="_Toc58505769"/>
      <w:bookmarkStart w:id="4" w:name="bookmark54"/>
      <w:bookmarkStart w:id="5" w:name="bookmark55"/>
      <w:r>
        <w:t>Introduction</w:t>
      </w:r>
      <w:bookmarkEnd w:id="1"/>
      <w:bookmarkEnd w:id="2"/>
      <w:bookmarkEnd w:id="3"/>
      <w:bookmarkEnd w:id="4"/>
      <w:bookmarkEnd w:id="5"/>
    </w:p>
    <w:p>
      <w:pPr>
        <w:pStyle w:val="3"/>
        <w:spacing w:after="163"/>
      </w:pPr>
      <w:bookmarkStart w:id="6" w:name="_Toc58505770"/>
      <w:bookmarkStart w:id="7" w:name="_Toc58786694"/>
      <w:r>
        <w:t>Problem Background</w:t>
      </w:r>
      <w:bookmarkEnd w:id="6"/>
      <w:bookmarkEnd w:id="7"/>
    </w:p>
    <w:p>
      <w:pPr>
        <w:ind w:firstLine="480"/>
      </w:pPr>
      <w:r>
        <w:rPr>
          <w:rFonts w:hint="eastAsia"/>
        </w:rPr>
        <w:t>当前,全球变暖已成为世界各国共同面临的危机和挑战。为了控制大气温度，促进经济和生态的可持续发展，人们需要采取有效措施来减少大气中的温室气体。减少大气中的碳总量，不仅和排放量有关，也可以通过增加储存量的方法来实现。</w:t>
      </w:r>
    </w:p>
    <w:p>
      <w:pPr>
        <w:ind w:firstLine="199" w:firstLineChars="83"/>
      </w:pPr>
      <w:r>
        <w:drawing>
          <wp:inline distT="0" distB="0" distL="0" distR="0">
            <wp:extent cx="3374390" cy="2857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386500" cy="2867232"/>
                    </a:xfrm>
                    <a:prstGeom prst="rect">
                      <a:avLst/>
                    </a:prstGeom>
                    <a:noFill/>
                    <a:ln>
                      <a:noFill/>
                    </a:ln>
                  </pic:spPr>
                </pic:pic>
              </a:graphicData>
            </a:graphic>
          </wp:inline>
        </w:drawing>
      </w:r>
    </w:p>
    <w:p>
      <w:pPr>
        <w:ind w:firstLine="480"/>
      </w:pPr>
      <w:r>
        <w:rPr>
          <w:rFonts w:hint="eastAsia"/>
        </w:rPr>
        <w:t>由于绿色植物天然的光合作用，现有生态手段的碳储存大多是使用森林固碳。</w:t>
      </w:r>
      <w:r>
        <w:rPr>
          <w:rFonts w:hint="eastAsia"/>
          <w:color w:val="4472C4" w:themeColor="accent1"/>
          <w14:textFill>
            <w14:solidFill>
              <w14:schemeClr w14:val="accent1"/>
            </w14:solidFill>
          </w14:textFill>
        </w:rPr>
        <w:t>这也是比较有效、环保、经济效益高的方式。</w:t>
      </w:r>
      <w:r>
        <w:rPr>
          <w:rFonts w:hint="eastAsia"/>
        </w:rPr>
        <w:t>如何判断森林及其相关产品和固碳量的具体对应关系，是了解如何利用和管理好森林的首要问题。同时，由于森林不仅只有碳储存的作用，人们还必须在森林的其他价值及固碳价值之间找到平衡。统筹兼顾好森林的各个价值，不仅为森林管理决策者提供最优方案，也为世界更绿色、更环保的明天提供方向。</w:t>
      </w:r>
    </w:p>
    <w:p>
      <w:pPr>
        <w:ind w:firstLine="480"/>
      </w:pPr>
    </w:p>
    <w:p>
      <w:pPr>
        <w:ind w:firstLine="0" w:firstLineChars="0"/>
      </w:pPr>
    </w:p>
    <w:p>
      <w:pPr>
        <w:ind w:firstLine="480"/>
      </w:pPr>
    </w:p>
    <w:p>
      <w:pPr>
        <w:ind w:firstLine="480"/>
      </w:pPr>
    </w:p>
    <w:p>
      <w:pPr>
        <w:ind w:firstLine="480"/>
      </w:pPr>
      <w:r>
        <w:rPr>
          <w:rFonts w:hint="eastAsia"/>
        </w:rPr>
        <w:t>政府间气候变化专门委员会(Intergovernmental Panel on Climate Change,简称IPCC)已经预计从1990年到2100年全球气温将升高1.4℃—5.8℃。基于全球变暖的态势，以往已经有许多国家和地区提出了相应的宏观政策。日本京都最早于1997年12月提出“京都协议书”，目标“将大气中的温室气体含量稳定在一个适当的水平，进而防止剧烈的气候改变对人类造成伤害”。</w:t>
      </w:r>
      <w:r>
        <w:t>2003</w:t>
      </w:r>
      <w:r>
        <w:rPr>
          <w:rFonts w:hint="eastAsia"/>
        </w:rPr>
        <w:t>年</w:t>
      </w:r>
      <w:r>
        <w:t>2</w:t>
      </w:r>
      <w:r>
        <w:rPr>
          <w:rFonts w:hint="eastAsia"/>
        </w:rPr>
        <w:t>月</w:t>
      </w:r>
      <w:r>
        <w:t>24</w:t>
      </w:r>
      <w:r>
        <w:rPr>
          <w:rFonts w:hint="eastAsia"/>
        </w:rPr>
        <w:t>日英国首相布莱尔发表了题为《英国政府未来的能源－－创建一个低碳经济体》的白皮书。在该白皮书里英国首次提出了低碳经济的概念</w:t>
      </w:r>
      <w:r>
        <w:rPr>
          <w:rFonts w:hint="eastAsia" w:cs="Times New Roman"/>
        </w:rPr>
        <w:t>，并于</w:t>
      </w:r>
      <w:r>
        <w:t>2007</w:t>
      </w:r>
      <w:r>
        <w:rPr>
          <w:rFonts w:hint="eastAsia"/>
        </w:rPr>
        <w:t>年</w:t>
      </w:r>
      <w:r>
        <w:t>3</w:t>
      </w:r>
      <w:r>
        <w:rPr>
          <w:rFonts w:hint="eastAsia"/>
        </w:rPr>
        <w:t>月英国通过《气候变化草案》，建立了世界上第一个关于气候变化的立法主要内容。前人也在经济导向下提出了许多森林管理战略，或者进行了已有软件进行拟合</w:t>
      </w:r>
    </w:p>
    <w:p>
      <w:pPr>
        <w:ind w:firstLine="480"/>
      </w:pPr>
      <w:r>
        <w:rPr>
          <w:rFonts w:hint="eastAsia"/>
        </w:rPr>
        <w:t>我们的研究和前人不同。我们主要侧重于可持续发展生态导向的森林管理办法，并且建立了新的模型来计算碳储存量，及最佳的森林管理办法。</w:t>
      </w:r>
    </w:p>
    <w:p>
      <w:pPr>
        <w:ind w:firstLine="199" w:firstLineChars="83"/>
      </w:pPr>
    </w:p>
    <w:p>
      <w:pPr>
        <w:ind w:firstLine="199" w:firstLineChars="83"/>
      </w:pPr>
      <w:r>
        <w:t>The potential reduction in release of carbon from avoided deforestation and increased above-ground sequestration through forest plantation and improved forest management can be significant for climate policy. The Kyoto Protocol allows for carbon sequestration by forestation and reforestation under the Clean Development Mechanism(CDM) within the LULUCF (Land Use, Land Use Change, and Forestry)activities, but this was limited to a small fraction of emissions in 1990.More recently, the need for taking action against carbon releases from forest was recognized in the Paris Agreement. In practice, carbon sequestration has been introduced under different national regulations on GHG emissions and voluntary systems (Peters-Stanley et al., 2012;Kerr, 2013; Goldstein et al., 2014). A majority of these carbon sink offset projects have been incorporated in different voluntary systems, in particular under the Reducing Emissions from Deforestation and forest Degradation (REDD) program, which was created by the United Nations in 2008 to enhance use of carbon sinks (UNFCCC, 2008). Despite these efforts, in 2013 total carbon sequestration accounted for only 0.5% of the total volume of carbon trade (Goldstein et al., 2014; Kossoy et al.,2014).</w:t>
      </w:r>
    </w:p>
    <w:p>
      <w:pPr>
        <w:ind w:firstLine="480"/>
      </w:pPr>
    </w:p>
    <w:p>
      <w:pPr>
        <w:pStyle w:val="3"/>
        <w:spacing w:after="163"/>
      </w:pPr>
      <w:bookmarkStart w:id="8" w:name="_Toc58786695"/>
      <w:bookmarkStart w:id="9" w:name="_Toc58505771"/>
      <w:bookmarkStart w:id="10" w:name="_Hlk58235858"/>
      <w:r>
        <w:t>Restatement of the Problem</w:t>
      </w:r>
      <w:bookmarkEnd w:id="8"/>
      <w:bookmarkEnd w:id="9"/>
    </w:p>
    <w:bookmarkEnd w:id="10"/>
    <w:p>
      <w:pPr>
        <w:ind w:firstLine="480"/>
      </w:pPr>
      <w:bookmarkStart w:id="11" w:name="_Hlk96158808"/>
      <w:r>
        <w:t>Given the background information and constraints identified in the problem statement, we need to solve the following problems:</w:t>
      </w:r>
    </w:p>
    <w:bookmarkEnd w:id="11"/>
    <w:p>
      <w:pPr>
        <w:ind w:firstLine="480"/>
      </w:pPr>
    </w:p>
    <w:p>
      <w:pPr>
        <w:ind w:firstLine="199" w:firstLineChars="83"/>
      </w:pPr>
    </w:p>
    <w:p>
      <w:pPr>
        <w:pStyle w:val="19"/>
        <w:numPr>
          <w:ilvl w:val="0"/>
          <w:numId w:val="2"/>
        </w:numPr>
        <w:ind w:firstLineChars="0"/>
        <w:rPr>
          <w:color w:val="FF0000"/>
        </w:rPr>
      </w:pPr>
      <w:r>
        <w:rPr>
          <w:rFonts w:hint="eastAsia"/>
        </w:rPr>
        <w:t>建立一个碳封存计算模型，以确定森林及其产品可封存的二氧化碳总量。并确定怎样管理对碳封存最有效。</w:t>
      </w:r>
      <w:r>
        <w:rPr>
          <w:rFonts w:hint="eastAsia"/>
          <w:color w:val="FF0000"/>
        </w:rPr>
        <w:t>（怎样平衡树木保留&amp;砍伐制成产品，要考虑砍伐比例！）</w:t>
      </w:r>
    </w:p>
    <w:p>
      <w:pPr>
        <w:ind w:firstLine="480"/>
      </w:pPr>
    </w:p>
    <w:p>
      <w:pPr>
        <w:pStyle w:val="19"/>
        <w:numPr>
          <w:ilvl w:val="0"/>
          <w:numId w:val="2"/>
        </w:numPr>
        <w:ind w:firstLineChars="0"/>
      </w:pPr>
      <w:r>
        <w:rPr>
          <w:rFonts w:hint="eastAsia"/>
        </w:rPr>
        <w:t>开发一个决策模型，得到一个考虑全面的森林管理计划。需明确</w:t>
      </w:r>
      <w:r>
        <w:t>决策模型的管理范围</w:t>
      </w:r>
      <w:r>
        <w:rPr>
          <w:rFonts w:hint="eastAsia"/>
        </w:rPr>
        <w:t>（给出的决策包括哪些方面）；考虑</w:t>
      </w:r>
      <w:r>
        <w:t>森林不</w:t>
      </w:r>
      <w:r>
        <w:rPr>
          <w:rFonts w:hint="eastAsia"/>
        </w:rPr>
        <w:t>应</w:t>
      </w:r>
      <w:r>
        <w:t>被砍伐</w:t>
      </w:r>
      <w:r>
        <w:rPr>
          <w:rFonts w:hint="eastAsia"/>
        </w:rPr>
        <w:t>的情况；两次</w:t>
      </w:r>
      <w:r>
        <w:t>管理计划</w:t>
      </w:r>
      <w:r>
        <w:rPr>
          <w:rFonts w:hint="eastAsia"/>
        </w:rPr>
        <w:t>实施</w:t>
      </w:r>
      <w:r>
        <w:t>之间是否存在过渡点</w:t>
      </w:r>
      <w:r>
        <w:rPr>
          <w:rFonts w:hint="eastAsia"/>
        </w:rPr>
        <w:t>；怎样通过</w:t>
      </w:r>
      <w:r>
        <w:t>森林</w:t>
      </w:r>
      <w:r>
        <w:rPr>
          <w:rFonts w:hint="eastAsia"/>
        </w:rPr>
        <w:t>的特征</w:t>
      </w:r>
      <w:r>
        <w:t>及</w:t>
      </w:r>
      <w:r>
        <w:rPr>
          <w:rFonts w:hint="eastAsia"/>
        </w:rPr>
        <w:t>所处</w:t>
      </w:r>
      <w:r>
        <w:t>位置</w:t>
      </w:r>
      <w:r>
        <w:rPr>
          <w:rFonts w:hint="eastAsia"/>
        </w:rPr>
        <w:t>去确定计划实施中的过渡点</w:t>
      </w:r>
    </w:p>
    <w:p>
      <w:pPr>
        <w:ind w:firstLine="0" w:firstLineChars="0"/>
      </w:pPr>
    </w:p>
    <w:p>
      <w:pPr>
        <w:pStyle w:val="19"/>
        <w:widowControl/>
        <w:numPr>
          <w:ilvl w:val="0"/>
          <w:numId w:val="2"/>
        </w:numPr>
        <w:ind w:firstLineChars="0"/>
        <w:jc w:val="left"/>
        <w:rPr>
          <w:rFonts w:hint="eastAsia" w:ascii="TimesNewRomanPSMT" w:hAnsi="TimesNewRomanPSMT" w:cs="宋体"/>
          <w:color w:val="000000"/>
          <w:kern w:val="0"/>
          <w:szCs w:val="24"/>
        </w:rPr>
      </w:pPr>
      <w:r>
        <w:t>将模型应用于</w:t>
      </w:r>
      <w:r>
        <w:rPr>
          <w:rFonts w:hint="eastAsia"/>
        </w:rPr>
        <w:t>多种</w:t>
      </w:r>
      <w:r>
        <w:t>森林</w:t>
      </w:r>
      <w:r>
        <w:rPr>
          <w:rFonts w:hint="eastAsia"/>
        </w:rPr>
        <w:t>，并根据结果解释一种适当砍伐有利于整体森林管理的森林类型。需要指明</w:t>
      </w:r>
      <w:r>
        <w:t>这片森林及其产品</w:t>
      </w:r>
      <w:r>
        <w:rPr>
          <w:rFonts w:hint="eastAsia"/>
        </w:rPr>
        <w:t>在</w:t>
      </w:r>
      <w:r>
        <w:t>100</w:t>
      </w:r>
      <w:r>
        <w:rPr>
          <w:rFonts w:hint="eastAsia"/>
        </w:rPr>
        <w:t>年间将</w:t>
      </w:r>
      <w:r>
        <w:t>封存多少二氧化碳</w:t>
      </w:r>
      <w:r>
        <w:rPr>
          <w:rFonts w:hint="eastAsia"/>
        </w:rPr>
        <w:t>，并说明通过决策模型制定</w:t>
      </w:r>
      <w:r>
        <w:t>森林管理</w:t>
      </w:r>
      <w:r>
        <w:rPr>
          <w:rFonts w:hint="eastAsia"/>
        </w:rPr>
        <w:t>计划的合理性。</w:t>
      </w:r>
    </w:p>
    <w:p>
      <w:pPr>
        <w:pStyle w:val="19"/>
        <w:widowControl/>
        <w:ind w:left="420" w:firstLine="0" w:firstLineChars="0"/>
        <w:jc w:val="left"/>
        <w:rPr>
          <w:rFonts w:hint="eastAsia" w:ascii="TimesNewRomanPSMT" w:hAnsi="TimesNewRomanPSMT" w:cs="宋体"/>
          <w:color w:val="000000"/>
          <w:kern w:val="0"/>
          <w:szCs w:val="24"/>
        </w:rPr>
      </w:pPr>
    </w:p>
    <w:p>
      <w:pPr>
        <w:pStyle w:val="19"/>
        <w:widowControl/>
        <w:ind w:left="420" w:firstLine="0" w:firstLineChars="0"/>
        <w:jc w:val="left"/>
        <w:rPr>
          <w:rFonts w:hint="eastAsia" w:ascii="TimesNewRomanPSMT" w:hAnsi="TimesNewRomanPSMT" w:cs="宋体"/>
          <w:color w:val="000000"/>
          <w:kern w:val="0"/>
          <w:szCs w:val="24"/>
        </w:rPr>
      </w:pPr>
      <w:r>
        <w:rPr>
          <w:rFonts w:hint="eastAsia" w:ascii="TimesNewRomanPSMT" w:hAnsi="TimesNewRomanPSMT" w:cs="宋体"/>
          <w:color w:val="000000"/>
          <w:kern w:val="0"/>
          <w:szCs w:val="24"/>
        </w:rPr>
        <w:t>应用那一步我后来理解是：我们应用了决策模型给很多森林做了决策，其中有的决策出要砍伐，有的不砍伐。而我们挑选决策出要砍伐的具体的某个森林</w:t>
      </w:r>
    </w:p>
    <w:p>
      <w:pPr>
        <w:pStyle w:val="19"/>
        <w:widowControl/>
        <w:ind w:left="420" w:firstLine="0" w:firstLineChars="0"/>
        <w:jc w:val="left"/>
        <w:rPr>
          <w:rFonts w:hint="eastAsia" w:ascii="TimesNewRomanPSMT" w:hAnsi="TimesNewRomanPSMT" w:cs="宋体"/>
          <w:color w:val="000000"/>
          <w:kern w:val="0"/>
          <w:szCs w:val="24"/>
        </w:rPr>
      </w:pPr>
    </w:p>
    <w:p>
      <w:pPr>
        <w:pStyle w:val="19"/>
        <w:widowControl/>
        <w:numPr>
          <w:ilvl w:val="0"/>
          <w:numId w:val="2"/>
        </w:numPr>
        <w:ind w:firstLineChars="0"/>
        <w:jc w:val="left"/>
        <w:rPr>
          <w:rFonts w:hint="eastAsia" w:ascii="TimesNewRomanPSMT" w:hAnsi="TimesNewRomanPSMT" w:cs="宋体"/>
          <w:color w:val="000000"/>
          <w:kern w:val="0"/>
          <w:szCs w:val="24"/>
        </w:rPr>
      </w:pPr>
      <w:r>
        <w:rPr>
          <w:rFonts w:hint="eastAsia" w:ascii="TimesNewRomanPSMT" w:hAnsi="TimesNewRomanPSMT" w:cs="宋体"/>
          <w:color w:val="FF0000"/>
          <w:kern w:val="0"/>
          <w:szCs w:val="24"/>
        </w:rPr>
        <w:t>假设最佳管理计划的砍伐间隔时间，比当前的管理做法长10 年。 讨论出一个与森林管理者和所有使用森林的人都息息相关的战略部署，来将现有的管理时间表转化到新时间表（砍伐间隔长1</w:t>
      </w:r>
      <w:r>
        <w:rPr>
          <w:rFonts w:ascii="TimesNewRomanPSMT" w:hAnsi="TimesNewRomanPSMT" w:cs="宋体"/>
          <w:color w:val="FF0000"/>
          <w:kern w:val="0"/>
          <w:szCs w:val="24"/>
        </w:rPr>
        <w:t>0</w:t>
      </w:r>
      <w:r>
        <w:rPr>
          <w:rFonts w:hint="eastAsia" w:ascii="TimesNewRomanPSMT" w:hAnsi="TimesNewRomanPSMT" w:cs="宋体"/>
          <w:color w:val="FF0000"/>
          <w:kern w:val="0"/>
          <w:szCs w:val="24"/>
        </w:rPr>
        <w:t>年）。</w:t>
      </w:r>
    </w:p>
    <w:p>
      <w:pPr>
        <w:pStyle w:val="19"/>
        <w:widowControl/>
        <w:ind w:left="420" w:firstLine="0" w:firstLineChars="0"/>
        <w:jc w:val="left"/>
        <w:rPr>
          <w:rFonts w:hint="eastAsia" w:ascii="TimesNewRomanPSMT" w:hAnsi="TimesNewRomanPSMT" w:cs="宋体"/>
          <w:color w:val="000000"/>
          <w:kern w:val="0"/>
          <w:szCs w:val="24"/>
        </w:rPr>
      </w:pPr>
      <w:r>
        <w:rPr>
          <w:rFonts w:ascii="TimesNewRomanPSMT" w:hAnsi="TimesNewRomanPSMT" w:cs="宋体"/>
          <w:color w:val="000000"/>
          <w:kern w:val="0"/>
          <w:szCs w:val="24"/>
        </w:rPr>
        <w:t>Suppose the best management plan includes a time between harvests that is 10 years longer than current practices in the forest. Discuss a strategy for transitioning from the existing timeline to the new timeline in a way that is sensitive to the needs of forest managers and all who use the forest.</w:t>
      </w:r>
    </w:p>
    <w:p>
      <w:pPr>
        <w:widowControl/>
        <w:ind w:firstLine="0" w:firstLineChars="0"/>
        <w:jc w:val="left"/>
        <w:rPr>
          <w:rFonts w:hint="eastAsia" w:ascii="TimesNewRomanPSMT" w:hAnsi="TimesNewRomanPSMT" w:cs="宋体"/>
          <w:color w:val="000000"/>
          <w:kern w:val="0"/>
          <w:szCs w:val="24"/>
        </w:rPr>
      </w:pPr>
    </w:p>
    <w:p>
      <w:pPr>
        <w:pStyle w:val="19"/>
        <w:numPr>
          <w:ilvl w:val="0"/>
          <w:numId w:val="3"/>
        </w:numPr>
        <w:ind w:firstLineChars="0"/>
      </w:pPr>
      <w:r>
        <w:rPr>
          <w:rFonts w:hint="eastAsia"/>
        </w:rPr>
        <w:t>通过一篇一到两页的非技术性报纸文章，通俗地解释所提的森林管理计划的合理性，解释砍伐对森林管理的效果。这个解释应该足够清晰和明确，以让当地社区相信，这是对他们森林的最佳决定</w:t>
      </w:r>
    </w:p>
    <w:p>
      <w:pPr>
        <w:ind w:firstLine="0" w:firstLineChars="0"/>
      </w:pPr>
    </w:p>
    <w:p>
      <w:pPr>
        <w:pStyle w:val="3"/>
        <w:spacing w:after="163"/>
      </w:pPr>
      <w:bookmarkStart w:id="12" w:name="_Toc58786697"/>
      <w:bookmarkStart w:id="13" w:name="_Toc58505773"/>
      <w:r>
        <w:rPr>
          <w:rFonts w:hint="eastAsia"/>
        </w:rPr>
        <w:t>O</w:t>
      </w:r>
      <w:r>
        <w:t>ur Work</w:t>
      </w:r>
      <w:bookmarkEnd w:id="12"/>
      <w:bookmarkEnd w:id="13"/>
    </w:p>
    <w:p>
      <w:pPr>
        <w:pStyle w:val="19"/>
        <w:ind w:left="420" w:firstLine="0" w:firstLineChars="0"/>
      </w:pPr>
      <w:r>
        <w:t>forest management strategies that include appropriate harvesting can be beneficial for carbon sequestration. Forest managers must find a balance between the value of forest products derived from harvesting and the value of allowing the forest to continue growing and sequestering carbon as living trees.</w:t>
      </w:r>
    </w:p>
    <w:p>
      <w:pPr>
        <w:pStyle w:val="19"/>
        <w:widowControl/>
        <w:numPr>
          <w:ilvl w:val="0"/>
          <w:numId w:val="3"/>
        </w:numPr>
        <w:ind w:firstLineChars="0"/>
        <w:jc w:val="left"/>
        <w:rPr>
          <w:rFonts w:hint="eastAsia" w:ascii="TimesNewRomanPSMT" w:hAnsi="TimesNewRomanPSMT" w:cs="宋体"/>
          <w:color w:val="FF0000"/>
          <w:kern w:val="0"/>
          <w:szCs w:val="24"/>
        </w:rPr>
      </w:pPr>
      <w:r>
        <w:rPr>
          <w:rFonts w:hint="eastAsia"/>
        </w:rPr>
        <w:t>首先，为了平衡森林产品和森林保持两种碳储存方式，得到碳封存的最佳效果，我们开发一个碳封存模型。这个模型考虑了“树木的年龄和类型，地理、地形、效益和寿命”影响因素，核心建立了“碳封存量-树木年龄公式”、“各年龄树木最佳数量-树木年龄公式”。综合这两个公式，不仅可以得到森林及森林产品的固碳总量，还可以得到森林保持应该满足的各年龄树木的数量最佳比例，继而确定</w:t>
      </w:r>
      <w:r>
        <w:t>what forest management plan is most effective at sequestering carbon dioxide</w:t>
      </w:r>
      <w:r>
        <w:rPr>
          <w:rFonts w:hint="eastAsia"/>
        </w:rPr>
        <w:t>。</w:t>
      </w:r>
      <w:r>
        <w:rPr>
          <w:rFonts w:hint="eastAsia" w:ascii="TimesNewRomanPSMT" w:hAnsi="TimesNewRomanPSMT" w:cs="宋体"/>
          <w:color w:val="FF0000"/>
          <w:kern w:val="0"/>
          <w:szCs w:val="24"/>
        </w:rPr>
        <w:t>（</w:t>
      </w:r>
      <w:r>
        <w:rPr>
          <w:rFonts w:ascii="TimesNewRomanPSMT" w:hAnsi="TimesNewRomanPSMT" w:cs="宋体"/>
          <w:color w:val="FF0000"/>
          <w:kern w:val="0"/>
          <w:szCs w:val="24"/>
        </w:rPr>
        <w:t xml:space="preserve">Your model should determine </w:t>
      </w:r>
      <w:bookmarkStart w:id="14" w:name="_Hlk96105181"/>
      <w:r>
        <w:rPr>
          <w:rFonts w:ascii="TimesNewRomanPSMT" w:hAnsi="TimesNewRomanPSMT" w:cs="宋体"/>
          <w:color w:val="FF0000"/>
          <w:kern w:val="0"/>
          <w:szCs w:val="24"/>
        </w:rPr>
        <w:t>what forest management plan is most effective at sequestering carbon dioxid</w:t>
      </w:r>
      <w:r>
        <w:rPr>
          <w:rFonts w:ascii="TimesNewRomanPSMT" w:hAnsi="TimesNewRomanPSMT" w:cs="宋体"/>
          <w:b/>
          <w:bCs/>
          <w:color w:val="FF0000"/>
          <w:kern w:val="0"/>
          <w:szCs w:val="24"/>
        </w:rPr>
        <w:t>e</w:t>
      </w:r>
      <w:bookmarkEnd w:id="14"/>
      <w:r>
        <w:rPr>
          <w:rFonts w:ascii="TimesNewRomanPSMT" w:hAnsi="TimesNewRomanPSMT" w:cs="宋体"/>
          <w:b/>
          <w:bCs/>
          <w:color w:val="FF0000"/>
          <w:kern w:val="0"/>
          <w:szCs w:val="24"/>
        </w:rPr>
        <w:t>.</w:t>
      </w:r>
      <w:r>
        <w:rPr>
          <w:rFonts w:hint="eastAsia" w:ascii="TimesNewRomanPSMT" w:hAnsi="TimesNewRomanPSMT" w:cs="宋体"/>
          <w:b/>
          <w:bCs/>
          <w:color w:val="FF0000"/>
          <w:kern w:val="0"/>
          <w:szCs w:val="24"/>
        </w:rPr>
        <w:t>第一个模型应该是能得到碳封存的总结果，并且这个结果是平衡好了森林保持&amp;砍伐做成森林产品的最佳情况下的，即能确定出保持和砍伐的的最佳决策比例</w:t>
      </w:r>
      <w:r>
        <w:rPr>
          <w:rFonts w:hint="eastAsia" w:ascii="TimesNewRomanPSMT" w:hAnsi="TimesNewRomanPSMT" w:cs="宋体"/>
          <w:color w:val="FF0000"/>
          <w:kern w:val="0"/>
          <w:szCs w:val="24"/>
        </w:rPr>
        <w:t>）</w:t>
      </w:r>
    </w:p>
    <w:p>
      <w:pPr>
        <w:pStyle w:val="19"/>
        <w:numPr>
          <w:ilvl w:val="0"/>
          <w:numId w:val="2"/>
        </w:numPr>
        <w:ind w:firstLineChars="0"/>
      </w:pPr>
      <w:r>
        <w:rPr>
          <w:rFonts w:hint="eastAsia"/>
        </w:rPr>
        <w:t>其次，考虑到森林的价值不仅是碳封存，所以为了完善森林管理计划，我们首先完善了森林管理的考虑范围</w:t>
      </w:r>
      <w:r>
        <w:rPr>
          <w:rFonts w:ascii="TimesNewRomanPSMT" w:hAnsi="TimesNewRomanPSMT"/>
          <w:color w:val="000000"/>
        </w:rPr>
        <w:t>the spectrum of management plans</w:t>
      </w:r>
      <w:r>
        <w:rPr>
          <w:rFonts w:hint="eastAsia"/>
        </w:rPr>
        <w:t>，包括“潜在的碳封存、保护和生物多样性方面、娱乐用途和文化考虑”。同时，</w:t>
      </w:r>
      <w:r>
        <w:rPr>
          <w:rFonts w:hint="eastAsia"/>
          <w:b/>
          <w:bCs/>
          <w:color w:val="FF0000"/>
        </w:rPr>
        <w:t>我们通过分析，明确了砍伐所需要满足相应条件“、、、”，即在“、、、、条件下，树木不应该被砍伐”。</w:t>
      </w:r>
    </w:p>
    <w:p>
      <w:pPr>
        <w:pStyle w:val="19"/>
        <w:ind w:left="420" w:firstLine="0" w:firstLineChars="0"/>
        <w:rPr>
          <w:b/>
          <w:bCs/>
        </w:rPr>
      </w:pPr>
      <w:r>
        <w:t>The carbon sequestered in some forest products combined with the carbon sequestered because of the regrowth of younger forests has the potential to allow for more carbon sequestration over time when compared to the carbon sequestration benefits of not cutting forests at all.</w:t>
      </w:r>
      <w:r>
        <w:rPr>
          <w:rFonts w:hint="eastAsia"/>
          <w:b/>
          <w:bCs/>
        </w:rPr>
        <w:t>（与根本不砍伐森林的碳封存好处相比，一些森林产品中的碳封存与由于年轻森林的再生而导致的碳封存相结合，有可能随着时间的推移允许更多的碳封存。所以在、、、条件下不应该砍伐）</w:t>
      </w:r>
    </w:p>
    <w:p>
      <w:pPr>
        <w:pStyle w:val="19"/>
        <w:ind w:left="420" w:firstLine="0" w:firstLineChars="0"/>
        <w:rPr>
          <w:b/>
          <w:bCs/>
        </w:rPr>
      </w:pPr>
      <w:r>
        <w:rPr>
          <w:b/>
          <w:bCs/>
        </w:rPr>
        <w:t>If a goal is to integrate carbon sequestration into  broader  forest  management  objectives,  it  will  be  important  to  minimize  trade-  offs  with  other  ecosystem services, such as the recreational opportunities, water quality, and wildlife habitat that the state’s forests provide.</w:t>
      </w:r>
      <w:r>
        <w:rPr>
          <w:rFonts w:hint="eastAsia"/>
        </w:rPr>
        <w:t xml:space="preserve"> </w:t>
      </w:r>
      <w:r>
        <w:rPr>
          <w:rFonts w:hint="eastAsia"/>
          <w:b/>
          <w:bCs/>
        </w:rPr>
        <w:t>如果目标是将碳封存纳入更广泛的森林管理目标，则必须尽量减少与其他生态系统服务的权衡，例如该州森林提供的娱乐机会、水质和野生动物栖息地。 图片来源：艾米莉斯蒂芬斯。</w:t>
      </w:r>
    </w:p>
    <w:p>
      <w:pPr>
        <w:pStyle w:val="19"/>
        <w:ind w:left="420" w:firstLine="0" w:firstLineChars="0"/>
        <w:rPr>
          <w:b/>
          <w:bCs/>
        </w:rPr>
      </w:pPr>
    </w:p>
    <w:p>
      <w:pPr>
        <w:pStyle w:val="19"/>
        <w:numPr>
          <w:ilvl w:val="0"/>
          <w:numId w:val="2"/>
        </w:numPr>
        <w:ind w:firstLineChars="0"/>
      </w:pPr>
      <w:r>
        <w:rPr>
          <w:rFonts w:hint="eastAsia"/>
        </w:rPr>
        <w:t>接着，在明确了范围和砍伐条件的基础上，我们开发了一个决策模型。这个模型综合了平衡森林的各种价值方式（、、、因素），因此可得到一个更综合的森林管理最佳计划。</w:t>
      </w:r>
      <w:r>
        <w:rPr>
          <w:rFonts w:hint="eastAsia"/>
          <w:color w:val="FF0000"/>
        </w:rPr>
        <w:t>另外，我们发现在两次</w:t>
      </w:r>
      <w:r>
        <w:rPr>
          <w:color w:val="FF0000"/>
        </w:rPr>
        <w:t>管理计划</w:t>
      </w:r>
      <w:r>
        <w:rPr>
          <w:rFonts w:hint="eastAsia"/>
          <w:color w:val="FF0000"/>
        </w:rPr>
        <w:t>实施时，总是存在</w:t>
      </w:r>
      <w:r>
        <w:rPr>
          <w:color w:val="FF0000"/>
        </w:rPr>
        <w:t>过渡点</w:t>
      </w:r>
      <w:r>
        <w:rPr>
          <w:rFonts w:hint="eastAsia"/>
          <w:color w:val="FF0000"/>
        </w:rPr>
        <w:t>，而且通过</w:t>
      </w:r>
      <w:r>
        <w:rPr>
          <w:color w:val="FF0000"/>
        </w:rPr>
        <w:t>森林</w:t>
      </w:r>
      <w:r>
        <w:rPr>
          <w:rFonts w:hint="eastAsia"/>
          <w:color w:val="FF0000"/>
        </w:rPr>
        <w:t>的“、、、”参数可以有效地确定这个过渡点的大致情况。</w:t>
      </w:r>
    </w:p>
    <w:p>
      <w:pPr>
        <w:pStyle w:val="19"/>
        <w:numPr>
          <w:ilvl w:val="0"/>
          <w:numId w:val="4"/>
        </w:numPr>
        <w:ind w:firstLineChars="0"/>
      </w:pPr>
      <w:r>
        <w:rPr>
          <w:rFonts w:hint="eastAsia"/>
        </w:rPr>
        <w:t>另外，我们将决策模型</w:t>
      </w:r>
      <w:r>
        <w:t>应用于各种森林</w:t>
      </w:r>
      <w:r>
        <w:rPr>
          <w:rFonts w:hint="eastAsia"/>
        </w:rPr>
        <w:t>，得到了它们相应的推荐管理计划。举例来说，通过我们的模型推荐决策，“、、、</w:t>
      </w:r>
      <w:r>
        <w:rPr>
          <w:rFonts w:hint="eastAsia"/>
          <w:color w:val="FF0000"/>
        </w:rPr>
        <w:t>所选森林</w:t>
      </w:r>
      <w:r>
        <w:rPr>
          <w:rFonts w:hint="eastAsia"/>
        </w:rPr>
        <w:t>名称”的未来管理</w:t>
      </w:r>
      <w:r>
        <w:rPr>
          <w:rFonts w:hint="eastAsia"/>
          <w:color w:val="FF0000"/>
        </w:rPr>
        <w:t>应该进行砍伐</w:t>
      </w:r>
      <w:r>
        <w:rPr>
          <w:rFonts w:hint="eastAsia"/>
        </w:rPr>
        <w:t>而制成产品</w:t>
      </w:r>
      <w:r>
        <w:t>。</w:t>
      </w:r>
      <w:r>
        <w:rPr>
          <w:rFonts w:hint="eastAsia"/>
        </w:rPr>
        <w:t>我们计算了它实行砍伐计划下，1</w:t>
      </w:r>
      <w:r>
        <w:t>00</w:t>
      </w:r>
      <w:r>
        <w:rPr>
          <w:rFonts w:hint="eastAsia"/>
        </w:rPr>
        <w:t>年后的</w:t>
      </w:r>
      <w:r>
        <w:t>森林及其产品</w:t>
      </w:r>
      <w:r>
        <w:rPr>
          <w:rFonts w:hint="eastAsia"/>
        </w:rPr>
        <w:t>的</w:t>
      </w:r>
      <w:r>
        <w:t>二氧化碳</w:t>
      </w:r>
      <w:r>
        <w:rPr>
          <w:rFonts w:hint="eastAsia"/>
        </w:rPr>
        <w:t>总封存量为“、、、”，没有砍伐情况的总量为“、、、”，从而对比验证了我们计划的合理性。</w:t>
      </w:r>
    </w:p>
    <w:p>
      <w:pPr>
        <w:pStyle w:val="19"/>
        <w:numPr>
          <w:ilvl w:val="0"/>
          <w:numId w:val="3"/>
        </w:numPr>
        <w:ind w:firstLineChars="0"/>
        <w:rPr>
          <w:color w:val="FF0000"/>
        </w:rPr>
      </w:pPr>
      <w:r>
        <w:rPr>
          <w:rFonts w:hint="eastAsia" w:ascii="TimesNewRomanPSMT" w:hAnsi="TimesNewRomanPSMT" w:cs="宋体"/>
          <w:color w:val="FF0000"/>
          <w:kern w:val="0"/>
          <w:szCs w:val="24"/>
        </w:rPr>
        <w:t>值得说明的是，根据题目所给假设，最佳管理计划的砍伐间隔时间，比当前的管理做法长10 年。 我们还讨论出一个与森林管理者和所有使用森林的人都息息相关的战略部署，来实现将现有的管理时间表转化到新时间表（砍伐间隔长1</w:t>
      </w:r>
      <w:r>
        <w:rPr>
          <w:rFonts w:ascii="TimesNewRomanPSMT" w:hAnsi="TimesNewRomanPSMT" w:cs="宋体"/>
          <w:color w:val="FF0000"/>
          <w:kern w:val="0"/>
          <w:szCs w:val="24"/>
        </w:rPr>
        <w:t>0</w:t>
      </w:r>
      <w:r>
        <w:rPr>
          <w:rFonts w:hint="eastAsia" w:ascii="TimesNewRomanPSMT" w:hAnsi="TimesNewRomanPSMT" w:cs="宋体"/>
          <w:color w:val="FF0000"/>
          <w:kern w:val="0"/>
          <w:szCs w:val="24"/>
        </w:rPr>
        <w:t>年）的良好过渡.</w:t>
      </w:r>
    </w:p>
    <w:p>
      <w:pPr>
        <w:pStyle w:val="19"/>
        <w:numPr>
          <w:ilvl w:val="0"/>
          <w:numId w:val="3"/>
        </w:numPr>
        <w:ind w:firstLineChars="0"/>
      </w:pPr>
      <w:r>
        <w:rPr>
          <w:rFonts w:hint="eastAsia"/>
        </w:rPr>
        <w:t>最后，为了说服当地人砍树制成产品将比保留树木更有利于固碳，我们写一篇一到两页的非技术性报纸文章，来解释我们分析的合理性。</w:t>
      </w:r>
    </w:p>
    <w:p>
      <w:pPr>
        <w:pStyle w:val="2"/>
      </w:pPr>
      <w:bookmarkStart w:id="15" w:name="_Toc58505774"/>
      <w:bookmarkStart w:id="16" w:name="_Toc58786698"/>
      <w:r>
        <w:t>Assumptions and Justifications</w:t>
      </w:r>
      <w:bookmarkEnd w:id="15"/>
      <w:bookmarkEnd w:id="16"/>
      <w:bookmarkStart w:id="17" w:name="_Toc58505775"/>
    </w:p>
    <w:p>
      <w:pPr>
        <w:pStyle w:val="19"/>
        <w:numPr>
          <w:ilvl w:val="0"/>
          <w:numId w:val="5"/>
        </w:numPr>
        <w:ind w:firstLineChars="0"/>
      </w:pPr>
      <w:r>
        <w:rPr>
          <w:rFonts w:hint="eastAsia"/>
        </w:rPr>
        <w:t>此外中的砍伐都是制成比现有保持为森林固碳更多的产品，而不是快捷使用的产品</w:t>
      </w:r>
    </w:p>
    <w:p>
      <w:pPr>
        <w:pStyle w:val="19"/>
        <w:ind w:left="619" w:firstLine="0" w:firstLineChars="0"/>
      </w:pPr>
      <w:r>
        <w:rPr>
          <w:rFonts w:hint="eastAsia"/>
        </w:rPr>
        <w:t>由于我们是为森林管理者提供建议支持，所以并没有考虑过多的经济效益和商品因素。</w:t>
      </w:r>
    </w:p>
    <w:p>
      <w:pPr>
        <w:pStyle w:val="19"/>
        <w:numPr>
          <w:ilvl w:val="0"/>
          <w:numId w:val="6"/>
        </w:numPr>
        <w:ind w:firstLineChars="0"/>
      </w:pPr>
      <w:r>
        <w:rPr>
          <w:rFonts w:hint="eastAsia"/>
        </w:rPr>
        <w:t>为了简化分析，砍伐树木后土壤中留存的化石能源的碳的释放量不参与模型中考虑。在采伐、运输和使用过程中，排放的二氧化碳也远远少于木材中的固碳量。</w:t>
      </w:r>
    </w:p>
    <w:p>
      <w:pPr>
        <w:ind w:firstLine="199" w:firstLineChars="83"/>
      </w:pPr>
      <w:r>
        <w:rPr>
          <w:rFonts w:hint="eastAsia"/>
        </w:rPr>
        <w:t>碳封存发生在地上生长的生物量和地下土壤中，例如，土壤生物量和分解(例如，IPPC，2014)。因为砍伐树木向土壤释放碳，这本应该被纳入了连续的生物量生产中。2000-2007年期间，这两个森林碳池的全球碳吸收量平均为4.1PgC/年(Panetal.，2011年)。这相当于2010年化石燃料排放量的约30%(IPCC，2014)。这种吸收被森林砍伐在土壤中碳的释放所抵消。但是为了简化分析，我们在此不考虑这一影响</w:t>
      </w:r>
    </w:p>
    <w:p>
      <w:pPr>
        <w:numPr>
          <w:ilvl w:val="0"/>
          <w:numId w:val="7"/>
        </w:numPr>
        <w:ind w:firstLineChars="0"/>
      </w:pPr>
      <w:r>
        <w:rPr>
          <w:rFonts w:hint="eastAsia"/>
        </w:rPr>
        <w:t>在计算中，认为森林仅由其最主要的树木品种构成。</w:t>
      </w:r>
    </w:p>
    <w:p>
      <w:pPr>
        <w:numPr>
          <w:ilvl w:val="0"/>
          <w:numId w:val="7"/>
        </w:numPr>
        <w:ind w:firstLineChars="0"/>
      </w:pPr>
      <w:r>
        <w:rPr>
          <w:rFonts w:hint="eastAsia"/>
        </w:rPr>
        <w:t>假设每种树木均存在一个恒为常数的寿命上限，树木当且仅当达到寿命上限时在下一年自然死亡，树木在自然死亡后认为其封存的二氧化碳立刻释放。</w:t>
      </w:r>
    </w:p>
    <w:p>
      <w:pPr>
        <w:numPr>
          <w:ilvl w:val="0"/>
          <w:numId w:val="7"/>
        </w:numPr>
        <w:ind w:firstLineChars="0"/>
      </w:pPr>
      <w:r>
        <w:rPr>
          <w:rFonts w:hint="eastAsia"/>
        </w:rPr>
        <w:t>认为砍伐行为总在每一年年末进行，自然死亡以及树木成长总在下一年年初结算。</w:t>
      </w:r>
    </w:p>
    <w:p>
      <w:pPr>
        <w:numPr>
          <w:ilvl w:val="0"/>
          <w:numId w:val="7"/>
        </w:numPr>
        <w:ind w:firstLineChars="0"/>
      </w:pPr>
      <w:r>
        <w:rPr>
          <w:rFonts w:hint="eastAsia"/>
        </w:rPr>
        <w:t>不考虑因火灾、异常天气状况等不可抗力因素导致的森林树木损失。模型中树木量仅可因到达年龄上限后自然死亡或被砍伐而损失。</w:t>
      </w:r>
    </w:p>
    <w:p>
      <w:pPr>
        <w:numPr>
          <w:ilvl w:val="0"/>
          <w:numId w:val="7"/>
        </w:numPr>
        <w:ind w:firstLineChars="0"/>
      </w:pPr>
      <w:r>
        <w:rPr>
          <w:rFonts w:hint="eastAsia"/>
        </w:rPr>
        <w:t>森林存在最大的环境容纳量</w:t>
      </w:r>
      <m:oMath>
        <m:r>
          <m:rPr/>
          <w:rPr>
            <w:rFonts w:ascii="Cambria Math" w:hAnsi="Cambria Math"/>
          </w:rPr>
          <m:t>K(ℎ</m:t>
        </m:r>
        <m:sSup>
          <m:sSupPr>
            <m:ctrlPr>
              <w:rPr>
                <w:rFonts w:hint="eastAsia" w:ascii="Cambria Math" w:hAnsi="Cambria Math"/>
                <w:i/>
                <w:iCs/>
              </w:rPr>
            </m:ctrlPr>
          </m:sSupPr>
          <m:e>
            <m:r>
              <m:rPr/>
              <w:rPr>
                <w:rFonts w:ascii="Cambria Math" w:hAnsi="Cambria Math"/>
              </w:rPr>
              <m:t>m</m:t>
            </m:r>
            <m:ctrlPr>
              <w:rPr>
                <w:rFonts w:hint="eastAsia" w:ascii="Cambria Math" w:hAnsi="Cambria Math"/>
                <w:i/>
                <w:iCs/>
              </w:rPr>
            </m:ctrlPr>
          </m:e>
          <m:sup>
            <m:r>
              <m:rPr/>
              <w:rPr>
                <w:rFonts w:ascii="Cambria Math" w:hAnsi="Cambria Math"/>
              </w:rPr>
              <m:t>2</m:t>
            </m:r>
            <m:ctrlPr>
              <w:rPr>
                <w:rFonts w:hint="eastAsia" w:ascii="Cambria Math" w:hAnsi="Cambria Math"/>
                <w:i/>
                <w:iCs/>
              </w:rPr>
            </m:ctrlPr>
          </m:sup>
        </m:sSup>
        <m:r>
          <m:rPr/>
          <w:rPr>
            <w:rFonts w:ascii="Cambria Math" w:hAnsi="Cambria Math"/>
          </w:rPr>
          <m:t>)</m:t>
        </m:r>
      </m:oMath>
      <w:r>
        <w:rPr>
          <w:rFonts w:hint="eastAsia"/>
        </w:rPr>
        <w:t>，并且该环境容纳量不随时间或森林管理方式发生改变。</w:t>
      </w:r>
    </w:p>
    <w:p>
      <w:pPr>
        <w:numPr>
          <w:ilvl w:val="0"/>
          <w:numId w:val="7"/>
        </w:numPr>
        <w:ind w:firstLineChars="0"/>
      </w:pPr>
      <w:r>
        <w:rPr>
          <w:rFonts w:hint="eastAsia"/>
        </w:rPr>
        <w:t xml:space="preserve">为了便于计算以及建立基于差分变化的发展模型，我们将一年作为基本的时间单位对所有数据离散化，并认为一年内森林的所有数据以年初值代替并在当年不发生变化。 </w:t>
      </w:r>
    </w:p>
    <w:p>
      <w:pPr>
        <w:widowControl/>
        <w:numPr>
          <w:ilvl w:val="0"/>
          <w:numId w:val="8"/>
        </w:numPr>
        <w:ind w:firstLineChars="0"/>
        <w:jc w:val="left"/>
      </w:pPr>
      <w:r>
        <w:rPr>
          <w:rFonts w:cs="Times New Roman"/>
          <w:color w:val="000000"/>
          <w:kern w:val="0"/>
          <w:sz w:val="22"/>
          <w:szCs w:val="22"/>
          <w:lang w:bidi="ar"/>
        </w:rPr>
        <w:t xml:space="preserve">It will be assumed that lumber prices remain constant over time and that the forest is small relative to the aggregate supply. </w:t>
      </w:r>
    </w:p>
    <w:p>
      <w:pPr>
        <w:widowControl/>
        <w:numPr>
          <w:ilvl w:val="0"/>
          <w:numId w:val="8"/>
        </w:numPr>
        <w:ind w:firstLineChars="0"/>
        <w:jc w:val="left"/>
      </w:pPr>
      <w:r>
        <w:rPr>
          <w:rFonts w:hint="eastAsia"/>
          <w:lang w:val="en-US" w:eastAsia="zh-CN"/>
        </w:rPr>
        <w:t>忽略种植、收获等行为的成本</w:t>
      </w:r>
    </w:p>
    <w:p>
      <w:pPr>
        <w:pStyle w:val="2"/>
      </w:pPr>
      <w:bookmarkStart w:id="18" w:name="_Toc58786699"/>
      <w:r>
        <w:t>Notations</w:t>
      </w:r>
      <w:bookmarkEnd w:id="17"/>
      <w:bookmarkEnd w:id="18"/>
    </w:p>
    <w:p>
      <w:pPr>
        <w:spacing w:after="163" w:afterLines="50"/>
        <w:ind w:firstLine="480"/>
      </w:pPr>
      <w:r>
        <w:t>The key mathematical notations used in this paper are listed in Table 1</w:t>
      </w:r>
      <w:r>
        <w:rPr>
          <w:rFonts w:hint="eastAsia"/>
        </w:rPr>
        <w:t>.</w:t>
      </w:r>
    </w:p>
    <w:p>
      <w:pPr>
        <w:pStyle w:val="20"/>
      </w:pPr>
      <w:r>
        <w:t xml:space="preserve">Table </w:t>
      </w:r>
      <w:r>
        <w:fldChar w:fldCharType="begin"/>
      </w:r>
      <w:r>
        <w:instrText xml:space="preserve"> SEQ Table \* ARABIC </w:instrText>
      </w:r>
      <w:r>
        <w:fldChar w:fldCharType="separate"/>
      </w:r>
      <w:r>
        <w:t>1</w:t>
      </w:r>
      <w:r>
        <w:fldChar w:fldCharType="end"/>
      </w:r>
      <w:r>
        <w:t>: Notations used in this paper</w:t>
      </w:r>
    </w:p>
    <w:tbl>
      <w:tblPr>
        <w:tblStyle w:val="21"/>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048"/>
        <w:gridCol w:w="1600"/>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pPr>
              <w:ind w:firstLine="0" w:firstLineChars="0"/>
              <w:jc w:val="center"/>
              <w:rPr>
                <w:b/>
                <w:bCs/>
              </w:rPr>
            </w:pPr>
            <w:r>
              <w:rPr>
                <w:b/>
                <w:bCs/>
              </w:rPr>
              <w:t>Symbol</w:t>
            </w:r>
          </w:p>
        </w:tc>
        <w:tc>
          <w:tcPr>
            <w:tcW w:w="6048"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b/>
                <w:bCs/>
              </w:rPr>
              <w:t>Description</w:t>
            </w:r>
          </w:p>
        </w:tc>
        <w:tc>
          <w:tcPr>
            <w:tcW w:w="1600"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rFonts w:hint="eastAsia"/>
                <w:b/>
                <w:bCs/>
              </w:rPr>
              <w:t>Uni</w:t>
            </w:r>
            <w:r>
              <w:rPr>
                <w:b/>
                <w:bCs/>
              </w:rPr>
              <w:t>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m:oMathPara>
              <m:oMath>
                <m:r>
                  <m:rPr/>
                  <w:rPr>
                    <w:rFonts w:ascii="Cambria Math" w:hAnsi="Cambria Math"/>
                    <w:color w:val="auto"/>
                  </w:rPr>
                  <m:t>V(t)</m:t>
                </m:r>
              </m:oMath>
            </m:oMathPara>
          </w:p>
        </w:tc>
        <w:tc>
          <w:tcPr>
            <w:tcW w:w="6048" w:type="dxa"/>
            <w:vAlign w:val="center"/>
          </w:tcPr>
          <w:p>
            <w:pPr>
              <w:adjustRightInd w:val="0"/>
              <w:snapToGrid w:val="0"/>
              <w:ind w:firstLine="0" w:firstLineChars="0"/>
              <w:jc w:val="center"/>
            </w:pPr>
            <w:r>
              <w:rPr>
                <w:rFonts w:hint="eastAsia" w:hAnsi="Cambria Math"/>
                <w:color w:val="auto"/>
              </w:rPr>
              <w:t>树龄为</w:t>
            </w:r>
            <m:oMath>
              <m:r>
                <m:rPr/>
                <w:rPr>
                  <w:rFonts w:ascii="Cambria Math" w:hAnsi="Cambria Math"/>
                  <w:color w:val="auto"/>
                </w:rPr>
                <m:t>t</m:t>
              </m:r>
            </m:oMath>
            <w:r>
              <m:rPr/>
              <w:rPr>
                <w:rFonts w:hint="eastAsia" w:hAnsi="Cambria Math"/>
                <w:i w:val="0"/>
                <w:color w:val="auto"/>
                <w:lang w:val="en-US" w:eastAsia="zh-CN"/>
              </w:rPr>
              <w:t>的特定</w:t>
            </w:r>
            <w:r>
              <w:rPr>
                <w:rFonts w:hint="eastAsia" w:hAnsi="Cambria Math"/>
                <w:color w:val="auto"/>
              </w:rPr>
              <w:t>树木单位面积蓄积量</w:t>
            </w:r>
          </w:p>
        </w:tc>
        <w:tc>
          <w:tcPr>
            <w:tcW w:w="1600" w:type="dxa"/>
            <w:vAlign w:val="center"/>
          </w:tcPr>
          <w:p>
            <w:pPr>
              <w:adjustRightInd w:val="0"/>
              <w:snapToGrid w:val="0"/>
              <w:ind w:firstLine="0" w:firstLineChars="0"/>
              <w:jc w:val="center"/>
            </w:pPr>
            <m:oMathPara>
              <m:oMath>
                <m:r>
                  <m:rPr>
                    <m:sty m:val="p"/>
                  </m:rPr>
                  <w:rPr>
                    <w:rFonts w:ascii="Cambria Math" w:hAnsi="Cambria Math"/>
                    <w:color w:val="auto"/>
                  </w:rPr>
                  <m:t>(</m:t>
                </m:r>
                <m:sSup>
                  <m:sSupPr>
                    <m:ctrlPr>
                      <w:rPr>
                        <w:rFonts w:ascii="Cambria Math" w:hAnsi="Cambria Math"/>
                        <w:color w:val="auto"/>
                      </w:rPr>
                    </m:ctrlPr>
                  </m:sSupPr>
                  <m:e>
                    <m:r>
                      <m:rPr/>
                      <w:rPr>
                        <w:rFonts w:ascii="Cambria Math" w:hAnsi="Cambria Math"/>
                        <w:color w:val="auto"/>
                      </w:rPr>
                      <m:t>m</m:t>
                    </m:r>
                    <m:ctrlPr>
                      <w:rPr>
                        <w:rFonts w:ascii="Cambria Math" w:hAnsi="Cambria Math"/>
                        <w:color w:val="auto"/>
                      </w:rPr>
                    </m:ctrlPr>
                  </m:e>
                  <m:sup>
                    <m:r>
                      <m:rPr/>
                      <w:rPr>
                        <w:rFonts w:ascii="Cambria Math" w:hAnsi="Cambria Math"/>
                        <w:color w:val="auto"/>
                      </w:rPr>
                      <m:t>3</m:t>
                    </m:r>
                    <m:ctrlPr>
                      <w:rPr>
                        <w:rFonts w:ascii="Cambria Math" w:hAnsi="Cambria Math"/>
                        <w:color w:val="auto"/>
                      </w:rPr>
                    </m:ctrlPr>
                  </m:sup>
                </m:sSup>
                <m:r>
                  <m:rPr>
                    <m:sty m:val="p"/>
                  </m:rPr>
                  <w:rPr>
                    <w:rFonts w:ascii="Cambria Math" w:hAnsi="Cambria Math"/>
                    <w:color w:val="auto"/>
                  </w:rPr>
                  <m:t>/h</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r>
                  <m:rPr>
                    <m:sty m:val="p"/>
                  </m:rPr>
                  <w:rPr>
                    <w:rFonts w:ascii="Cambria Math" w:hAnsi="Cambria Math"/>
                    <w:color w:val="auto"/>
                  </w:rPr>
                  <m:t>)</m:t>
                </m:r>
              </m:oMath>
            </m:oMathPara>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m:rPr/>
              <w:rPr>
                <w:rFonts w:ascii="Cambria Math" w:hAnsi="Cambria Math"/>
                <w:i/>
                <w:color w:val="auto"/>
                <w:oMath/>
              </w:rPr>
            </w:pPr>
            <m:oMathPara>
              <m:oMath>
                <m:r>
                  <m:rPr/>
                  <w:rPr>
                    <w:rFonts w:ascii="Cambria Math" w:hAnsi="Cambria Math"/>
                    <w:color w:val="auto"/>
                  </w:rPr>
                  <m:t>B(t)</m:t>
                </m:r>
              </m:oMath>
            </m:oMathPara>
          </w:p>
        </w:tc>
        <w:tc>
          <w:tcPr>
            <w:tcW w:w="6048" w:type="dxa"/>
            <w:vAlign w:val="center"/>
          </w:tcPr>
          <w:p>
            <w:pPr>
              <w:adjustRightInd w:val="0"/>
              <w:snapToGrid w:val="0"/>
              <w:ind w:firstLine="0" w:firstLineChars="0"/>
              <w:jc w:val="center"/>
              <w:rPr>
                <w:rFonts w:hint="eastAsia" w:hAnsi="Cambria Math"/>
                <w:color w:val="auto"/>
              </w:rPr>
            </w:pPr>
            <w:r>
              <w:rPr>
                <w:rFonts w:hint="eastAsia" w:hAnsi="Cambria Math"/>
                <w:color w:val="auto"/>
              </w:rPr>
              <w:t>树龄为</w:t>
            </w:r>
            <m:oMath>
              <m:r>
                <m:rPr/>
                <w:rPr>
                  <w:rFonts w:ascii="Cambria Math" w:hAnsi="Cambria Math"/>
                  <w:color w:val="auto"/>
                </w:rPr>
                <m:t>t</m:t>
              </m:r>
            </m:oMath>
            <w:r>
              <m:rPr/>
              <w:rPr>
                <w:rFonts w:hint="eastAsia" w:hAnsi="Cambria Math"/>
                <w:i w:val="0"/>
                <w:color w:val="auto"/>
                <w:lang w:val="en-US" w:eastAsia="zh-CN"/>
              </w:rPr>
              <w:t>的特定</w:t>
            </w:r>
            <w:r>
              <w:rPr>
                <w:rFonts w:hint="eastAsia" w:hAnsi="Cambria Math"/>
                <w:color w:val="auto"/>
              </w:rPr>
              <w:t>树木单位面积生物量</w:t>
            </w:r>
          </w:p>
        </w:tc>
        <w:tc>
          <w:tcPr>
            <w:tcW w:w="1600" w:type="dxa"/>
            <w:vAlign w:val="center"/>
          </w:tcPr>
          <w:p>
            <w:pPr>
              <w:adjustRightInd w:val="0"/>
              <w:snapToGrid w:val="0"/>
              <w:ind w:firstLine="0" w:firstLineChars="0"/>
              <w:jc w:val="center"/>
              <m:rPr/>
              <w:rPr>
                <w:rFonts w:ascii="Cambria Math" w:hAnsi="Cambria Math"/>
                <w:b w:val="0"/>
                <w:i w:val="0"/>
                <w:color w:val="auto"/>
                <w:oMath/>
              </w:rPr>
            </w:pPr>
            <m:oMathPara>
              <m:oMath>
                <m:r>
                  <m:rPr/>
                  <w:rPr>
                    <w:rFonts w:hint="default" w:ascii="Cambria Math" w:hAnsi="Cambria Math"/>
                    <w:color w:val="auto"/>
                  </w:rPr>
                  <m:t>(t/ℎ</m:t>
                </m:r>
                <m:sSup>
                  <m:sSupPr>
                    <m:ctrlPr>
                      <w:rPr>
                        <w:rFonts w:ascii="Cambria Math" w:hAnsi="Cambria Math"/>
                        <w:i/>
                        <w:iCs/>
                        <w:color w:val="auto"/>
                      </w:rPr>
                    </m:ctrlPr>
                  </m:sSupPr>
                  <m:e>
                    <m:r>
                      <m:rPr/>
                      <w:rPr>
                        <w:rFonts w:hint="default" w:ascii="Cambria Math" w:hAnsi="Cambria Math"/>
                        <w:color w:val="auto"/>
                      </w:rPr>
                      <m:t>m</m:t>
                    </m:r>
                    <m:ctrlPr>
                      <w:rPr>
                        <w:rFonts w:ascii="Cambria Math" w:hAnsi="Cambria Math"/>
                        <w:i/>
                        <w:iCs/>
                        <w:color w:val="auto"/>
                      </w:rPr>
                    </m:ctrlPr>
                  </m:e>
                  <m:sup>
                    <m:r>
                      <m:rPr/>
                      <w:rPr>
                        <w:rFonts w:ascii="Cambria Math" w:hAnsi="Cambria Math"/>
                        <w:color w:val="auto"/>
                      </w:rPr>
                      <m:t>2</m:t>
                    </m:r>
                    <m:ctrlPr>
                      <w:rPr>
                        <w:rFonts w:ascii="Cambria Math" w:hAnsi="Cambria Math"/>
                        <w:i/>
                        <w:iCs/>
                        <w:color w:val="auto"/>
                      </w:rPr>
                    </m:ctrlPr>
                  </m:sup>
                </m:sSup>
                <m:r>
                  <m:rPr/>
                  <w:rPr>
                    <w:rFonts w:ascii="Cambria Math" w:hAnsi="Cambria Math"/>
                    <w:color w:val="auto"/>
                  </w:rPr>
                  <m:t>)</m:t>
                </m:r>
              </m:oMath>
            </m:oMathPara>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m:rPr/>
              <w:rPr>
                <w:rFonts w:ascii="Cambria Math" w:hAnsi="Cambria Math"/>
                <w:i/>
                <w:color w:val="auto"/>
                <w:oMath/>
              </w:rPr>
            </w:pPr>
            <m:oMathPara>
              <m:oMath>
                <m:r>
                  <m:rPr/>
                  <w:rPr>
                    <w:rFonts w:ascii="Cambria Math" w:hAnsi="Cambria Math"/>
                    <w:color w:val="auto"/>
                  </w:rPr>
                  <m:t>M(t)</m:t>
                </m:r>
              </m:oMath>
            </m:oMathPara>
          </w:p>
        </w:tc>
        <w:tc>
          <w:tcPr>
            <w:tcW w:w="6048" w:type="dxa"/>
            <w:vAlign w:val="center"/>
          </w:tcPr>
          <w:p>
            <w:pPr>
              <w:adjustRightInd w:val="0"/>
              <w:snapToGrid w:val="0"/>
              <w:ind w:firstLine="0" w:firstLineChars="0"/>
              <w:jc w:val="center"/>
              <w:rPr>
                <w:rFonts w:hint="eastAsia" w:hAnsi="Cambria Math"/>
                <w:color w:val="auto"/>
              </w:rPr>
            </w:pPr>
            <w:r>
              <w:rPr>
                <w:rFonts w:hint="eastAsia" w:ascii="Cambria Math" w:hAnsi="Cambria Math"/>
                <w:color w:val="auto"/>
              </w:rPr>
              <w:t>森林单位面积二氧化碳固定量</w:t>
            </w:r>
          </w:p>
        </w:tc>
        <w:tc>
          <w:tcPr>
            <w:tcW w:w="1600" w:type="dxa"/>
            <w:vAlign w:val="center"/>
          </w:tcPr>
          <w:p>
            <w:pPr>
              <w:adjustRightInd w:val="0"/>
              <w:snapToGrid w:val="0"/>
              <w:ind w:firstLine="0" w:firstLineChars="0"/>
              <w:jc w:val="center"/>
              <m:rPr/>
              <w:rPr>
                <w:rFonts w:ascii="Cambria Math" w:hAnsi="Cambria Math"/>
                <w:b w:val="0"/>
                <w:i w:val="0"/>
                <w:color w:val="auto"/>
                <w:oMath/>
              </w:rPr>
            </w:pPr>
            <m:oMathPara>
              <m:oMath>
                <m:r>
                  <m:rPr/>
                  <w:rPr>
                    <w:rFonts w:hint="default" w:ascii="Cambria Math" w:hAnsi="Cambria Math"/>
                    <w:color w:val="auto"/>
                  </w:rPr>
                  <m:t>(t/ℎ</m:t>
                </m:r>
                <m:sSup>
                  <m:sSupPr>
                    <m:ctrlPr>
                      <w:rPr>
                        <w:rFonts w:ascii="Cambria Math" w:hAnsi="Cambria Math"/>
                        <w:i/>
                        <w:iCs/>
                        <w:color w:val="auto"/>
                      </w:rPr>
                    </m:ctrlPr>
                  </m:sSupPr>
                  <m:e>
                    <m:r>
                      <m:rPr/>
                      <w:rPr>
                        <w:rFonts w:hint="default" w:ascii="Cambria Math" w:hAnsi="Cambria Math"/>
                        <w:color w:val="auto"/>
                      </w:rPr>
                      <m:t>m</m:t>
                    </m:r>
                    <m:ctrlPr>
                      <w:rPr>
                        <w:rFonts w:ascii="Cambria Math" w:hAnsi="Cambria Math"/>
                        <w:i/>
                        <w:iCs/>
                        <w:color w:val="auto"/>
                      </w:rPr>
                    </m:ctrlPr>
                  </m:e>
                  <m:sup>
                    <m:r>
                      <m:rPr/>
                      <w:rPr>
                        <w:rFonts w:ascii="Cambria Math" w:hAnsi="Cambria Math"/>
                        <w:color w:val="auto"/>
                      </w:rPr>
                      <m:t>2</m:t>
                    </m:r>
                    <m:ctrlPr>
                      <w:rPr>
                        <w:rFonts w:ascii="Cambria Math" w:hAnsi="Cambria Math"/>
                        <w:i/>
                        <w:iCs/>
                        <w:color w:val="auto"/>
                      </w:rPr>
                    </m:ctrlPr>
                  </m:sup>
                </m:sSup>
                <m:r>
                  <m:rPr/>
                  <w:rPr>
                    <w:rFonts w:ascii="Cambria Math" w:hAnsi="Cambria Math"/>
                    <w:color w:val="auto"/>
                  </w:rPr>
                  <m:t>)</m:t>
                </m:r>
              </m:oMath>
            </m:oMathPara>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m:rPr/>
              <w:rPr>
                <w:rFonts w:ascii="Cambria Math" w:hAnsi="Cambria Math"/>
                <w:i/>
                <w:color w:val="auto"/>
                <w:oMath/>
              </w:rPr>
            </w:pPr>
            <m:oMathPara>
              <m:oMath>
                <m:r>
                  <m:rPr/>
                  <w:rPr>
                    <w:rFonts w:hint="default" w:ascii="Cambria Math" w:hAnsi="Cambria Math"/>
                    <w:color w:val="auto"/>
                    <w:lang w:val="en-US" w:eastAsia="zh-CN"/>
                  </w:rPr>
                  <m:t>C</m:t>
                </m:r>
                <m:r>
                  <m:rPr/>
                  <w:rPr>
                    <w:rFonts w:ascii="Cambria Math" w:hAnsi="Cambria Math"/>
                    <w:color w:val="auto"/>
                  </w:rPr>
                  <m:t>(t)</m:t>
                </m:r>
              </m:oMath>
            </m:oMathPara>
          </w:p>
        </w:tc>
        <w:tc>
          <w:tcPr>
            <w:tcW w:w="6048" w:type="dxa"/>
            <w:vAlign w:val="center"/>
          </w:tcPr>
          <w:p>
            <w:pPr>
              <w:adjustRightInd w:val="0"/>
              <w:snapToGrid w:val="0"/>
              <w:ind w:firstLine="0" w:firstLineChars="0"/>
              <w:jc w:val="center"/>
              <w:rPr>
                <w:rFonts w:hint="eastAsia" w:ascii="Cambria Math" w:hAnsi="Cambria Math"/>
                <w:color w:val="auto"/>
              </w:rPr>
            </w:pPr>
            <w:r>
              <w:rPr>
                <w:rFonts w:hint="eastAsia" w:hAnsi="Cambria Math"/>
                <w:color w:val="auto"/>
                <w:lang w:val="en-US" w:eastAsia="zh-CN"/>
              </w:rPr>
              <w:t>木制品</w:t>
            </w:r>
            <w:r>
              <w:rPr>
                <w:rFonts w:hint="eastAsia" w:hAnsi="Cambria Math"/>
                <w:color w:val="auto"/>
              </w:rPr>
              <w:t>单位面积二氧化碳固定量</w:t>
            </w:r>
          </w:p>
        </w:tc>
        <w:tc>
          <w:tcPr>
            <w:tcW w:w="1600" w:type="dxa"/>
            <w:vAlign w:val="center"/>
          </w:tcPr>
          <w:p>
            <w:pPr>
              <w:adjustRightInd w:val="0"/>
              <w:snapToGrid w:val="0"/>
              <w:ind w:firstLine="0" w:firstLineChars="0"/>
              <w:jc w:val="center"/>
              <m:rPr/>
              <w:rPr>
                <w:rFonts w:ascii="Cambria Math" w:hAnsi="Cambria Math"/>
                <w:b w:val="0"/>
                <w:i w:val="0"/>
                <w:color w:val="auto"/>
                <w:oMath/>
              </w:rPr>
            </w:pPr>
            <m:oMath>
              <m:r>
                <m:rPr/>
                <w:rPr>
                  <w:rFonts w:hint="default" w:ascii="Cambria Math" w:hAnsi="Cambria Math"/>
                  <w:color w:val="auto"/>
                  <w:lang w:val="en-US" w:eastAsia="zh-CN"/>
                </w:rPr>
                <m:t>(</m:t>
              </m:r>
              <m:r>
                <m:rPr/>
                <w:rPr>
                  <w:rFonts w:ascii="Cambria Math" w:hAnsi="Cambria Math"/>
                  <w:color w:val="auto"/>
                </w:rPr>
                <m:t>t/ℎ</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oMath>
            <w:r>
              <w:rPr>
                <w:rFonts w:hint="eastAsia" w:hAnsi="Cambria Math"/>
                <w:i w:val="0"/>
                <w:color w:val="auto"/>
                <w:lang w:val="en-US" w:eastAsia="zh-CN"/>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m:rPr/>
              <w:rPr>
                <w:rFonts w:ascii="Cambria Math" w:hAnsi="Cambria Math"/>
                <w:i/>
                <w:color w:val="auto"/>
                <w:oMath/>
              </w:rPr>
            </w:pPr>
            <m:oMathPara>
              <m:oMath>
                <m:r>
                  <m:rPr/>
                  <w:rPr>
                    <w:rFonts w:ascii="Cambria Math" w:hAnsi="Cambria Math"/>
                  </w:rPr>
                  <m:t>X(t)</m:t>
                </m:r>
              </m:oMath>
            </m:oMathPara>
          </w:p>
        </w:tc>
        <w:tc>
          <w:tcPr>
            <w:tcW w:w="6048" w:type="dxa"/>
            <w:vAlign w:val="center"/>
          </w:tcPr>
          <w:p>
            <w:pPr>
              <w:adjustRightInd w:val="0"/>
              <w:snapToGrid w:val="0"/>
              <w:ind w:firstLine="0" w:firstLineChars="0"/>
              <w:jc w:val="center"/>
              <w:rPr>
                <w:rFonts w:hint="eastAsia" w:hAnsi="Cambria Math"/>
                <w:color w:val="auto"/>
                <w:lang w:val="en-US" w:eastAsia="zh-CN"/>
              </w:rPr>
            </w:pPr>
            <w:r>
              <w:rPr>
                <w:rFonts w:hint="eastAsia" w:hAnsi="Cambria Math"/>
                <w:iCs/>
              </w:rPr>
              <w:t>树龄为</w:t>
            </w:r>
            <m:oMath>
              <m:r>
                <m:rPr/>
                <w:rPr>
                  <w:rFonts w:ascii="Cambria Math" w:hAnsi="Cambria Math"/>
                </w:rPr>
                <m:t>t</m:t>
              </m:r>
            </m:oMath>
            <w:r>
              <w:rPr>
                <w:rFonts w:hint="eastAsia" w:hAnsi="Cambria Math"/>
              </w:rPr>
              <w:t>的特定树木在该森林中对应的覆盖面积</w:t>
            </w:r>
          </w:p>
        </w:tc>
        <w:tc>
          <w:tcPr>
            <w:tcW w:w="1600" w:type="dxa"/>
            <w:vAlign w:val="center"/>
          </w:tcPr>
          <w:p>
            <w:pPr>
              <w:adjustRightInd w:val="0"/>
              <w:snapToGrid w:val="0"/>
              <w:ind w:firstLine="0" w:firstLineChars="0"/>
              <w:jc w:val="center"/>
              <m:rPr/>
              <w:rPr>
                <w:rFonts w:hint="default" w:ascii="Cambria Math" w:hAnsi="Cambria Math"/>
                <w:i/>
                <w:color w:val="auto"/>
                <w:lang w:val="en-US" w:eastAsia="zh-CN"/>
                <w:oMath/>
              </w:rPr>
            </w:pPr>
            <m:oMathPara>
              <m:oMath>
                <m:r>
                  <m:rPr/>
                  <w:rPr>
                    <w:rFonts w:hint="default" w:ascii="Cambria Math" w:hAnsi="Cambria Math"/>
                  </w:rPr>
                  <m:t>(ℎ</m:t>
                </m:r>
                <m:sSup>
                  <m:sSupPr>
                    <m:ctrlPr>
                      <w:rPr>
                        <w:rFonts w:ascii="Cambria Math" w:hAnsi="Cambria Math"/>
                        <w:i/>
                        <w:iCs/>
                      </w:rPr>
                    </m:ctrlPr>
                  </m:sSupPr>
                  <m:e>
                    <m:r>
                      <m:rPr/>
                      <w:rPr>
                        <w:rFonts w:hint="default" w:ascii="Cambria Math" w:hAnsi="Cambria Math"/>
                      </w:rPr>
                      <m:t>m</m:t>
                    </m:r>
                    <m:ctrlPr>
                      <w:rPr>
                        <w:rFonts w:ascii="Cambria Math" w:hAnsi="Cambria Math"/>
                        <w:i/>
                        <w:iCs/>
                      </w:rPr>
                    </m:ctrlPr>
                  </m:e>
                  <m:sup>
                    <m:r>
                      <m:rPr/>
                      <w:rPr>
                        <w:rFonts w:ascii="Cambria Math" w:hAnsi="Cambria Math"/>
                      </w:rPr>
                      <m:t>2</m:t>
                    </m:r>
                    <m:ctrlPr>
                      <w:rPr>
                        <w:rFonts w:ascii="Cambria Math" w:hAnsi="Cambria Math"/>
                        <w:i/>
                        <w:iCs/>
                      </w:rPr>
                    </m:ctrlPr>
                  </m:sup>
                </m:sSup>
                <m:r>
                  <m:rPr/>
                  <w:rPr>
                    <w:rFonts w:ascii="Cambria Math" w:hAnsi="Cambria Math"/>
                  </w:rPr>
                  <m:t>)</m:t>
                </m:r>
              </m:oMath>
            </m:oMathPara>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m:rPr/>
              <w:rPr>
                <w:rFonts w:ascii="Cambria Math" w:hAnsi="Cambria Math"/>
                <w:i/>
                <w:oMath/>
              </w:rPr>
            </w:pPr>
            <m:oMathPara>
              <m:oMath>
                <m:r>
                  <m:rPr/>
                  <w:rPr>
                    <w:rFonts w:ascii="Cambria Math" w:hAnsi="Cambria Math"/>
                  </w:rPr>
                  <m:t>T</m:t>
                </m:r>
              </m:oMath>
            </m:oMathPara>
          </w:p>
        </w:tc>
        <w:tc>
          <w:tcPr>
            <w:tcW w:w="6048" w:type="dxa"/>
            <w:vAlign w:val="center"/>
          </w:tcPr>
          <w:p>
            <w:pPr>
              <w:adjustRightInd w:val="0"/>
              <w:snapToGrid w:val="0"/>
              <w:ind w:firstLine="0" w:firstLineChars="0"/>
              <w:jc w:val="center"/>
              <w:rPr>
                <w:rFonts w:hint="eastAsia" w:hAnsi="Cambria Math"/>
                <w:iCs/>
              </w:rPr>
            </w:pPr>
            <w:r>
              <w:rPr>
                <w:rFonts w:hint="eastAsia" w:hAnsi="Cambria Math"/>
              </w:rPr>
              <w:t>树木</w:t>
            </w:r>
            <w:r>
              <w:rPr>
                <w:rFonts w:hint="eastAsia" w:hAnsi="Cambria Math"/>
                <w:lang w:val="en-US" w:eastAsia="zh-CN"/>
              </w:rPr>
              <w:t>的</w:t>
            </w:r>
            <w:r>
              <w:rPr>
                <w:rFonts w:hint="eastAsia" w:hAnsi="Cambria Math"/>
              </w:rPr>
              <w:t>二氧化碳</w:t>
            </w:r>
            <w:r>
              <w:rPr>
                <w:rFonts w:hint="eastAsia" w:hAnsi="Cambria Math"/>
                <w:lang w:val="en-US" w:eastAsia="zh-CN"/>
              </w:rPr>
              <w:t>吸收</w:t>
            </w:r>
            <w:r>
              <w:rPr>
                <w:rFonts w:hint="eastAsia" w:hAnsi="Cambria Math"/>
              </w:rPr>
              <w:t>量</w:t>
            </w:r>
          </w:p>
        </w:tc>
        <w:tc>
          <w:tcPr>
            <w:tcW w:w="1600" w:type="dxa"/>
            <w:vAlign w:val="center"/>
          </w:tcPr>
          <w:p>
            <w:pPr>
              <w:adjustRightInd w:val="0"/>
              <w:snapToGrid w:val="0"/>
              <w:ind w:firstLine="0" w:firstLineChars="0"/>
              <w:jc w:val="center"/>
              <m:rPr/>
              <w:rPr>
                <w:rFonts w:hint="default" w:ascii="Cambria Math" w:hAnsi="Cambria Math"/>
                <w:b w:val="0"/>
                <w:i/>
                <w:iCs/>
                <w:oMath/>
              </w:rPr>
            </w:pPr>
            <m:oMathPara>
              <m:oMath>
                <m:r>
                  <m:rPr/>
                  <w:rPr>
                    <w:rFonts w:hint="default" w:ascii="Cambria Math" w:hAnsi="Cambria Math"/>
                  </w:rPr>
                  <m:t>(t)</m:t>
                </m:r>
              </m:oMath>
            </m:oMathPara>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m:rPr/>
              <w:rPr>
                <w:rFonts w:ascii="Cambria Math" w:hAnsi="Cambria Math"/>
                <w:i/>
                <w:oMath/>
              </w:rPr>
            </w:pPr>
            <m:oMathPara>
              <m:oMath>
                <m:r>
                  <m:rPr/>
                  <w:rPr>
                    <w:rFonts w:ascii="Cambria Math" w:hAnsi="Cambria Math"/>
                  </w:rPr>
                  <m:t>P</m:t>
                </m:r>
              </m:oMath>
            </m:oMathPara>
          </w:p>
        </w:tc>
        <w:tc>
          <w:tcPr>
            <w:tcW w:w="6048" w:type="dxa"/>
            <w:vAlign w:val="center"/>
          </w:tcPr>
          <w:p>
            <w:pPr>
              <w:adjustRightInd w:val="0"/>
              <w:snapToGrid w:val="0"/>
              <w:ind w:firstLine="0" w:firstLineChars="0"/>
              <w:jc w:val="center"/>
              <w:rPr>
                <w:rFonts w:hint="eastAsia" w:hAnsi="Cambria Math"/>
              </w:rPr>
            </w:pPr>
            <w:r>
              <w:rPr>
                <w:rFonts w:hint="eastAsia" w:hAnsi="Cambria Math"/>
              </w:rPr>
              <w:t>木制品中二氧化碳</w:t>
            </w:r>
            <w:r>
              <w:rPr>
                <w:rFonts w:hint="eastAsia" w:hAnsi="Cambria Math"/>
                <w:lang w:val="en-US" w:eastAsia="zh-CN"/>
              </w:rPr>
              <w:t>储存</w:t>
            </w:r>
            <w:r>
              <w:rPr>
                <w:rFonts w:hint="eastAsia" w:hAnsi="Cambria Math"/>
              </w:rPr>
              <w:t>量</w:t>
            </w:r>
          </w:p>
        </w:tc>
        <w:tc>
          <w:tcPr>
            <w:tcW w:w="1600" w:type="dxa"/>
            <w:vAlign w:val="center"/>
          </w:tcPr>
          <w:p>
            <w:pPr>
              <w:adjustRightInd w:val="0"/>
              <w:snapToGrid w:val="0"/>
              <w:ind w:firstLine="0" w:firstLineChars="0"/>
              <w:jc w:val="center"/>
              <m:rPr/>
              <w:rPr>
                <w:rFonts w:hint="default" w:ascii="Cambria Math" w:hAnsi="Cambria Math"/>
                <w:b w:val="0"/>
                <w:i/>
                <w:iCs/>
                <w:oMath/>
              </w:rPr>
            </w:pPr>
            <m:oMathPara>
              <m:oMath>
                <m:r>
                  <m:rPr/>
                  <w:rPr>
                    <w:rFonts w:hint="default" w:ascii="Cambria Math" w:hAnsi="Cambria Math"/>
                  </w:rPr>
                  <m:t>(t)</m:t>
                </m:r>
              </m:oMath>
            </m:oMathPara>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m:rPr/>
              <w:rPr>
                <w:rFonts w:ascii="Cambria Math" w:hAnsi="Cambria Math"/>
                <w:i/>
                <w:oMath/>
              </w:rPr>
            </w:pPr>
            <m:oMathPara>
              <m:oMath>
                <m:r>
                  <m:rPr/>
                  <w:rPr>
                    <w:rFonts w:ascii="Cambria Math" w:hAnsi="Cambria Math"/>
                  </w:rPr>
                  <m:t>S</m:t>
                </m:r>
              </m:oMath>
            </m:oMathPara>
          </w:p>
        </w:tc>
        <w:tc>
          <w:tcPr>
            <w:tcW w:w="6048" w:type="dxa"/>
            <w:vAlign w:val="center"/>
          </w:tcPr>
          <w:p>
            <w:pPr>
              <w:adjustRightInd w:val="0"/>
              <w:snapToGrid w:val="0"/>
              <w:ind w:firstLine="0" w:firstLineChars="0"/>
              <w:jc w:val="center"/>
              <w:rPr>
                <w:rFonts w:hint="eastAsia" w:hAnsi="Cambria Math"/>
              </w:rPr>
            </w:pPr>
            <w:r>
              <w:rPr>
                <w:rFonts w:hint="eastAsia" w:hAnsi="Cambria Math"/>
              </w:rPr>
              <w:t>二氧化碳总封存量</w:t>
            </w:r>
          </w:p>
        </w:tc>
        <w:tc>
          <w:tcPr>
            <w:tcW w:w="1600" w:type="dxa"/>
            <w:vAlign w:val="center"/>
          </w:tcPr>
          <w:p>
            <w:pPr>
              <w:adjustRightInd w:val="0"/>
              <w:snapToGrid w:val="0"/>
              <w:ind w:firstLine="0" w:firstLineChars="0"/>
              <w:jc w:val="center"/>
              <m:rPr/>
              <w:rPr>
                <w:rFonts w:hint="default" w:ascii="Cambria Math" w:hAnsi="Cambria Math"/>
                <w:i/>
                <w:oMath/>
              </w:rPr>
            </w:pPr>
            <m:oMathPara>
              <m:oMath>
                <m:r>
                  <m:rPr/>
                  <w:rPr>
                    <w:rFonts w:hint="default" w:ascii="Cambria Math" w:hAnsi="Cambria Math"/>
                  </w:rPr>
                  <m:t>(t)</m:t>
                </m:r>
              </m:oMath>
            </m:oMathPara>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m:rPr/>
              <w:rPr>
                <w:rFonts w:ascii="Cambria Math" w:hAnsi="Cambria Math"/>
                <w:i/>
                <w:oMath/>
              </w:rPr>
            </w:pPr>
            <m:oMathPara>
              <m:oMath>
                <m:r>
                  <m:rPr>
                    <m:sty m:val="bi"/>
                  </m:rPr>
                  <w:rPr>
                    <w:rFonts w:ascii="Cambria Math" w:hAnsi="Cambria Math"/>
                  </w:rPr>
                  <m:t>G</m:t>
                </m:r>
              </m:oMath>
            </m:oMathPara>
          </w:p>
        </w:tc>
        <w:tc>
          <w:tcPr>
            <w:tcW w:w="6048" w:type="dxa"/>
            <w:vAlign w:val="center"/>
          </w:tcPr>
          <w:p>
            <w:pPr>
              <w:adjustRightInd w:val="0"/>
              <w:snapToGrid w:val="0"/>
              <w:ind w:firstLine="0" w:firstLineChars="0"/>
              <w:jc w:val="center"/>
              <w:rPr>
                <w:rFonts w:hint="eastAsia" w:hAnsi="Cambria Math"/>
              </w:rPr>
            </w:pPr>
            <w:r>
              <w:rPr>
                <w:rFonts w:hint="eastAsia" w:hAnsi="Cambria Math"/>
                <w:bCs/>
              </w:rPr>
              <w:t>生长矩阵</w:t>
            </w:r>
          </w:p>
        </w:tc>
        <w:tc>
          <w:tcPr>
            <w:tcW w:w="1600" w:type="dxa"/>
            <w:vAlign w:val="center"/>
          </w:tcPr>
          <w:p>
            <w:pPr>
              <w:adjustRightInd w:val="0"/>
              <w:snapToGrid w:val="0"/>
              <w:ind w:firstLine="0" w:firstLineChars="0"/>
              <w:jc w:val="center"/>
              <m:rPr/>
              <w:rPr>
                <w:rFonts w:hint="default" w:ascii="Cambria Math" w:hAnsi="Cambria Math"/>
                <w:i/>
                <w:oMath/>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m:rPr/>
              <w:rPr>
                <w:rFonts w:ascii="Cambria Math" w:hAnsi="Cambria Math"/>
                <w:i/>
                <w:oMath/>
              </w:rPr>
            </w:pPr>
            <m:oMathPara>
              <m:oMath>
                <m:r>
                  <m:rPr>
                    <m:sty m:val="bi"/>
                  </m:rPr>
                  <w:rPr>
                    <w:rFonts w:ascii="Cambria Math" w:hAnsi="Cambria Math"/>
                  </w:rPr>
                  <m:t>c</m:t>
                </m:r>
              </m:oMath>
            </m:oMathPara>
          </w:p>
        </w:tc>
        <w:tc>
          <w:tcPr>
            <w:tcW w:w="6048" w:type="dxa"/>
            <w:vAlign w:val="center"/>
          </w:tcPr>
          <w:p>
            <w:pPr>
              <w:adjustRightInd w:val="0"/>
              <w:snapToGrid w:val="0"/>
              <w:ind w:firstLine="0" w:firstLineChars="0"/>
              <w:jc w:val="center"/>
              <w:rPr>
                <w:rFonts w:hint="eastAsia" w:hAnsi="Cambria Math"/>
                <w:lang w:val="en-US" w:eastAsia="zh-CN"/>
              </w:rPr>
            </w:pPr>
            <w:r>
              <w:rPr>
                <w:rFonts w:hint="eastAsia" w:hAnsi="Cambria Math"/>
                <w:iCs/>
              </w:rPr>
              <w:t>砍伐矩阵</w:t>
            </w:r>
          </w:p>
        </w:tc>
        <w:tc>
          <w:tcPr>
            <w:tcW w:w="1600" w:type="dxa"/>
            <w:vAlign w:val="center"/>
          </w:tcPr>
          <w:p>
            <w:pPr>
              <w:adjustRightInd w:val="0"/>
              <w:snapToGrid w:val="0"/>
              <w:ind w:firstLine="0" w:firstLineChars="0"/>
              <w:jc w:val="center"/>
              <m:rPr/>
              <w:rPr>
                <w:rFonts w:hint="default" w:ascii="Cambria Math" w:hAnsi="Cambria Math"/>
                <w:i/>
                <w:oMath/>
              </w:rP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m:rPr/>
              <w:rPr>
                <w:rFonts w:ascii="Cambria Math" w:hAnsi="Cambria Math"/>
                <w:b/>
                <w:i/>
                <w:oMath/>
              </w:rPr>
            </w:pPr>
            <m:oMathPara>
              <m:oMath>
                <m:r>
                  <m:rPr/>
                  <w:rPr>
                    <w:rFonts w:ascii="Cambria Math" w:hAnsi="Cambria Math"/>
                  </w:rPr>
                  <m:t>G(t)</m:t>
                </m:r>
              </m:oMath>
            </m:oMathPara>
          </w:p>
        </w:tc>
        <w:tc>
          <w:tcPr>
            <w:tcW w:w="6048" w:type="dxa"/>
            <w:vAlign w:val="center"/>
          </w:tcPr>
          <w:p>
            <w:pPr>
              <w:adjustRightInd w:val="0"/>
              <w:snapToGrid w:val="0"/>
              <w:ind w:firstLine="0" w:firstLineChars="0"/>
              <w:jc w:val="center"/>
              <w:rPr>
                <w:rFonts w:hint="eastAsia" w:hAnsi="Cambria Math"/>
                <w:bCs/>
              </w:rPr>
            </w:pPr>
            <w:r>
              <w:rPr>
                <w:rFonts w:hint="eastAsia" w:hAnsi="Cambria Math"/>
                <w:iCs/>
              </w:rPr>
              <w:t>树龄为</w:t>
            </w:r>
            <m:oMath>
              <m:r>
                <m:rPr/>
                <w:rPr>
                  <w:rFonts w:ascii="Cambria Math" w:hAnsi="Cambria Math"/>
                </w:rPr>
                <m:t>t</m:t>
              </m:r>
            </m:oMath>
            <w:r>
              <w:rPr>
                <w:rFonts w:hint="eastAsia" w:hAnsi="Cambria Math"/>
              </w:rPr>
              <w:t>的</w:t>
            </w:r>
            <w:r>
              <w:rPr>
                <w:rFonts w:hint="eastAsia" w:hAnsi="Cambria Math"/>
                <w:lang w:val="en-US" w:eastAsia="zh-CN"/>
              </w:rPr>
              <w:t>特定</w:t>
            </w:r>
            <w:r>
              <w:rPr>
                <w:rFonts w:hint="eastAsia" w:hAnsi="Cambria Math"/>
                <w:iCs/>
              </w:rPr>
              <w:t>树木的立木价值(stumpage value)</w:t>
            </w:r>
          </w:p>
        </w:tc>
        <w:tc>
          <w:tcPr>
            <w:tcW w:w="1600" w:type="dxa"/>
            <w:vAlign w:val="center"/>
          </w:tcPr>
          <w:p>
            <w:pPr>
              <w:adjustRightInd w:val="0"/>
              <w:snapToGrid w:val="0"/>
              <w:ind w:firstLine="0" w:firstLineChars="0"/>
              <w:jc w:val="center"/>
              <m:rPr/>
              <w:rPr>
                <w:rFonts w:hint="default" w:ascii="Cambria Math" w:hAnsi="Cambria Math" w:eastAsia="宋体"/>
                <w:i/>
                <w:lang w:val="en-US" w:eastAsia="zh-CN"/>
                <w:oMath/>
              </w:rPr>
            </w:pPr>
            <w:r>
              <m:rPr/>
              <w:rPr>
                <w:rFonts w:hint="eastAsia" w:hAnsi="Cambria Math"/>
                <w:i/>
                <w:lang w:val="en-US" w:eastAsia="zh-CN"/>
              </w:rPr>
              <w:t>CNY</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m:rPr/>
              <w:rPr>
                <w:rFonts w:ascii="Cambria Math" w:hAnsi="Cambria Math"/>
                <w:i/>
                <w:oMath/>
              </w:rPr>
            </w:pPr>
            <m:oMathPara>
              <m:oMath>
                <m:r>
                  <m:rPr/>
                  <w:rPr>
                    <w:rFonts w:ascii="Cambria Math" w:hAnsi="Cambria Math"/>
                  </w:rPr>
                  <m:t>F(t)</m:t>
                </m:r>
              </m:oMath>
            </m:oMathPara>
          </w:p>
        </w:tc>
        <w:tc>
          <w:tcPr>
            <w:tcW w:w="6048" w:type="dxa"/>
            <w:vAlign w:val="center"/>
          </w:tcPr>
          <w:p>
            <w:pPr>
              <w:adjustRightInd w:val="0"/>
              <w:snapToGrid w:val="0"/>
              <w:ind w:firstLine="0" w:firstLineChars="0"/>
              <w:jc w:val="center"/>
              <w:rPr>
                <w:rFonts w:hint="eastAsia" w:hAnsi="Cambria Math"/>
                <w:iCs/>
              </w:rPr>
            </w:pPr>
            <w:r>
              <w:rPr>
                <w:rFonts w:hint="eastAsia" w:hAnsi="Cambria Math"/>
              </w:rPr>
              <w:t>树龄为</w:t>
            </w:r>
            <m:oMath>
              <m:r>
                <m:rPr/>
                <w:rPr>
                  <w:rFonts w:ascii="Cambria Math" w:hAnsi="Cambria Math"/>
                </w:rPr>
                <m:t>t</m:t>
              </m:r>
            </m:oMath>
            <w:r>
              <w:rPr>
                <w:rFonts w:hint="eastAsia" w:hAnsi="Cambria Math"/>
              </w:rPr>
              <w:t>的</w:t>
            </w:r>
            <w:r>
              <w:rPr>
                <w:rFonts w:hint="eastAsia" w:hAnsi="Cambria Math"/>
                <w:lang w:val="en-US" w:eastAsia="zh-CN"/>
              </w:rPr>
              <w:t>特定</w:t>
            </w:r>
            <w:r>
              <w:rPr>
                <w:rFonts w:hint="eastAsia" w:hAnsi="Cambria Math"/>
              </w:rPr>
              <w:t>树木的</w:t>
            </w:r>
            <w:r>
              <w:rPr>
                <w:rFonts w:hint="eastAsia"/>
              </w:rPr>
              <w:t>便利性价值(amanity value)</w:t>
            </w:r>
          </w:p>
        </w:tc>
        <w:tc>
          <w:tcPr>
            <w:tcW w:w="1600" w:type="dxa"/>
            <w:vAlign w:val="center"/>
          </w:tcPr>
          <w:p>
            <w:pPr>
              <w:adjustRightInd w:val="0"/>
              <w:snapToGrid w:val="0"/>
              <w:ind w:firstLine="0" w:firstLineChars="0"/>
              <w:jc w:val="center"/>
              <m:rPr/>
              <w:rPr>
                <w:rFonts w:hint="default" w:hAnsi="Cambria Math"/>
                <w:i/>
                <w:lang w:val="en-US" w:eastAsia="zh-CN"/>
              </w:rPr>
            </w:pPr>
            <w:r>
              <m:rPr/>
              <w:rPr>
                <w:rFonts w:hint="eastAsia" w:hAnsi="Cambria Math"/>
                <w:i/>
                <w:lang w:val="en-US" w:eastAsia="zh-CN"/>
              </w:rPr>
              <w:t>CNY</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m:rPr/>
              <w:rPr>
                <w:rFonts w:ascii="Cambria Math" w:hAnsi="Cambria Math"/>
                <w:i/>
                <w:oMath/>
              </w:rPr>
            </w:pPr>
            <m:oMathPara>
              <m:oMath>
                <m:r>
                  <m:rPr/>
                  <w:rPr>
                    <w:rFonts w:ascii="Cambria Math" w:hAnsi="Cambria Math"/>
                  </w:rPr>
                  <m:t>V</m:t>
                </m:r>
                <m:r>
                  <m:rPr/>
                  <w:rPr>
                    <w:rFonts w:hint="default" w:ascii="Cambria Math" w:hAnsi="Cambria Math"/>
                    <w:lang w:val="en-US" w:eastAsia="zh-CN"/>
                  </w:rPr>
                  <m:t>al</m:t>
                </m:r>
                <m:r>
                  <m:rPr/>
                  <w:rPr>
                    <w:rFonts w:ascii="Cambria Math" w:hAnsi="Cambria Math"/>
                  </w:rPr>
                  <m:t>(t)</m:t>
                </m:r>
              </m:oMath>
            </m:oMathPara>
          </w:p>
        </w:tc>
        <w:tc>
          <w:tcPr>
            <w:tcW w:w="6048" w:type="dxa"/>
            <w:vAlign w:val="center"/>
          </w:tcPr>
          <w:p>
            <w:pPr>
              <w:adjustRightInd w:val="0"/>
              <w:snapToGrid w:val="0"/>
              <w:ind w:firstLine="0" w:firstLineChars="0"/>
              <w:jc w:val="center"/>
              <w:rPr>
                <w:rFonts w:hint="eastAsia" w:hAnsi="Cambria Math"/>
              </w:rPr>
            </w:pPr>
            <w:r>
              <w:rPr>
                <w:rFonts w:hint="eastAsia" w:hAnsi="Cambria Math"/>
              </w:rPr>
              <w:t>轮伐周期</w:t>
            </w:r>
            <w:r>
              <w:rPr>
                <w:rFonts w:hint="eastAsia" w:hAnsi="Cambria Math"/>
                <w:lang w:val="en-US" w:eastAsia="zh-CN"/>
              </w:rPr>
              <w:t>为</w:t>
            </w:r>
            <m:oMath>
              <m:r>
                <m:rPr/>
                <w:rPr>
                  <w:rFonts w:ascii="Cambria Math" w:hAnsi="Cambria Math"/>
                </w:rPr>
                <m:t>t</m:t>
              </m:r>
            </m:oMath>
            <w:r>
              <m:rPr/>
              <w:rPr>
                <w:rFonts w:hint="eastAsia" w:hAnsi="Cambria Math"/>
                <w:i w:val="0"/>
                <w:lang w:val="en-US" w:eastAsia="zh-CN"/>
              </w:rPr>
              <w:t>的单一周期</w:t>
            </w:r>
            <w:r>
              <w:rPr>
                <w:rFonts w:hint="eastAsia" w:hAnsi="Cambria Math"/>
              </w:rPr>
              <w:t>森林</w:t>
            </w:r>
            <w:r>
              <w:rPr>
                <w:rFonts w:hint="eastAsia" w:hAnsi="Cambria Math"/>
                <w:lang w:val="en-US" w:eastAsia="zh-CN"/>
              </w:rPr>
              <w:t>综合</w:t>
            </w:r>
            <w:r>
              <w:rPr>
                <w:rFonts w:hint="eastAsia" w:hAnsi="Cambria Math"/>
              </w:rPr>
              <w:t>价值</w:t>
            </w:r>
          </w:p>
        </w:tc>
        <w:tc>
          <w:tcPr>
            <w:tcW w:w="1600" w:type="dxa"/>
            <w:vAlign w:val="center"/>
          </w:tcPr>
          <w:p>
            <w:pPr>
              <w:adjustRightInd w:val="0"/>
              <w:snapToGrid w:val="0"/>
              <w:ind w:firstLine="0" w:firstLineChars="0"/>
              <w:jc w:val="center"/>
              <m:rPr/>
              <w:rPr>
                <w:rFonts w:hint="default" w:hAnsi="Cambria Math"/>
                <w:i/>
                <w:lang w:val="en-US" w:eastAsia="zh-CN"/>
              </w:rPr>
            </w:pPr>
            <w:r>
              <m:rPr/>
              <w:rPr>
                <w:rFonts w:hint="eastAsia" w:hAnsi="Cambria Math"/>
                <w:i/>
                <w:lang w:val="en-US" w:eastAsia="zh-CN"/>
              </w:rPr>
              <w:t>CNY</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m:rPr/>
              <w:rPr>
                <w:rFonts w:ascii="Cambria Math" w:hAnsi="Cambria Math"/>
                <w:i/>
                <w:oMath/>
              </w:rPr>
            </w:pPr>
            <w:r>
              <w:rPr>
                <w:rFonts w:hint="eastAsia" w:hAnsi="Cambria Math"/>
                <w:i/>
                <w:color w:val="auto"/>
              </w:rPr>
              <w:t>L</w:t>
            </w:r>
            <w:r>
              <w:rPr>
                <w:rFonts w:hAnsi="Cambria Math"/>
                <w:i/>
                <w:color w:val="auto"/>
              </w:rPr>
              <w:t>EV</w:t>
            </w:r>
          </w:p>
        </w:tc>
        <w:tc>
          <w:tcPr>
            <w:tcW w:w="6048" w:type="dxa"/>
            <w:vAlign w:val="center"/>
          </w:tcPr>
          <w:p>
            <w:pPr>
              <w:adjustRightInd w:val="0"/>
              <w:snapToGrid w:val="0"/>
              <w:ind w:firstLine="0" w:firstLineChars="0"/>
              <w:jc w:val="center"/>
              <w:rPr>
                <w:rFonts w:hint="eastAsia" w:hAnsi="Cambria Math"/>
              </w:rPr>
            </w:pPr>
            <w:r>
              <w:rPr>
                <w:rFonts w:hint="eastAsia" w:hAnsi="Cambria Math"/>
                <w:iCs/>
                <w:color w:val="auto"/>
                <w:lang w:val="en-US" w:eastAsia="zh-CN"/>
              </w:rPr>
              <w:t>L</w:t>
            </w:r>
            <w:r>
              <w:rPr>
                <w:rFonts w:hAnsi="Cambria Math"/>
                <w:iCs/>
                <w:color w:val="auto"/>
              </w:rPr>
              <w:t xml:space="preserve">and </w:t>
            </w:r>
            <w:r>
              <w:rPr>
                <w:rFonts w:hint="eastAsia" w:hAnsi="Cambria Math"/>
                <w:iCs/>
                <w:color w:val="auto"/>
                <w:lang w:val="en-US" w:eastAsia="zh-CN"/>
              </w:rPr>
              <w:t>E</w:t>
            </w:r>
            <w:r>
              <w:rPr>
                <w:rFonts w:hAnsi="Cambria Math"/>
                <w:iCs/>
                <w:color w:val="auto"/>
              </w:rPr>
              <w:t xml:space="preserve">xpected </w:t>
            </w:r>
            <w:r>
              <w:rPr>
                <w:rFonts w:hint="eastAsia" w:hAnsi="Cambria Math"/>
                <w:iCs/>
                <w:color w:val="auto"/>
                <w:lang w:val="en-US" w:eastAsia="zh-CN"/>
              </w:rPr>
              <w:t>V</w:t>
            </w:r>
            <w:r>
              <w:rPr>
                <w:rFonts w:hAnsi="Cambria Math"/>
                <w:iCs/>
                <w:color w:val="auto"/>
              </w:rPr>
              <w:t>alue</w:t>
            </w:r>
          </w:p>
        </w:tc>
        <w:tc>
          <w:tcPr>
            <w:tcW w:w="1600" w:type="dxa"/>
            <w:vAlign w:val="center"/>
          </w:tcPr>
          <w:p>
            <w:pPr>
              <w:adjustRightInd w:val="0"/>
              <w:snapToGrid w:val="0"/>
              <w:ind w:firstLine="0" w:firstLineChars="0"/>
              <w:jc w:val="center"/>
              <m:rPr/>
              <w:rPr>
                <w:rFonts w:hint="default" w:hAnsi="Cambria Math"/>
                <w:i/>
                <w:lang w:val="en-US" w:eastAsia="zh-CN"/>
              </w:rPr>
            </w:pPr>
            <w:r>
              <m:rPr/>
              <w:rPr>
                <w:rFonts w:hint="eastAsia" w:hAnsi="Cambria Math"/>
                <w:i/>
                <w:lang w:val="en-US" w:eastAsia="zh-CN"/>
              </w:rPr>
              <w:t>CNY</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hint="eastAsia" w:hAnsi="Cambria Math"/>
                <w:i/>
                <w:color w:val="auto"/>
              </w:rPr>
            </w:pPr>
            <m:oMathPara>
              <m:oMath>
                <m:r>
                  <m:rPr/>
                  <w:rPr>
                    <w:rFonts w:hint="default" w:ascii="Cambria Math" w:hAnsi="Cambria Math" w:cstheme="minorBidi"/>
                    <w:color w:val="auto"/>
                    <w:kern w:val="2"/>
                    <w:sz w:val="24"/>
                    <w:szCs w:val="21"/>
                    <w:lang w:val="en-US" w:bidi="ar-SA"/>
                  </w:rPr>
                  <m:t>TV</m:t>
                </m:r>
              </m:oMath>
            </m:oMathPara>
          </w:p>
        </w:tc>
        <w:tc>
          <w:tcPr>
            <w:tcW w:w="6048" w:type="dxa"/>
            <w:vAlign w:val="center"/>
          </w:tcPr>
          <w:p>
            <w:pPr>
              <w:adjustRightInd w:val="0"/>
              <w:snapToGrid w:val="0"/>
              <w:ind w:firstLine="0" w:firstLineChars="0"/>
              <w:jc w:val="center"/>
              <w:rPr>
                <w:rFonts w:hint="eastAsia" w:hAnsi="Cambria Math"/>
                <w:iCs/>
                <w:color w:val="auto"/>
                <w:lang w:val="en-US" w:eastAsia="zh-CN"/>
              </w:rPr>
            </w:pPr>
            <w:r>
              <w:rPr>
                <w:rFonts w:hint="eastAsia"/>
                <w:color w:val="auto"/>
                <w:lang w:val="en-US" w:eastAsia="zh-CN"/>
              </w:rPr>
              <w:t>T</w:t>
            </w:r>
            <w:r>
              <w:rPr>
                <w:rFonts w:hint="eastAsia"/>
                <w:color w:val="auto"/>
              </w:rPr>
              <w:t>imber</w:t>
            </w:r>
            <w:r>
              <w:rPr>
                <w:color w:val="auto"/>
              </w:rPr>
              <w:t xml:space="preserve"> </w:t>
            </w:r>
            <w:r>
              <w:rPr>
                <w:rFonts w:hint="eastAsia"/>
                <w:color w:val="auto"/>
                <w:lang w:val="en-US" w:eastAsia="zh-CN"/>
              </w:rPr>
              <w:t>V</w:t>
            </w:r>
            <w:r>
              <w:rPr>
                <w:rFonts w:hint="eastAsia"/>
                <w:color w:val="auto"/>
              </w:rPr>
              <w:t>alue</w:t>
            </w:r>
          </w:p>
        </w:tc>
        <w:tc>
          <w:tcPr>
            <w:tcW w:w="1600" w:type="dxa"/>
            <w:vAlign w:val="center"/>
          </w:tcPr>
          <w:p>
            <w:pPr>
              <w:adjustRightInd w:val="0"/>
              <w:snapToGrid w:val="0"/>
              <w:ind w:firstLine="0" w:firstLineChars="0"/>
              <w:jc w:val="center"/>
              <m:rPr/>
              <w:rPr>
                <w:rFonts w:hint="default" w:hAnsi="Cambria Math"/>
                <w:i/>
                <w:lang w:val="en-US" w:eastAsia="zh-CN"/>
              </w:rPr>
            </w:pPr>
            <w:r>
              <m:rPr/>
              <w:rPr>
                <w:rFonts w:hint="eastAsia" w:hAnsi="Cambria Math"/>
                <w:i/>
                <w:lang w:val="en-US" w:eastAsia="zh-CN"/>
              </w:rPr>
              <w:t>CNY</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m:rPr/>
              <w:rPr>
                <w:rFonts w:hint="default" w:ascii="Cambria Math" w:hAnsi="Cambria Math" w:cstheme="minorBidi"/>
                <w:i/>
                <w:color w:val="auto"/>
                <w:kern w:val="2"/>
                <w:sz w:val="24"/>
                <w:szCs w:val="21"/>
                <w:lang w:val="en-US" w:bidi="ar-SA"/>
                <w:oMath/>
              </w:rPr>
            </w:pPr>
            <m:oMathPara>
              <m:oMath>
                <m:r>
                  <m:rPr/>
                  <w:rPr>
                    <w:rFonts w:hint="default" w:ascii="Cambria Math" w:hAnsi="Cambria Math" w:cstheme="minorBidi"/>
                    <w:color w:val="auto"/>
                    <w:kern w:val="2"/>
                    <w:sz w:val="24"/>
                    <w:szCs w:val="21"/>
                    <w:lang w:val="en-US" w:bidi="ar-SA"/>
                  </w:rPr>
                  <m:t>CSV</m:t>
                </m:r>
              </m:oMath>
            </m:oMathPara>
          </w:p>
        </w:tc>
        <w:tc>
          <w:tcPr>
            <w:tcW w:w="6048" w:type="dxa"/>
            <w:vAlign w:val="center"/>
          </w:tcPr>
          <w:p>
            <w:pPr>
              <w:adjustRightInd w:val="0"/>
              <w:snapToGrid w:val="0"/>
              <w:ind w:firstLine="0" w:firstLineChars="0"/>
              <w:jc w:val="center"/>
              <w:rPr>
                <w:rFonts w:hint="eastAsia"/>
                <w:color w:val="auto"/>
                <w:lang w:val="en-US" w:eastAsia="zh-CN"/>
              </w:rPr>
            </w:pPr>
            <w:r>
              <w:rPr>
                <w:rFonts w:hint="eastAsia"/>
                <w:color w:val="auto"/>
                <w:lang w:val="en-US" w:eastAsia="zh-CN"/>
              </w:rPr>
              <w:t>C</w:t>
            </w:r>
            <w:r>
              <w:rPr>
                <w:color w:val="auto"/>
              </w:rPr>
              <w:t xml:space="preserve">arbon </w:t>
            </w:r>
            <w:r>
              <w:rPr>
                <w:rFonts w:hint="eastAsia"/>
                <w:color w:val="auto"/>
                <w:lang w:val="en-US" w:eastAsia="zh-CN"/>
              </w:rPr>
              <w:t>S</w:t>
            </w:r>
            <w:r>
              <w:rPr>
                <w:color w:val="auto"/>
              </w:rPr>
              <w:t xml:space="preserve">equestration </w:t>
            </w:r>
            <w:r>
              <w:rPr>
                <w:rFonts w:hint="eastAsia"/>
                <w:color w:val="auto"/>
                <w:lang w:val="en-US" w:eastAsia="zh-CN"/>
              </w:rPr>
              <w:t>V</w:t>
            </w:r>
            <w:r>
              <w:rPr>
                <w:rFonts w:hint="eastAsia"/>
                <w:color w:val="auto"/>
              </w:rPr>
              <w:t>alue</w:t>
            </w:r>
          </w:p>
        </w:tc>
        <w:tc>
          <w:tcPr>
            <w:tcW w:w="1600" w:type="dxa"/>
            <w:vAlign w:val="center"/>
          </w:tcPr>
          <w:p>
            <w:pPr>
              <w:adjustRightInd w:val="0"/>
              <w:snapToGrid w:val="0"/>
              <w:ind w:firstLine="0" w:firstLineChars="0"/>
              <w:jc w:val="center"/>
              <m:rPr/>
              <w:rPr>
                <w:rFonts w:hint="eastAsia" w:hAnsi="Cambria Math"/>
                <w:i/>
                <w:lang w:val="en-US" w:eastAsia="zh-CN"/>
              </w:rPr>
            </w:pPr>
            <w:r>
              <w:rPr>
                <w:rFonts w:hint="eastAsia" w:hAnsi="Cambria Math"/>
                <w:i/>
                <w:lang w:val="en-US" w:eastAsia="zh-CN"/>
              </w:rPr>
              <w:t>CNY</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m:rPr/>
              <w:rPr>
                <w:rFonts w:hint="default" w:ascii="Cambria Math" w:hAnsi="Cambria Math" w:cstheme="minorBidi"/>
                <w:i/>
                <w:color w:val="auto"/>
                <w:kern w:val="2"/>
                <w:sz w:val="24"/>
                <w:szCs w:val="21"/>
                <w:lang w:val="en-US" w:bidi="ar-SA"/>
                <w:oMath/>
              </w:rPr>
            </w:pPr>
            <m:oMathPara>
              <m:oMath>
                <m:r>
                  <m:rPr/>
                  <w:rPr>
                    <w:rFonts w:hint="default" w:ascii="Cambria Math" w:hAnsi="Cambria Math" w:cstheme="minorBidi"/>
                    <w:color w:val="auto"/>
                    <w:kern w:val="2"/>
                    <w:sz w:val="24"/>
                    <w:szCs w:val="21"/>
                    <w:lang w:val="en-US" w:bidi="ar-SA"/>
                  </w:rPr>
                  <m:t>WV</m:t>
                </m:r>
              </m:oMath>
            </m:oMathPara>
          </w:p>
        </w:tc>
        <w:tc>
          <w:tcPr>
            <w:tcW w:w="6048" w:type="dxa"/>
            <w:vAlign w:val="center"/>
          </w:tcPr>
          <w:p>
            <w:pPr>
              <w:adjustRightInd w:val="0"/>
              <w:snapToGrid w:val="0"/>
              <w:ind w:firstLine="0" w:firstLineChars="0"/>
              <w:jc w:val="center"/>
              <w:rPr>
                <w:color w:val="auto"/>
              </w:rPr>
            </w:pPr>
            <w:r>
              <w:rPr>
                <w:rFonts w:hint="eastAsia" w:hAnsi="Cambria Math"/>
                <w:color w:val="auto"/>
                <w:lang w:val="en-US" w:eastAsia="zh-CN"/>
              </w:rPr>
              <w:t>W</w:t>
            </w:r>
            <w:r>
              <w:rPr>
                <w:rFonts w:hint="eastAsia" w:hAnsi="Cambria Math"/>
                <w:color w:val="auto"/>
              </w:rPr>
              <w:t>ater</w:t>
            </w:r>
            <w:r>
              <w:rPr>
                <w:rFonts w:hAnsi="Cambria Math"/>
                <w:color w:val="auto"/>
              </w:rPr>
              <w:t xml:space="preserve"> </w:t>
            </w:r>
            <w:r>
              <w:rPr>
                <w:rFonts w:hint="eastAsia" w:hAnsi="Cambria Math"/>
                <w:color w:val="auto"/>
                <w:lang w:val="en-US" w:eastAsia="zh-CN"/>
              </w:rPr>
              <w:t>V</w:t>
            </w:r>
            <w:r>
              <w:rPr>
                <w:rFonts w:hint="eastAsia" w:hAnsi="Cambria Math"/>
                <w:color w:val="auto"/>
              </w:rPr>
              <w:t>alue</w:t>
            </w:r>
          </w:p>
        </w:tc>
        <w:tc>
          <w:tcPr>
            <w:tcW w:w="1600" w:type="dxa"/>
            <w:vAlign w:val="center"/>
          </w:tcPr>
          <w:p>
            <w:pPr>
              <w:adjustRightInd w:val="0"/>
              <w:snapToGrid w:val="0"/>
              <w:ind w:firstLine="0" w:firstLineChars="0"/>
              <w:jc w:val="center"/>
              <m:rPr/>
              <w:rPr>
                <w:rFonts w:hint="eastAsia" w:hAnsi="Cambria Math"/>
                <w:i/>
                <w:lang w:val="en-US" w:eastAsia="zh-CN"/>
              </w:rPr>
            </w:pPr>
            <w:r>
              <w:rPr>
                <w:rFonts w:hint="eastAsia" w:hAnsi="Cambria Math"/>
                <w:i/>
                <w:lang w:val="en-US" w:eastAsia="zh-CN"/>
              </w:rPr>
              <w:t>CNY</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m:rPr/>
              <w:rPr>
                <w:rFonts w:hint="default" w:ascii="Cambria Math" w:hAnsi="Cambria Math" w:cstheme="minorBidi"/>
                <w:i/>
                <w:color w:val="auto"/>
                <w:kern w:val="2"/>
                <w:sz w:val="24"/>
                <w:szCs w:val="21"/>
                <w:lang w:val="en-US" w:bidi="ar-SA"/>
                <w:oMath/>
              </w:rPr>
            </w:pPr>
            <m:oMathPara>
              <m:oMath>
                <m:r>
                  <m:rPr/>
                  <w:rPr>
                    <w:rFonts w:hint="default" w:ascii="Cambria Math" w:hAnsi="Cambria Math" w:cstheme="minorBidi"/>
                    <w:color w:val="auto"/>
                    <w:kern w:val="2"/>
                    <w:sz w:val="24"/>
                    <w:szCs w:val="21"/>
                    <w:lang w:val="en-US" w:bidi="ar-SA"/>
                  </w:rPr>
                  <m:t>EV</m:t>
                </m:r>
              </m:oMath>
            </m:oMathPara>
          </w:p>
        </w:tc>
        <w:tc>
          <w:tcPr>
            <w:tcW w:w="6048" w:type="dxa"/>
            <w:vAlign w:val="center"/>
          </w:tcPr>
          <w:p>
            <w:pPr>
              <w:adjustRightInd w:val="0"/>
              <w:snapToGrid w:val="0"/>
              <w:ind w:firstLine="0" w:firstLineChars="0"/>
              <w:jc w:val="center"/>
              <w:rPr>
                <w:rFonts w:hint="eastAsia" w:hAnsi="Cambria Math"/>
                <w:color w:val="auto"/>
              </w:rPr>
            </w:pPr>
            <w:r>
              <w:rPr>
                <w:rFonts w:hint="eastAsia" w:hAnsi="Cambria Math"/>
                <w:color w:val="auto"/>
                <w:lang w:val="en-US" w:eastAsia="zh-CN"/>
              </w:rPr>
              <w:t>E</w:t>
            </w:r>
            <w:r>
              <w:rPr>
                <w:rFonts w:hint="eastAsia" w:hAnsi="Cambria Math"/>
                <w:color w:val="auto"/>
              </w:rPr>
              <w:t>ntertainment</w:t>
            </w:r>
            <w:r>
              <w:rPr>
                <w:rFonts w:hAnsi="Cambria Math"/>
                <w:color w:val="auto"/>
              </w:rPr>
              <w:t xml:space="preserve"> </w:t>
            </w:r>
            <w:r>
              <w:rPr>
                <w:rFonts w:hint="eastAsia" w:hAnsi="Cambria Math"/>
                <w:color w:val="auto"/>
                <w:lang w:val="en-US" w:eastAsia="zh-CN"/>
              </w:rPr>
              <w:t>V</w:t>
            </w:r>
            <w:r>
              <w:rPr>
                <w:rFonts w:hint="eastAsia" w:hAnsi="Cambria Math"/>
                <w:color w:val="auto"/>
              </w:rPr>
              <w:t>alue</w:t>
            </w:r>
          </w:p>
        </w:tc>
        <w:tc>
          <w:tcPr>
            <w:tcW w:w="1600" w:type="dxa"/>
            <w:vAlign w:val="center"/>
          </w:tcPr>
          <w:p>
            <w:pPr>
              <w:adjustRightInd w:val="0"/>
              <w:snapToGrid w:val="0"/>
              <w:ind w:firstLine="0" w:firstLineChars="0"/>
              <w:jc w:val="center"/>
              <m:rPr/>
              <w:rPr>
                <w:rFonts w:hint="eastAsia" w:hAnsi="Cambria Math"/>
                <w:i/>
                <w:lang w:val="en-US" w:eastAsia="zh-CN"/>
              </w:rPr>
            </w:pPr>
            <w:r>
              <w:rPr>
                <w:rFonts w:hint="eastAsia" w:hAnsi="Cambria Math"/>
                <w:i/>
                <w:lang w:val="en-US" w:eastAsia="zh-CN"/>
              </w:rPr>
              <w:t>CNY</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m:rPr/>
              <w:rPr>
                <w:rFonts w:hint="default" w:ascii="Cambria Math" w:hAnsi="Cambria Math" w:cstheme="minorBidi"/>
                <w:i/>
                <w:color w:val="auto"/>
                <w:kern w:val="2"/>
                <w:sz w:val="24"/>
                <w:szCs w:val="21"/>
                <w:lang w:val="en-US" w:bidi="ar-SA"/>
                <w:oMath/>
              </w:rPr>
            </w:pPr>
            <m:oMathPara>
              <m:oMath>
                <m:r>
                  <m:rPr/>
                  <w:rPr>
                    <w:rFonts w:hint="default" w:ascii="Cambria Math" w:hAnsi="Cambria Math"/>
                    <w:color w:val="auto"/>
                    <w:lang w:val="en-US" w:eastAsia="zh-CN"/>
                  </w:rPr>
                  <m:t>O</m:t>
                </m:r>
                <m:r>
                  <m:rPr/>
                  <w:rPr>
                    <w:rFonts w:hint="default" w:ascii="Cambria Math" w:hAnsi="Cambria Math" w:cstheme="minorBidi"/>
                    <w:color w:val="auto"/>
                    <w:kern w:val="2"/>
                    <w:sz w:val="24"/>
                    <w:szCs w:val="21"/>
                    <w:lang w:val="en-US" w:bidi="ar-SA"/>
                  </w:rPr>
                  <m:t>V</m:t>
                </m:r>
              </m:oMath>
            </m:oMathPara>
          </w:p>
        </w:tc>
        <w:tc>
          <w:tcPr>
            <w:tcW w:w="6048" w:type="dxa"/>
            <w:vAlign w:val="center"/>
          </w:tcPr>
          <w:p>
            <w:pPr>
              <w:adjustRightInd w:val="0"/>
              <w:snapToGrid w:val="0"/>
              <w:ind w:firstLine="0" w:firstLineChars="0"/>
              <w:jc w:val="center"/>
              <w:rPr>
                <w:rFonts w:hint="eastAsia" w:hAnsi="Cambria Math"/>
                <w:color w:val="auto"/>
              </w:rPr>
            </w:pPr>
            <w:r>
              <w:rPr>
                <w:rFonts w:hint="eastAsia" w:hAnsi="Cambria Math"/>
                <w:color w:val="auto"/>
                <w:lang w:val="en-US" w:eastAsia="zh-CN"/>
              </w:rPr>
              <w:t>Oxygen</w:t>
            </w:r>
            <w:r>
              <w:rPr>
                <w:rFonts w:hAnsi="Cambria Math"/>
                <w:color w:val="auto"/>
              </w:rPr>
              <w:t xml:space="preserve"> </w:t>
            </w:r>
            <w:r>
              <w:rPr>
                <w:rFonts w:hint="eastAsia" w:hAnsi="Cambria Math"/>
                <w:color w:val="auto"/>
                <w:lang w:val="en-US" w:eastAsia="zh-CN"/>
              </w:rPr>
              <w:t>V</w:t>
            </w:r>
            <w:r>
              <w:rPr>
                <w:rFonts w:hint="eastAsia" w:hAnsi="Cambria Math"/>
                <w:color w:val="auto"/>
              </w:rPr>
              <w:t>alue</w:t>
            </w:r>
          </w:p>
        </w:tc>
        <w:tc>
          <w:tcPr>
            <w:tcW w:w="1600" w:type="dxa"/>
            <w:vAlign w:val="center"/>
          </w:tcPr>
          <w:p>
            <w:pPr>
              <w:adjustRightInd w:val="0"/>
              <w:snapToGrid w:val="0"/>
              <w:ind w:firstLine="0" w:firstLineChars="0"/>
              <w:jc w:val="center"/>
              <m:rPr/>
              <w:rPr>
                <w:rFonts w:hint="eastAsia" w:hAnsi="Cambria Math"/>
                <w:i/>
                <w:lang w:val="en-US" w:eastAsia="zh-CN"/>
              </w:rPr>
            </w:pPr>
            <w:r>
              <w:rPr>
                <w:rFonts w:hint="eastAsia" w:hAnsi="Cambria Math"/>
                <w:i/>
                <w:lang w:val="en-US" w:eastAsia="zh-CN"/>
              </w:rPr>
              <w:t>CNY</w:t>
            </w:r>
          </w:p>
        </w:tc>
      </w:tr>
    </w:tbl>
    <w:p>
      <w:pPr>
        <w:ind w:firstLine="0" w:firstLineChars="0"/>
      </w:pPr>
    </w:p>
    <w:p>
      <w:pPr>
        <w:pStyle w:val="2"/>
      </w:pPr>
      <w:r>
        <w:rPr>
          <w:rFonts w:hint="eastAsia"/>
        </w:rPr>
        <w:t>碳封存模型</w:t>
      </w:r>
    </w:p>
    <w:p>
      <w:pPr>
        <w:ind w:firstLine="480"/>
      </w:pPr>
      <w:r>
        <w:rPr>
          <w:rFonts w:hint="eastAsia"/>
        </w:rPr>
        <w:t>该模型主要任务为确定一段时间内森林及其木制品封存二氧化碳的量，并制定适当的森林管理政策使森林发挥出最大的二氧化碳封存能力。为了满足要求，首先需要建立一个合理的静态二氧化碳封存量计算模型，通过森林的若干静态数据得到其在一定时间内吸收二氧化碳的具体能力。但实际上，森林本身是一个动态的系统，它会不断地成长，并与人类社会一样存在生老更替的情况，仅仅使用单一的静态计算模型无法满足较长时间周期内的计算需求。因此，一个用于衡量森林内部不同年龄树木生长、更替的发展模型同样至关重要，它能提供森林在动态发展过程中离散的静态情况。除此之外，为了让森林充分发挥其封存二氧化碳的能力，需要一个规划模型以确定较为有效的森林管理方案。</w:t>
      </w:r>
    </w:p>
    <w:p>
      <w:pPr>
        <w:ind w:firstLine="480"/>
      </w:pPr>
      <w:r>
        <w:rPr>
          <w:rFonts w:hint="eastAsia"/>
        </w:rPr>
        <w:t>与以上需求相对应地，碳封存模型分别由三个次级模型构成：</w:t>
      </w:r>
    </w:p>
    <w:p>
      <w:pPr>
        <w:numPr>
          <w:ilvl w:val="0"/>
          <w:numId w:val="9"/>
        </w:numPr>
        <w:ind w:firstLineChars="0"/>
      </w:pPr>
      <w:r>
        <w:rPr>
          <w:rFonts w:hint="eastAsia"/>
        </w:rPr>
        <w:t>用于量化森林以及其木制品二氧化碳封存量的计算模型；</w:t>
      </w:r>
    </w:p>
    <w:p>
      <w:pPr>
        <w:numPr>
          <w:ilvl w:val="0"/>
          <w:numId w:val="9"/>
        </w:numPr>
        <w:ind w:firstLineChars="0"/>
      </w:pPr>
      <w:r>
        <w:rPr>
          <w:rFonts w:hint="eastAsia"/>
        </w:rPr>
        <w:t>用于预计森林随时间发展过程中，各个树龄分别包含生物量的具体数值的发展模型；</w:t>
      </w:r>
    </w:p>
    <w:p>
      <w:pPr>
        <w:numPr>
          <w:ilvl w:val="0"/>
          <w:numId w:val="9"/>
        </w:numPr>
        <w:ind w:firstLineChars="0"/>
        <w:rPr>
          <w:strike/>
        </w:rPr>
      </w:pPr>
      <w:r>
        <w:rPr>
          <w:rFonts w:hint="eastAsia"/>
        </w:rPr>
        <w:t>通过线性规划确定最佳封存二氧化碳管理政策的规划模型。</w:t>
      </w:r>
    </w:p>
    <w:p>
      <w:pPr>
        <w:pStyle w:val="3"/>
        <w:spacing w:after="163"/>
      </w:pPr>
      <w:r>
        <w:rPr>
          <w:rFonts w:hint="eastAsia"/>
        </w:rPr>
        <w:t>二氧化碳封存量计算模型</w:t>
      </w:r>
    </w:p>
    <w:p>
      <w:pPr>
        <w:ind w:firstLine="480"/>
      </w:pPr>
      <w:r>
        <w:rPr>
          <w:rFonts w:hint="eastAsia"/>
        </w:rPr>
        <w:t>为了更方便地理解并计算森林在一段时间内封存二氧化碳的量，我们引入了两条与树龄相关的曲线：曲线A代表某一特定树木的树龄与其封存二氧化碳能力的关系，曲线B则显示了某一特定森林中某一特定树木各树龄分别的覆盖面积。下面将分别介绍这两条曲线的具体意义，并由此确定计算森林二氧化碳封存量的方式。</w:t>
      </w:r>
    </w:p>
    <w:p>
      <w:pPr>
        <w:pStyle w:val="4"/>
      </w:pPr>
      <w:r>
        <w:rPr>
          <w:rFonts w:hint="eastAsia"/>
        </w:rPr>
        <w:t>曲线A：</w:t>
      </w:r>
      <w:r>
        <w:rPr>
          <w:rFonts w:hint="eastAsia"/>
          <w:color w:val="auto"/>
        </w:rPr>
        <w:t>基于材积源-生物量法(</w:t>
      </w:r>
      <w:r>
        <w:rPr>
          <w:color w:val="auto"/>
        </w:rPr>
        <w:t>volume-biomass method)</w:t>
      </w:r>
      <w:r>
        <w:rPr>
          <w:rFonts w:hint="eastAsia"/>
          <w:color w:val="auto"/>
        </w:rPr>
        <w:t>得到的</w:t>
      </w:r>
      <w:r>
        <w:rPr>
          <w:rFonts w:hint="eastAsia"/>
        </w:rPr>
        <w:t>树龄——封存二氧化碳</w:t>
      </w:r>
      <w:r>
        <w:rPr>
          <w:rFonts w:hint="eastAsia"/>
          <w:color w:val="auto"/>
        </w:rPr>
        <w:t>量</w:t>
      </w:r>
      <w:r>
        <w:rPr>
          <w:rFonts w:hint="eastAsia"/>
        </w:rPr>
        <w:t>曲线</w:t>
      </w:r>
    </w:p>
    <w:p>
      <w:pPr>
        <w:pStyle w:val="19"/>
        <w:numPr>
          <w:ilvl w:val="0"/>
          <w:numId w:val="10"/>
        </w:numPr>
        <w:ind w:left="420" w:leftChars="0" w:firstLineChars="0"/>
        <w:rPr>
          <w:rFonts w:hint="eastAsia"/>
          <w:b/>
          <w:bCs/>
          <w:i w:val="0"/>
          <w:iCs w:val="0"/>
          <w:color w:val="auto"/>
        </w:rPr>
      </w:pPr>
      <w:r>
        <w:rPr>
          <w:rFonts w:hint="eastAsia"/>
          <w:b/>
          <w:bCs/>
          <w:i w:val="0"/>
          <w:iCs w:val="0"/>
          <w:color w:val="auto"/>
        </w:rPr>
        <w:t>森林二氧化碳固定量</w:t>
      </w:r>
    </w:p>
    <w:p>
      <w:pPr>
        <w:ind w:firstLine="480"/>
        <w:rPr>
          <w:rFonts w:ascii="Cambria Math" w:hAnsi="Cambria Math"/>
          <w:color w:val="4472C4" w:themeColor="accent1"/>
          <w14:textFill>
            <w14:solidFill>
              <w14:schemeClr w14:val="accent1"/>
            </w14:solidFill>
          </w14:textFill>
        </w:rPr>
      </w:pPr>
      <w:r>
        <w:rPr>
          <w:rFonts w:hint="eastAsia"/>
          <w:color w:val="auto"/>
        </w:rPr>
        <w:t>对于森林固碳量的计算目前存在多种方法，这里使用volume-biomass</w:t>
      </w:r>
      <w:r>
        <w:rPr>
          <w:color w:val="auto"/>
        </w:rPr>
        <w:t xml:space="preserve"> </w:t>
      </w:r>
      <w:r>
        <w:rPr>
          <w:rFonts w:hint="eastAsia"/>
          <w:color w:val="auto"/>
        </w:rPr>
        <w:t>method进行计算。设</w:t>
      </w:r>
      <m:oMath>
        <m:r>
          <m:rPr/>
          <w:rPr>
            <w:rFonts w:ascii="Cambria Math" w:hAnsi="Cambria Math"/>
            <w:color w:val="auto"/>
          </w:rPr>
          <m:t>V(t)</m:t>
        </m:r>
      </m:oMath>
      <w:r>
        <w:rPr>
          <w:rFonts w:hint="eastAsia" w:hAnsi="Cambria Math"/>
          <w:color w:val="auto"/>
        </w:rPr>
        <w:t>代表树木树龄为</w:t>
      </w:r>
      <m:oMath>
        <m:r>
          <m:rPr/>
          <w:rPr>
            <w:rFonts w:ascii="Cambria Math" w:hAnsi="Cambria Math"/>
            <w:color w:val="auto"/>
          </w:rPr>
          <m:t>t</m:t>
        </m:r>
      </m:oMath>
      <w:r>
        <w:rPr>
          <w:rFonts w:hint="eastAsia" w:hAnsi="Cambria Math"/>
          <w:color w:val="auto"/>
        </w:rPr>
        <w:t>时单位面积的蓄积量</w:t>
      </w:r>
      <m:oMath>
        <m:r>
          <m:rPr>
            <m:sty m:val="p"/>
          </m:rPr>
          <w:rPr>
            <w:rFonts w:ascii="Cambria Math" w:hAnsi="Cambria Math"/>
            <w:color w:val="auto"/>
          </w:rPr>
          <m:t>(</m:t>
        </m:r>
        <m:sSup>
          <m:sSupPr>
            <m:ctrlPr>
              <w:rPr>
                <w:rFonts w:ascii="Cambria Math" w:hAnsi="Cambria Math"/>
                <w:color w:val="auto"/>
              </w:rPr>
            </m:ctrlPr>
          </m:sSupPr>
          <m:e>
            <m:r>
              <m:rPr/>
              <w:rPr>
                <w:rFonts w:ascii="Cambria Math" w:hAnsi="Cambria Math"/>
                <w:color w:val="auto"/>
              </w:rPr>
              <m:t>m</m:t>
            </m:r>
            <m:ctrlPr>
              <w:rPr>
                <w:rFonts w:ascii="Cambria Math" w:hAnsi="Cambria Math"/>
                <w:color w:val="auto"/>
              </w:rPr>
            </m:ctrlPr>
          </m:e>
          <m:sup>
            <m:r>
              <m:rPr/>
              <w:rPr>
                <w:rFonts w:ascii="Cambria Math" w:hAnsi="Cambria Math"/>
                <w:color w:val="auto"/>
              </w:rPr>
              <m:t>3</m:t>
            </m:r>
            <m:ctrlPr>
              <w:rPr>
                <w:rFonts w:ascii="Cambria Math" w:hAnsi="Cambria Math"/>
                <w:color w:val="auto"/>
              </w:rPr>
            </m:ctrlPr>
          </m:sup>
        </m:sSup>
        <m:r>
          <m:rPr>
            <m:sty m:val="p"/>
          </m:rPr>
          <w:rPr>
            <w:rFonts w:ascii="Cambria Math" w:hAnsi="Cambria Math"/>
            <w:color w:val="auto"/>
          </w:rPr>
          <m:t>/h</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r>
          <m:rPr>
            <m:sty m:val="p"/>
          </m:rPr>
          <w:rPr>
            <w:rFonts w:ascii="Cambria Math" w:hAnsi="Cambria Math"/>
            <w:color w:val="auto"/>
          </w:rPr>
          <m:t>)</m:t>
        </m:r>
      </m:oMath>
      <w:r>
        <w:rPr>
          <w:rFonts w:hint="eastAsia" w:hAnsi="Cambria Math"/>
          <w:color w:val="auto"/>
        </w:rPr>
        <w:t>，</w:t>
      </w:r>
      <m:oMath>
        <m:r>
          <m:rPr/>
          <w:rPr>
            <w:rFonts w:ascii="Cambria Math" w:hAnsi="Cambria Math"/>
            <w:color w:val="auto"/>
          </w:rPr>
          <m:t>B(t)</m:t>
        </m:r>
      </m:oMath>
      <w:r>
        <w:rPr>
          <w:rFonts w:hint="eastAsia" w:hAnsi="Cambria Math"/>
          <w:color w:val="auto"/>
        </w:rPr>
        <w:t>代表树木树龄为</w:t>
      </w:r>
      <m:oMath>
        <m:r>
          <m:rPr/>
          <w:rPr>
            <w:rFonts w:ascii="Cambria Math" w:hAnsi="Cambria Math"/>
            <w:color w:val="auto"/>
          </w:rPr>
          <m:t>t</m:t>
        </m:r>
      </m:oMath>
      <w:r>
        <w:rPr>
          <w:rFonts w:hint="eastAsia" w:hAnsi="Cambria Math"/>
          <w:color w:val="auto"/>
        </w:rPr>
        <w:t>时单位面积的生物量</w:t>
      </w:r>
      <w:r>
        <w:rPr>
          <w:rFonts w:ascii="Cambria Math" w:hAnsi="Cambria Math"/>
          <w:color w:val="auto"/>
        </w:rPr>
        <w:t xml:space="preserve"> </w:t>
      </w:r>
      <m:oMath>
        <m:r>
          <m:rPr>
            <m:sty m:val="p"/>
          </m:rPr>
          <w:rPr>
            <w:rFonts w:ascii="Cambria Math" w:hAnsi="Cambria Math"/>
            <w:color w:val="auto"/>
          </w:rPr>
          <m:t>(t/h</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r>
          <m:rPr>
            <m:sty m:val="p"/>
          </m:rPr>
          <w:rPr>
            <w:rFonts w:ascii="Cambria Math" w:hAnsi="Cambria Math"/>
            <w:color w:val="auto"/>
          </w:rPr>
          <m:t>)</m:t>
        </m:r>
      </m:oMath>
      <w:r>
        <w:rPr>
          <w:rFonts w:hint="eastAsia" w:ascii="Cambria Math" w:hAnsi="Cambria Math"/>
          <w:color w:val="auto"/>
        </w:rPr>
        <w:t>，对于绝大多数林种而言，</w:t>
      </w:r>
      <m:oMath>
        <m:r>
          <m:rPr/>
          <w:rPr>
            <w:rFonts w:ascii="Cambria Math" w:hAnsi="Cambria Math"/>
            <w:color w:val="auto"/>
          </w:rPr>
          <m:t>B(</m:t>
        </m:r>
        <m:r>
          <m:rPr/>
          <w:rPr>
            <w:rFonts w:hint="eastAsia" w:ascii="Cambria Math" w:hAnsi="Cambria Math"/>
            <w:color w:val="auto"/>
          </w:rPr>
          <m:t>t</m:t>
        </m:r>
        <m:r>
          <m:rPr/>
          <w:rPr>
            <w:rFonts w:ascii="Cambria Math" w:hAnsi="Cambria Math"/>
            <w:color w:val="auto"/>
          </w:rPr>
          <m:t>)</m:t>
        </m:r>
      </m:oMath>
      <w:r>
        <w:rPr>
          <w:rFonts w:hint="eastAsia" w:ascii="Cambria Math" w:hAnsi="Cambria Math"/>
          <w:color w:val="auto"/>
        </w:rPr>
        <w:t>与</w:t>
      </w:r>
      <m:oMath>
        <m:r>
          <m:rPr/>
          <w:rPr>
            <w:rFonts w:ascii="Cambria Math" w:hAnsi="Cambria Math"/>
            <w:color w:val="auto"/>
          </w:rPr>
          <m:t>V(t)</m:t>
        </m:r>
      </m:oMath>
      <w:r>
        <w:rPr>
          <w:rFonts w:hint="eastAsia" w:ascii="Cambria Math" w:hAnsi="Cambria Math"/>
          <w:color w:val="auto"/>
        </w:rPr>
        <w:t>存在线性关系</w:t>
      </w:r>
      <w:r>
        <w:rPr>
          <w:rFonts w:hint="eastAsia" w:ascii="Cambria Math" w:hAnsi="Cambria Math"/>
          <w:color w:val="FF0000"/>
        </w:rPr>
        <w:t>[文献</w:t>
      </w:r>
      <w:r>
        <w:rPr>
          <w:rFonts w:ascii="Cambria Math" w:hAnsi="Cambria Math"/>
          <w:color w:val="FF0000"/>
        </w:rPr>
        <w:t>]</w:t>
      </w:r>
      <w:r>
        <w:rPr>
          <w:rFonts w:hint="eastAsia" w:ascii="Cambria Math" w:hAnsi="Cambria Math"/>
          <w:color w:val="4472C4" w:themeColor="accent1"/>
          <w14:textFill>
            <w14:solidFill>
              <w14:schemeClr w14:val="accent1"/>
            </w14:solidFill>
          </w14:textFill>
        </w:rPr>
        <w:t>，</w:t>
      </w:r>
      <w:r>
        <w:rPr>
          <w:rFonts w:hint="eastAsia" w:ascii="Cambria Math" w:hAnsi="Cambria Math"/>
          <w:color w:val="auto"/>
        </w:rPr>
        <w:t>即</w:t>
      </w:r>
      <w:r>
        <w:rPr>
          <w:rFonts w:hint="eastAsia" w:ascii="Cambria Math" w:hAnsi="Cambria Math"/>
          <w:color w:val="auto"/>
          <w:lang w:val="en-US" w:eastAsia="zh-CN"/>
        </w:rPr>
        <w:t>如式(1)所示</w:t>
      </w:r>
      <w:r>
        <w:rPr>
          <w:rFonts w:hint="eastAsia" w:ascii="Cambria Math" w:hAnsi="Cambria Math"/>
          <w:color w:val="auto"/>
        </w:rPr>
        <w:t>：</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eastAsia"/>
              </w:rPr>
            </w:pPr>
            <m:oMathPara>
              <m:oMath>
                <m:r>
                  <m:rPr/>
                  <w:rPr>
                    <w:rFonts w:ascii="Cambria Math" w:hAnsi="Cambria Math"/>
                    <w:color w:val="auto"/>
                  </w:rPr>
                  <m:t>B(</m:t>
                </m:r>
                <m:r>
                  <m:rPr/>
                  <w:rPr>
                    <w:rFonts w:hint="eastAsia" w:ascii="Cambria Math" w:hAnsi="Cambria Math"/>
                    <w:color w:val="auto"/>
                  </w:rPr>
                  <m:t>t</m:t>
                </m:r>
                <m:r>
                  <m:rPr/>
                  <w:rPr>
                    <w:rFonts w:ascii="Cambria Math" w:hAnsi="Cambria Math"/>
                    <w:color w:val="auto"/>
                  </w:rPr>
                  <m:t>)=aV(t)+b</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420" w:firstLineChars="0"/>
        <w:rPr>
          <w:rFonts w:ascii="Cambria Math" w:hAnsi="Cambria Math"/>
          <w:color w:val="auto"/>
        </w:rPr>
      </w:pPr>
      <w:r>
        <w:rPr>
          <w:rFonts w:hint="eastAsia" w:ascii="Cambria Math" w:hAnsi="Cambria Math"/>
          <w:color w:val="auto"/>
        </w:rPr>
        <w:t>而森林单位面积二氧化碳固定量</w:t>
      </w:r>
      <m:oMath>
        <m:r>
          <m:rPr/>
          <w:rPr>
            <w:rFonts w:ascii="Cambria Math" w:hAnsi="Cambria Math"/>
            <w:color w:val="auto"/>
          </w:rPr>
          <m:t>M(t)(t</m:t>
        </m:r>
        <m:r>
          <m:rPr>
            <m:lit/>
          </m:rPr>
          <w:rPr>
            <w:rFonts w:hint="default" w:ascii="Cambria Math" w:hAnsi="Cambria Math"/>
            <w:color w:val="auto"/>
            <w:lang w:val="en-US" w:eastAsia="zh-CN"/>
          </w:rPr>
          <m:t>C</m:t>
        </m:r>
        <m:r>
          <m:rPr>
            <m:lit/>
          </m:rPr>
          <w:rPr>
            <w:rFonts w:ascii="Cambria Math" w:hAnsi="Cambria Math"/>
            <w:color w:val="auto"/>
          </w:rPr>
          <m:t>/</m:t>
        </m:r>
        <m:r>
          <m:rPr>
            <m:sty m:val="p"/>
          </m:rPr>
          <w:rPr>
            <w:rFonts w:ascii="Cambria Math" w:hAnsi="Cambria Math"/>
            <w:color w:val="auto"/>
          </w:rPr>
          <m:t>h</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r>
          <m:rPr/>
          <w:rPr>
            <w:rFonts w:ascii="Cambria Math" w:hAnsi="Cambria Math"/>
            <w:color w:val="auto"/>
          </w:rPr>
          <m:t>)</m:t>
        </m:r>
      </m:oMath>
      <w:r>
        <w:rPr>
          <w:rFonts w:hint="eastAsia" w:ascii="Cambria Math" w:hAnsi="Cambria Math"/>
          <w:color w:val="auto"/>
        </w:rPr>
        <w:t>与单位面积生物量又有如</w:t>
      </w:r>
      <w:r>
        <w:rPr>
          <w:rFonts w:hint="eastAsia" w:ascii="Cambria Math" w:hAnsi="Cambria Math"/>
          <w:color w:val="auto"/>
          <w:lang w:val="en-US" w:eastAsia="zh-CN"/>
        </w:rPr>
        <w:t>式(2)所示</w:t>
      </w:r>
      <w:r>
        <w:rPr>
          <w:rFonts w:hint="eastAsia" w:ascii="Cambria Math" w:hAnsi="Cambria Math"/>
          <w:color w:val="auto"/>
        </w:rPr>
        <w:t>关系：</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8" w:hRule="atLeast"/>
        </w:trPr>
        <w:tc>
          <w:tcPr>
            <w:tcW w:w="8580" w:type="dxa"/>
            <w:vAlign w:val="center"/>
          </w:tcPr>
          <w:p>
            <w:pPr>
              <w:adjustRightInd w:val="0"/>
              <w:snapToGrid w:val="0"/>
              <w:ind w:firstLine="0" w:firstLineChars="0"/>
              <w:jc w:val="center"/>
              <w:rPr>
                <w:rFonts w:hint="eastAsia"/>
                <w:i/>
              </w:rPr>
            </w:pPr>
            <m:oMathPara>
              <m:oMath>
                <m:r>
                  <m:rPr/>
                  <w:rPr>
                    <w:rFonts w:ascii="Cambria Math" w:hAnsi="Cambria Math"/>
                    <w:color w:val="auto"/>
                  </w:rPr>
                  <m:t>M(t)=0.5×3.67×B(t)</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0" w:firstLineChars="0"/>
        <w:rPr>
          <w:rFonts w:hint="eastAsia" w:ascii="Cambria Math" w:hAnsi="Cambria Math"/>
          <w:color w:val="auto"/>
        </w:rPr>
      </w:pPr>
      <w:r>
        <w:rPr>
          <w:rFonts w:hint="eastAsia" w:ascii="Cambria Math" w:hAnsi="Cambria Math"/>
          <w:color w:val="auto"/>
        </w:rPr>
        <w:t>其中0.5为生物含碳率，3.67为二氧化碳与碳的换算系数。</w:t>
      </w:r>
    </w:p>
    <w:p>
      <w:pPr>
        <w:ind w:firstLine="420" w:firstLineChars="0"/>
        <w:rPr>
          <w:rFonts w:hint="eastAsia" w:ascii="Cambria Math" w:hAnsi="Cambria Math" w:eastAsia="宋体"/>
          <w:color w:val="auto"/>
          <w:lang w:eastAsia="zh-CN"/>
        </w:rPr>
      </w:pPr>
      <w:r>
        <w:rPr>
          <w:rFonts w:hint="eastAsia" w:ascii="Cambria Math" w:hAnsi="Cambria Math"/>
          <w:color w:val="auto"/>
          <w:lang w:val="en-US" w:eastAsia="zh-CN"/>
        </w:rPr>
        <w:t>至</w:t>
      </w:r>
      <w:r>
        <w:rPr>
          <w:rFonts w:hint="eastAsia" w:ascii="Cambria Math" w:hAnsi="Cambria Math"/>
          <w:color w:val="auto"/>
        </w:rPr>
        <w:t>此，通过生物量我们可以求出森林单位面积固碳量与蓄积量的关系</w:t>
      </w:r>
      <w:r>
        <w:rPr>
          <w:rFonts w:hint="eastAsia" w:ascii="Cambria Math" w:hAnsi="Cambria Math"/>
          <w:color w:val="auto"/>
          <w:lang w:eastAsia="zh-CN"/>
        </w:rPr>
        <w:t>。</w:t>
      </w:r>
    </w:p>
    <w:p>
      <w:pPr>
        <w:ind w:firstLine="420" w:firstLineChars="0"/>
        <w:rPr>
          <w:rFonts w:ascii="Cambria Math" w:hAnsi="Cambria Math"/>
          <w:color w:val="4472C4" w:themeColor="accent1"/>
          <w14:textFill>
            <w14:solidFill>
              <w14:schemeClr w14:val="accent1"/>
            </w14:solidFill>
          </w14:textFill>
        </w:rPr>
      </w:pPr>
      <w:r>
        <w:rPr>
          <w:rFonts w:hint="eastAsia" w:ascii="Cambria Math" w:hAnsi="Cambria Math"/>
          <w:color w:val="auto"/>
        </w:rPr>
        <w:t>单位面积蓄积量</w:t>
      </w:r>
      <m:oMath>
        <m:r>
          <m:rPr/>
          <w:rPr>
            <w:rFonts w:ascii="Cambria Math" w:hAnsi="Cambria Math"/>
            <w:color w:val="auto"/>
          </w:rPr>
          <m:t>V(t)</m:t>
        </m:r>
      </m:oMath>
      <w:r>
        <w:rPr>
          <w:rFonts w:hint="eastAsia" w:ascii="Cambria Math" w:hAnsi="Cambria Math"/>
          <w:color w:val="auto"/>
        </w:rPr>
        <w:t>与树龄具有一般生长曲线的特性（growth</w:t>
      </w:r>
      <w:r>
        <w:rPr>
          <w:rFonts w:ascii="Cambria Math" w:hAnsi="Cambria Math"/>
          <w:color w:val="auto"/>
        </w:rPr>
        <w:t xml:space="preserve"> </w:t>
      </w:r>
      <w:r>
        <w:rPr>
          <w:rFonts w:hint="eastAsia" w:ascii="Cambria Math" w:hAnsi="Cambria Math"/>
          <w:color w:val="auto"/>
        </w:rPr>
        <w:t>curve），</w:t>
      </w:r>
      <w:r>
        <w:rPr>
          <w:rFonts w:hint="eastAsia" w:ascii="Cambria Math" w:hAnsi="Cambria Math"/>
          <w:color w:val="auto"/>
          <w:lang w:val="en-US" w:eastAsia="zh-CN"/>
        </w:rPr>
        <w:t>故</w:t>
      </w:r>
      <w:r>
        <w:rPr>
          <w:rFonts w:hint="eastAsia" w:ascii="Cambria Math" w:hAnsi="Cambria Math"/>
          <w:color w:val="auto"/>
        </w:rPr>
        <w:t>我们可以通过Richard</w:t>
      </w:r>
      <w:r>
        <w:rPr>
          <w:rFonts w:hint="eastAsia" w:ascii="Cambria Math" w:hAnsi="Cambria Math"/>
          <w:color w:val="auto"/>
          <w:lang w:val="en-US" w:eastAsia="zh-CN"/>
        </w:rPr>
        <w:t>s</w:t>
      </w:r>
      <w:r>
        <w:rPr>
          <w:rFonts w:hint="eastAsia" w:ascii="Cambria Math" w:hAnsi="Cambria Math"/>
          <w:color w:val="auto"/>
        </w:rPr>
        <w:t>曲线拟合</w:t>
      </w:r>
      <w:r>
        <w:rPr>
          <w:rFonts w:hint="eastAsia" w:ascii="Cambria Math" w:hAnsi="Cambria Math"/>
          <w:color w:val="FF0000"/>
        </w:rPr>
        <w:t>[文献</w:t>
      </w:r>
      <w:r>
        <w:rPr>
          <w:rFonts w:ascii="Cambria Math" w:hAnsi="Cambria Math"/>
          <w:color w:val="FF0000"/>
        </w:rPr>
        <w:t>]</w:t>
      </w:r>
      <w:r>
        <w:rPr>
          <w:rFonts w:hint="eastAsia" w:ascii="Cambria Math" w:hAnsi="Cambria Math"/>
          <w:color w:val="auto"/>
        </w:rPr>
        <w:t>。</w:t>
      </w:r>
      <w:r>
        <w:rPr>
          <w:rFonts w:hint="eastAsia" w:ascii="Cambria Math" w:hAnsi="Cambria Math"/>
          <w:color w:val="auto"/>
          <w:lang w:val="en-US" w:eastAsia="zh-CN"/>
        </w:rPr>
        <w:t>曲线方程</w:t>
      </w:r>
      <w:r>
        <w:rPr>
          <w:rFonts w:hint="eastAsia"/>
        </w:rPr>
        <w:t>如式(</w:t>
      </w:r>
      <w:r>
        <w:rPr>
          <w:rFonts w:hint="eastAsia"/>
          <w:lang w:val="en-US" w:eastAsia="zh-CN"/>
        </w:rPr>
        <w:t>3</w:t>
      </w:r>
      <w:r>
        <w:rPr>
          <w:rFonts w:hint="eastAsia"/>
        </w:rPr>
        <w:t>)所示：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w:rPr>
                    <w:rFonts w:ascii="Cambria Math" w:hAnsi="Cambria Math"/>
                  </w:rPr>
                  <m:t>V(t)=A</m:t>
                </m:r>
                <m:sSup>
                  <m:sSupPr>
                    <m:ctrlPr>
                      <w:rPr>
                        <w:rFonts w:ascii="Cambria Math" w:hAnsi="Cambria Math"/>
                        <w:i/>
                        <w:iCs/>
                      </w:rPr>
                    </m:ctrlPr>
                  </m:sSupPr>
                  <m:e>
                    <m:r>
                      <m:rPr/>
                      <w:rPr>
                        <w:rFonts w:ascii="Cambria Math" w:hAnsi="Cambria Math"/>
                      </w:rPr>
                      <m:t>(1−B</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−Kt</m:t>
                        </m:r>
                        <m:ctrlPr>
                          <w:rPr>
                            <w:rFonts w:ascii="Cambria Math" w:hAnsi="Cambria Math"/>
                            <w:i/>
                            <w:iCs/>
                          </w:rPr>
                        </m:ctrlPr>
                      </m:sup>
                    </m:sSup>
                    <m:r>
                      <m:rPr/>
                      <w:rPr>
                        <w:rFonts w:ascii="Cambria Math" w:hAnsi="Cambria Math"/>
                      </w:rPr>
                      <m:t>)</m:t>
                    </m:r>
                    <m:ctrlPr>
                      <w:rPr>
                        <w:rFonts w:ascii="Cambria Math" w:hAnsi="Cambria Math"/>
                        <w:i/>
                        <w:iCs/>
                      </w:rPr>
                    </m:ctrlPr>
                  </m:e>
                  <m:sup>
                    <m:f>
                      <m:fPr>
                        <m:ctrlPr>
                          <w:rPr>
                            <w:rFonts w:ascii="Cambria Math" w:hAnsi="Cambria Math"/>
                            <w:i/>
                            <w:iCs/>
                          </w:rPr>
                        </m:ctrlPr>
                      </m:fPr>
                      <m:num>
                        <m:r>
                          <m:rPr/>
                          <w:rPr>
                            <w:rFonts w:ascii="Cambria Math" w:hAnsi="Cambria Math"/>
                          </w:rPr>
                          <m:t>1</m:t>
                        </m:r>
                        <m:ctrlPr>
                          <w:rPr>
                            <w:rFonts w:ascii="Cambria Math" w:hAnsi="Cambria Math"/>
                            <w:i/>
                            <w:iCs/>
                          </w:rPr>
                        </m:ctrlPr>
                      </m:num>
                      <m:den>
                        <m:r>
                          <m:rPr/>
                          <w:rPr>
                            <w:rFonts w:ascii="Cambria Math" w:hAnsi="Cambria Math"/>
                          </w:rPr>
                          <m:t>1−m</m:t>
                        </m:r>
                        <m:ctrlPr>
                          <w:rPr>
                            <w:rFonts w:ascii="Cambria Math" w:hAnsi="Cambria Math"/>
                            <w:i/>
                            <w:iCs/>
                          </w:rPr>
                        </m:ctrlPr>
                      </m:den>
                    </m:f>
                    <m:ctrlPr>
                      <w:rPr>
                        <w:rFonts w:ascii="Cambria Math" w:hAnsi="Cambria Math"/>
                        <w:i/>
                        <w:iCs/>
                      </w:rPr>
                    </m:ctrlPr>
                  </m:sup>
                </m:sSup>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firstLine="0" w:firstLineChars="0"/>
        <w:rPr>
          <w:rFonts w:hAnsi="Cambria Math"/>
        </w:rPr>
      </w:pPr>
      <w:r>
        <w:rPr>
          <w:rFonts w:hint="eastAsia"/>
        </w:rPr>
        <w:t>其中</w:t>
      </w:r>
      <m:oMath>
        <m:r>
          <m:rPr/>
          <w:rPr>
            <w:rFonts w:ascii="Cambria Math" w:hAnsi="Cambria Math"/>
          </w:rPr>
          <m:t>A</m:t>
        </m:r>
      </m:oMath>
      <w:r>
        <w:rPr>
          <w:rFonts w:hint="eastAsia" w:hAnsi="Cambria Math"/>
        </w:rPr>
        <w:t>、</w:t>
      </w:r>
      <m:oMath>
        <m:r>
          <m:rPr/>
          <w:rPr>
            <w:rFonts w:ascii="Cambria Math" w:hAnsi="Cambria Math"/>
          </w:rPr>
          <m:t>B</m:t>
        </m:r>
      </m:oMath>
      <w:r>
        <w:rPr>
          <w:rFonts w:hint="eastAsia" w:hAnsi="Cambria Math"/>
        </w:rPr>
        <w:t>、</w:t>
      </w:r>
      <m:oMath>
        <m:r>
          <m:rPr/>
          <w:rPr>
            <w:rFonts w:ascii="Cambria Math" w:hAnsi="Cambria Math"/>
          </w:rPr>
          <m:t>K</m:t>
        </m:r>
      </m:oMath>
      <w:r>
        <w:rPr>
          <w:rFonts w:hint="eastAsia" w:hAnsi="Cambria Math"/>
        </w:rPr>
        <w:t>、</w:t>
      </w:r>
      <m:oMath>
        <m:r>
          <m:rPr/>
          <w:rPr>
            <w:rFonts w:ascii="Cambria Math" w:hAnsi="Cambria Math"/>
          </w:rPr>
          <m:t>m</m:t>
        </m:r>
      </m:oMath>
      <w:r>
        <w:rPr>
          <w:rFonts w:hint="eastAsia" w:hAnsi="Cambria Math"/>
        </w:rPr>
        <w:t>均为有特定生物意义的参数。</w:t>
      </w:r>
    </w:p>
    <w:p>
      <w:pPr>
        <w:ind w:firstLine="420" w:firstLineChars="0"/>
        <w:rPr>
          <w:rFonts w:hAnsi="Cambria Math"/>
        </w:rPr>
      </w:pPr>
      <w:r>
        <w:rPr>
          <w:rFonts w:hint="eastAsia" w:hAnsi="Cambria Math"/>
        </w:rPr>
        <w:t>通过对Richards曲线进行求导运算，便可得到</w:t>
      </w:r>
      <w:r>
        <w:rPr>
          <w:rFonts w:hint="eastAsia" w:hAnsi="Cambria Math"/>
          <w:color w:val="auto"/>
        </w:rPr>
        <w:t>树木二氧化碳吸收速率</w:t>
      </w:r>
      <m:oMath>
        <m:r>
          <m:rPr/>
          <w:rPr>
            <w:rFonts w:ascii="Cambria Math" w:hAnsi="Cambria Math"/>
            <w:color w:val="auto"/>
          </w:rPr>
          <m:t>dM</m:t>
        </m:r>
      </m:oMath>
      <w:r>
        <w:rPr>
          <w:rFonts w:hint="eastAsia" w:hAnsi="Cambria Math"/>
          <w:color w:val="auto"/>
        </w:rPr>
        <w:t>与树龄</w:t>
      </w:r>
      <w:r>
        <w:rPr>
          <w:rFonts w:hint="eastAsia" w:hAnsi="Cambria Math"/>
        </w:rPr>
        <w:t>的关系曲线</w:t>
      </w:r>
      <m:oMath>
        <m:r>
          <m:rPr/>
          <w:rPr>
            <w:rFonts w:ascii="Cambria Math" w:hAnsi="Cambria Math"/>
            <w:color w:val="auto"/>
          </w:rPr>
          <m:t>dM(t)</m:t>
        </m:r>
      </m:oMath>
      <w:r>
        <w:rPr>
          <w:rFonts w:hint="eastAsia" w:hAnsi="Cambria Math"/>
          <w:color w:val="auto"/>
        </w:rPr>
        <w:t>。</w:t>
      </w:r>
    </w:p>
    <w:p>
      <w:pPr>
        <w:pStyle w:val="19"/>
        <w:numPr>
          <w:ilvl w:val="0"/>
          <w:numId w:val="10"/>
        </w:numPr>
        <w:ind w:left="420" w:leftChars="0" w:firstLineChars="0"/>
        <w:rPr>
          <w:rFonts w:hAnsi="Cambria Math"/>
          <w:b/>
          <w:bCs/>
          <w:color w:val="auto"/>
        </w:rPr>
      </w:pPr>
      <w:r>
        <w:rPr>
          <w:rFonts w:hint="eastAsia" w:hAnsi="Cambria Math"/>
          <w:b/>
          <w:bCs/>
          <w:color w:val="auto"/>
        </w:rPr>
        <w:t>森林产品二氧化碳固定量</w:t>
      </w:r>
    </w:p>
    <w:p>
      <w:pPr>
        <w:ind w:left="0" w:leftChars="0" w:firstLine="420" w:firstLineChars="0"/>
        <w:rPr>
          <w:rFonts w:hint="eastAsia" w:hAnsi="Cambria Math" w:eastAsia="宋体"/>
          <w:color w:val="auto"/>
          <w:lang w:val="en-US" w:eastAsia="zh-CN"/>
        </w:rPr>
      </w:pPr>
      <w:r>
        <w:rPr>
          <w:rFonts w:hint="eastAsia" w:hAnsi="Cambria Math"/>
          <w:color w:val="auto"/>
        </w:rPr>
        <w:t>由于森林产品没有类似于森林</w:t>
      </w:r>
      <w:r>
        <w:rPr>
          <w:rFonts w:hint="eastAsia" w:hAnsi="Cambria Math"/>
          <w:color w:val="auto"/>
          <w:lang w:val="en-US" w:eastAsia="zh-CN"/>
        </w:rPr>
        <w:t>中树木</w:t>
      </w:r>
      <w:r>
        <w:rPr>
          <w:rFonts w:hint="eastAsia" w:hAnsi="Cambria Math"/>
          <w:color w:val="auto"/>
        </w:rPr>
        <w:t>的生物量-蓄积量曲线，</w:t>
      </w:r>
      <w:r>
        <w:rPr>
          <w:rFonts w:hint="eastAsia" w:hAnsi="Cambria Math"/>
          <w:color w:val="auto"/>
          <w:lang w:val="en-US" w:eastAsia="zh-CN"/>
        </w:rPr>
        <w:t>故</w:t>
      </w:r>
      <w:r>
        <w:rPr>
          <w:rFonts w:hint="eastAsia" w:hAnsi="Cambria Math"/>
          <w:color w:val="auto"/>
        </w:rPr>
        <w:t>我们直接使用蓄积量计算其单位面积二氧化碳固定量</w:t>
      </w:r>
      <m:oMath>
        <m:r>
          <m:rPr/>
          <w:rPr>
            <w:rFonts w:hint="default" w:ascii="Cambria Math" w:hAnsi="Cambria Math"/>
            <w:color w:val="00B0F0"/>
            <w:lang w:val="en-US" w:eastAsia="zh-CN"/>
          </w:rPr>
          <m:t>C</m:t>
        </m:r>
        <m:r>
          <m:rPr/>
          <w:rPr>
            <w:rFonts w:ascii="Cambria Math" w:hAnsi="Cambria Math"/>
            <w:color w:val="auto"/>
          </w:rPr>
          <m:t>(t)</m:t>
        </m:r>
      </m:oMath>
      <w:r>
        <w:rPr>
          <w:rFonts w:hint="eastAsia" w:hAnsi="Cambria Math"/>
          <w:color w:val="auto"/>
        </w:rPr>
        <w:t>（</w:t>
      </w:r>
      <m:oMath>
        <m:r>
          <m:rPr/>
          <w:rPr>
            <w:rFonts w:ascii="Cambria Math" w:hAnsi="Cambria Math"/>
            <w:color w:val="auto"/>
          </w:rPr>
          <m:t>t/ℎ</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oMath>
      <w:r>
        <w:rPr>
          <w:rFonts w:hint="eastAsia" w:hAnsi="Cambria Math"/>
          <w:color w:val="auto"/>
        </w:rPr>
        <w:t>），如式(</w:t>
      </w:r>
      <w:r>
        <w:rPr>
          <w:rFonts w:hAnsi="Cambria Math"/>
          <w:color w:val="auto"/>
        </w:rPr>
        <w:t>4)</w:t>
      </w:r>
      <w:r>
        <w:rPr>
          <w:rFonts w:hint="eastAsia" w:hAnsi="Cambria Math"/>
          <w:color w:val="auto"/>
          <w:lang w:val="en-US" w:eastAsia="zh-CN"/>
        </w:rPr>
        <w:t>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int="eastAsia"/>
                <w:i/>
              </w:rPr>
            </w:pPr>
            <m:oMathPara>
              <m:oMath>
                <m:r>
                  <m:rPr/>
                  <w:rPr>
                    <w:rFonts w:hint="default" w:ascii="Cambria Math" w:hAnsi="Cambria Math"/>
                    <w:color w:val="00B0F0"/>
                    <w:lang w:val="en-US" w:eastAsia="zh-CN"/>
                  </w:rPr>
                  <m:t>C</m:t>
                </m:r>
                <m:r>
                  <m:rPr/>
                  <w:rPr>
                    <w:rFonts w:ascii="Cambria Math" w:hAnsi="Cambria Math"/>
                    <w:color w:val="auto"/>
                  </w:rPr>
                  <m:t>(t)=0.5×3.67×</m:t>
                </m:r>
                <m:r>
                  <m:rPr/>
                  <w:rPr>
                    <w:rFonts w:hint="eastAsia" w:ascii="Cambria Math" w:hAnsi="Cambria Math"/>
                    <w:color w:val="auto"/>
                  </w:rPr>
                  <m:t>ρ</m:t>
                </m:r>
                <m:r>
                  <m:rPr/>
                  <w:rPr>
                    <w:rFonts w:ascii="Cambria Math" w:hAnsi="Cambria Math"/>
                    <w:color w:val="auto"/>
                  </w:rPr>
                  <m:t>×V(t)×TR</m:t>
                </m:r>
              </m:oMath>
            </m:oMathPara>
          </w:p>
        </w:tc>
        <w:tc>
          <w:tcPr>
            <w:tcW w:w="644"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ind w:left="0" w:leftChars="0" w:firstLine="0" w:firstLineChars="0"/>
        <w:rPr>
          <w:rFonts w:hint="eastAsia" w:hAnsi="Cambria Math"/>
          <w:color w:val="4472C4" w:themeColor="accent1"/>
          <w14:textFill>
            <w14:solidFill>
              <w14:schemeClr w14:val="accent1"/>
            </w14:solidFill>
          </w14:textFill>
        </w:rPr>
      </w:pPr>
      <w:r>
        <w:rPr>
          <w:rFonts w:hint="eastAsia" w:hAnsi="Cambria Math"/>
          <w:color w:val="auto"/>
        </w:rPr>
        <w:t>其中</w:t>
      </w:r>
      <w:r>
        <w:rPr>
          <w:rFonts w:hint="eastAsia" w:ascii="Cambria Math" w:hAnsi="Cambria Math"/>
          <w:color w:val="auto"/>
        </w:rPr>
        <w:t>0.5为生物含碳率，3.67为二氧化碳与碳的换算系数，</w:t>
      </w:r>
      <m:oMath>
        <m:r>
          <m:rPr/>
          <w:rPr>
            <w:rFonts w:hint="eastAsia" w:ascii="Cambria Math" w:hAnsi="Cambria Math"/>
            <w:color w:val="auto"/>
          </w:rPr>
          <m:t>ρ</m:t>
        </m:r>
      </m:oMath>
      <w:r>
        <w:rPr>
          <w:rFonts w:hint="eastAsia" w:hAnsi="Cambria Math"/>
          <w:color w:val="auto"/>
        </w:rPr>
        <w:t>为林木平均密度,</w:t>
      </w:r>
      <w:r>
        <w:rPr>
          <w:rFonts w:ascii="Cambria Math" w:hAnsi="Cambria Math"/>
          <w:i/>
          <w:iCs/>
          <w:color w:val="auto"/>
        </w:rPr>
        <w:t xml:space="preserve"> </w:t>
      </w:r>
      <m:oMath>
        <m:r>
          <m:rPr/>
          <w:rPr>
            <w:rFonts w:ascii="Cambria Math" w:hAnsi="Cambria Math"/>
            <w:color w:val="auto"/>
          </w:rPr>
          <m:t>TR</m:t>
        </m:r>
      </m:oMath>
      <w:r>
        <w:rPr>
          <w:rFonts w:hint="eastAsia"/>
          <w:iCs/>
          <w:color w:val="auto"/>
        </w:rPr>
        <w:t>为开采出材率，取55%</w:t>
      </w:r>
      <w:r>
        <w:rPr>
          <w:rFonts w:hint="eastAsia"/>
          <w:iCs/>
          <w:color w:val="auto"/>
          <w:lang w:eastAsia="zh-CN"/>
        </w:rPr>
        <w:t>。</w:t>
      </w:r>
      <w:r>
        <w:rPr>
          <w:rFonts w:hint="eastAsia"/>
          <w:iCs/>
          <w:color w:val="4472C4" w:themeColor="accent1"/>
          <w14:textFill>
            <w14:solidFill>
              <w14:schemeClr w14:val="accent1"/>
            </w14:solidFill>
          </w14:textFill>
        </w:rPr>
        <w:t>[</w:t>
      </w:r>
      <w:r>
        <w:rPr>
          <w:rFonts w:hint="eastAsia"/>
          <w:iCs/>
          <w:color w:val="FF0000"/>
        </w:rPr>
        <w:t>文献</w:t>
      </w:r>
      <w:r>
        <w:rPr>
          <w:iCs/>
          <w:color w:val="4472C4" w:themeColor="accent1"/>
          <w14:textFill>
            <w14:solidFill>
              <w14:schemeClr w14:val="accent1"/>
            </w14:solidFill>
          </w14:textFill>
        </w:rPr>
        <w:t>]</w:t>
      </w:r>
    </w:p>
    <w:p>
      <w:pPr>
        <w:pStyle w:val="4"/>
      </w:pPr>
      <w:r>
        <w:rPr>
          <w:rFonts w:hint="eastAsia"/>
        </w:rPr>
        <w:t>曲线B：树龄——覆盖面积曲线</w:t>
      </w:r>
    </w:p>
    <w:p>
      <w:pPr>
        <w:ind w:firstLine="480"/>
        <w:rPr>
          <w:rFonts w:hAnsi="Cambria Math"/>
        </w:rPr>
      </w:pPr>
      <w:r>
        <w:rPr>
          <w:rFonts w:hint="eastAsia"/>
        </w:rPr>
        <w:t>在某一特定森林中，对于任何一种特定的树木，都存在其特异的“树龄——覆盖面积曲线”。我们使用一个方程</w:t>
      </w:r>
      <m:oMath>
        <m:r>
          <m:rPr/>
          <w:rPr>
            <w:rFonts w:ascii="Cambria Math" w:hAnsi="Cambria Math"/>
          </w:rPr>
          <m:t>X(t)</m:t>
        </m:r>
      </m:oMath>
      <w:r>
        <w:rPr>
          <w:rFonts w:hint="eastAsia" w:hAnsi="Cambria Math"/>
          <w:iCs/>
        </w:rPr>
        <w:t>对其进行表示，其含义为树龄为</w:t>
      </w:r>
      <m:oMath>
        <m:r>
          <m:rPr/>
          <w:rPr>
            <w:rFonts w:ascii="Cambria Math" w:hAnsi="Cambria Math"/>
          </w:rPr>
          <m:t>t</m:t>
        </m:r>
      </m:oMath>
      <w:r>
        <w:rPr>
          <w:rFonts w:hint="eastAsia" w:hAnsi="Cambria Math"/>
        </w:rPr>
        <w:t>的特定树木在该森林中对应的覆盖面积</w:t>
      </w:r>
      <m:oMath>
        <m:r>
          <m:rPr>
            <m:sty m:val="p"/>
          </m:rPr>
          <w:rPr>
            <w:rFonts w:ascii="Cambria Math" w:hAnsi="Cambria Math"/>
          </w:rPr>
          <m:t>(h</m:t>
        </m:r>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oMath>
      <w:r>
        <w:rPr>
          <w:rFonts w:hint="eastAsia" w:hAnsi="Cambria Math"/>
        </w:rPr>
        <w:t>。</w:t>
      </w:r>
    </w:p>
    <w:p>
      <w:pPr>
        <w:pStyle w:val="4"/>
      </w:pPr>
      <w:r>
        <w:rPr>
          <w:rFonts w:hint="eastAsia"/>
        </w:rPr>
        <w:t>二氧化碳封存量的具体计算</w:t>
      </w:r>
    </w:p>
    <w:p>
      <w:pPr>
        <w:ind w:firstLine="480"/>
      </w:pPr>
      <w:r>
        <w:rPr>
          <w:rFonts w:hint="eastAsia"/>
        </w:rPr>
        <w:t>在计算具体的二氧化碳封存量时，根据本文的假设，我们均使用从曲线A、B上得到的离散点数据。</w:t>
      </w:r>
    </w:p>
    <w:p>
      <w:pPr>
        <w:ind w:firstLine="480"/>
        <w:rPr>
          <w:rFonts w:hAnsi="Cambria Math"/>
        </w:rPr>
      </w:pPr>
      <w:r>
        <w:rPr>
          <w:rFonts w:hint="eastAsia" w:hAnsi="Cambria Math"/>
          <w:iCs/>
        </w:rPr>
        <w:t>令</w:t>
      </w:r>
      <m:oMath>
        <m:sSub>
          <m:sSubPr>
            <m:ctrlPr>
              <w:rPr>
                <w:rFonts w:hint="eastAsia" w:ascii="Cambria Math" w:hAnsi="Cambria Math"/>
                <w:i/>
                <w:iCs/>
              </w:rPr>
            </m:ctrlPr>
          </m:sSubPr>
          <m:e>
            <m:r>
              <m:rPr/>
              <w:rPr>
                <w:rFonts w:ascii="Cambria Math" w:hAnsi="Cambria Math"/>
              </w:rPr>
              <m:t>T</m:t>
            </m:r>
            <m:ctrlPr>
              <w:rPr>
                <w:rFonts w:hint="eastAsia" w:ascii="Cambria Math" w:hAnsi="Cambria Math"/>
                <w:i/>
                <w:iCs/>
              </w:rPr>
            </m:ctrlPr>
          </m:e>
          <m:sub>
            <m:r>
              <m:rPr/>
              <w:rPr>
                <w:rFonts w:ascii="Cambria Math" w:hAnsi="Cambria Math"/>
              </w:rPr>
              <m:t>j</m:t>
            </m:r>
            <m:ctrlPr>
              <w:rPr>
                <w:rFonts w:hint="eastAsia" w:ascii="Cambria Math" w:hAnsi="Cambria Math"/>
                <w:i/>
                <w:iCs/>
              </w:rPr>
            </m:ctrlPr>
          </m:sub>
        </m:sSub>
        <m:r>
          <m:rPr/>
          <w:rPr>
            <w:rFonts w:ascii="Cambria Math" w:hAnsi="Cambria Math"/>
          </w:rPr>
          <m:t>(t)</m:t>
        </m:r>
      </m:oMath>
      <w:r>
        <w:rPr>
          <w:rFonts w:hint="eastAsia" w:hAnsi="Cambria Math"/>
        </w:rPr>
        <w:t>代表树龄为</w:t>
      </w:r>
      <m:oMath>
        <m:r>
          <m:rPr/>
          <w:rPr>
            <w:rFonts w:ascii="Cambria Math" w:hAnsi="Cambria Math"/>
          </w:rPr>
          <m:t>t</m:t>
        </m:r>
      </m:oMath>
      <w:r>
        <w:rPr>
          <w:rFonts w:hint="eastAsia" w:hAnsi="Cambria Math"/>
        </w:rPr>
        <w:t>的树木在第</w:t>
      </w:r>
      <m:oMath>
        <m:r>
          <m:rPr/>
          <w:rPr>
            <w:rFonts w:ascii="Cambria Math" w:hAnsi="Cambria Math"/>
          </w:rPr>
          <m:t>j</m:t>
        </m:r>
      </m:oMath>
      <w:r>
        <w:rPr>
          <w:rFonts w:hint="eastAsia" w:hAnsi="Cambria Math"/>
        </w:rPr>
        <w:t>年内二氧化碳的吸收量</w:t>
      </w:r>
      <m:oMath>
        <m:r>
          <m:rPr>
            <m:sty m:val="p"/>
          </m:rPr>
          <w:rPr>
            <w:rFonts w:ascii="Cambria Math" w:hAnsi="Cambria Math"/>
          </w:rPr>
          <m:t>(tC)</m:t>
        </m:r>
      </m:oMath>
      <w:r>
        <w:rPr>
          <w:rFonts w:hint="eastAsia" w:hAnsi="Cambria Math"/>
        </w:rPr>
        <w:t>，则存在如式(</w:t>
      </w:r>
      <w:r>
        <w:rPr>
          <w:rFonts w:hint="eastAsia" w:hAnsi="Cambria Math"/>
          <w:lang w:val="en-US" w:eastAsia="zh-CN"/>
        </w:rPr>
        <w:t>5</w:t>
      </w:r>
      <w:r>
        <w:rPr>
          <w:rFonts w:hint="eastAsia" w:hAnsi="Cambria Math"/>
        </w:rPr>
        <w:t>)所示关系：</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sSub>
                  <m:sSubPr>
                    <m:ctrlPr>
                      <w:rPr>
                        <w:rFonts w:hint="eastAsia" w:ascii="Cambria Math" w:hAnsi="Cambria Math"/>
                        <w:i/>
                        <w:iCs/>
                      </w:rPr>
                    </m:ctrlPr>
                  </m:sSubPr>
                  <m:e>
                    <m:r>
                      <m:rPr/>
                      <w:rPr>
                        <w:rFonts w:ascii="Cambria Math" w:hAnsi="Cambria Math"/>
                      </w:rPr>
                      <m:t>T</m:t>
                    </m:r>
                    <m:ctrlPr>
                      <w:rPr>
                        <w:rFonts w:hint="eastAsia" w:ascii="Cambria Math" w:hAnsi="Cambria Math"/>
                        <w:i/>
                        <w:iCs/>
                      </w:rPr>
                    </m:ctrlPr>
                  </m:e>
                  <m:sub>
                    <m:r>
                      <m:rPr/>
                      <w:rPr>
                        <w:rFonts w:ascii="Cambria Math" w:hAnsi="Cambria Math"/>
                      </w:rPr>
                      <m:t>j</m:t>
                    </m:r>
                    <m:ctrlPr>
                      <w:rPr>
                        <w:rFonts w:hint="eastAsia" w:ascii="Cambria Math" w:hAnsi="Cambria Math"/>
                        <w:i/>
                        <w:iCs/>
                      </w:rPr>
                    </m:ctrlPr>
                  </m:sub>
                </m:sSub>
                <m:r>
                  <m:rPr/>
                  <w:rPr>
                    <w:rFonts w:ascii="Cambria Math" w:hAnsi="Cambria Math"/>
                  </w:rPr>
                  <m:t>(t)=</m:t>
                </m:r>
                <m:sSub>
                  <m:sSubPr>
                    <m:ctrlPr>
                      <w:rPr>
                        <w:rFonts w:ascii="Cambria Math" w:hAnsi="Cambria Math"/>
                        <w:i/>
                      </w:rPr>
                    </m:ctrlPr>
                  </m:sSubPr>
                  <m:e>
                    <m:r>
                      <m:rPr/>
                      <w:rPr>
                        <w:rFonts w:ascii="Cambria Math" w:hAnsi="Cambria Math"/>
                      </w:rPr>
                      <m:t>dM</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(t)</m:t>
                </m:r>
              </m:oMath>
            </m:oMathPara>
          </w:p>
        </w:tc>
        <w:tc>
          <w:tcPr>
            <w:tcW w:w="644" w:type="dxa"/>
            <w:vAlign w:val="center"/>
          </w:tcPr>
          <w:p>
            <w:pPr>
              <w:adjustRightInd w:val="0"/>
              <w:snapToGrid w:val="0"/>
              <w:ind w:firstLine="0" w:firstLineChars="0"/>
              <w:jc w:val="center"/>
            </w:pPr>
            <w:r>
              <w:t>(</w:t>
            </w:r>
            <w:r>
              <w:rPr>
                <w:rFonts w:hint="eastAsia"/>
                <w:lang w:val="en-US" w:eastAsia="zh-CN"/>
              </w:rPr>
              <w:t>5</w:t>
            </w:r>
            <w:r>
              <w:t>)</w:t>
            </w:r>
          </w:p>
        </w:tc>
      </w:tr>
    </w:tbl>
    <w:p>
      <w:pPr>
        <w:ind w:firstLine="480"/>
        <w:rPr>
          <w:rFonts w:hAnsi="Cambria Math"/>
        </w:rPr>
      </w:pPr>
      <w:r>
        <w:rPr>
          <w:rFonts w:hint="eastAsia" w:hAnsi="Cambria Math"/>
        </w:rPr>
        <w:t>我们认为一年内树木吸收的二氧化碳总量为所有树龄的树木吸收量的总和，由此可得到第</w:t>
      </w:r>
      <m:oMath>
        <m:r>
          <m:rPr/>
          <w:rPr>
            <w:rFonts w:ascii="Cambria Math" w:hAnsi="Cambria Math"/>
          </w:rPr>
          <m:t>j</m:t>
        </m:r>
      </m:oMath>
      <w:r>
        <w:rPr>
          <w:rFonts w:hint="eastAsia" w:hAnsi="Cambria Math"/>
        </w:rPr>
        <w:t>年树木吸收二氧化碳总量</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hAnsi="Cambria Math"/>
        </w:rPr>
        <w:t>的表达式，如式(</w:t>
      </w:r>
      <w:r>
        <w:rPr>
          <w:rFonts w:hint="eastAsia" w:hAnsi="Cambria Math"/>
          <w:lang w:val="en-US" w:eastAsia="zh-CN"/>
        </w:rPr>
        <w:t>6</w:t>
      </w:r>
      <w:r>
        <w:rPr>
          <w:rFonts w:hint="eastAsia" w:hAnsi="Cambria Math"/>
        </w:rPr>
        <w:t>)所示：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nary>
                  <m:naryPr>
                    <m:chr m:val="∑"/>
                    <m:limLoc m:val="undOvr"/>
                    <m:ctrlPr>
                      <w:rPr>
                        <w:rFonts w:ascii="Cambria Math" w:hAnsi="Cambria Math"/>
                        <w:i/>
                      </w:rPr>
                    </m:ctrlPr>
                  </m:naryPr>
                  <m:sub>
                    <m:r>
                      <m:rPr/>
                      <w:rPr>
                        <w:rFonts w:ascii="Cambria Math" w:hAnsi="Cambria Math"/>
                      </w:rPr>
                      <m:t>i=0</m:t>
                    </m:r>
                    <m:ctrlPr>
                      <w:rPr>
                        <w:rFonts w:ascii="Cambria Math" w:hAnsi="Cambria Math"/>
                        <w:i/>
                      </w:rPr>
                    </m:ctrlPr>
                  </m:sub>
                  <m:sup>
                    <m:r>
                      <m:rPr/>
                      <w:rPr>
                        <w:rFonts w:ascii="Cambria Math" w:hAnsi="Cambria Math"/>
                      </w:rPr>
                      <m:t>tmax</m:t>
                    </m:r>
                    <m:ctrlPr>
                      <w:rPr>
                        <w:rFonts w:ascii="Cambria Math" w:hAnsi="Cambria Math"/>
                        <w:i/>
                      </w:rPr>
                    </m:ctrlPr>
                  </m:sup>
                  <m:e>
                    <m:sSub>
                      <m:sSubPr>
                        <m:ctrlPr>
                          <w:rPr>
                            <w:rFonts w:hint="eastAsia" w:ascii="Cambria Math" w:hAnsi="Cambria Math"/>
                            <w:i/>
                            <w:iCs/>
                          </w:rPr>
                        </m:ctrlPr>
                      </m:sSubPr>
                      <m:e>
                        <m:r>
                          <m:rPr/>
                          <w:rPr>
                            <w:rFonts w:ascii="Cambria Math" w:hAnsi="Cambria Math"/>
                          </w:rPr>
                          <m:t>T</m:t>
                        </m:r>
                        <m:ctrlPr>
                          <w:rPr>
                            <w:rFonts w:hint="eastAsia" w:ascii="Cambria Math" w:hAnsi="Cambria Math"/>
                            <w:i/>
                            <w:iCs/>
                          </w:rPr>
                        </m:ctrlPr>
                      </m:e>
                      <m:sub>
                        <m:r>
                          <m:rPr/>
                          <w:rPr>
                            <w:rFonts w:ascii="Cambria Math" w:hAnsi="Cambria Math"/>
                          </w:rPr>
                          <m:t>j</m:t>
                        </m:r>
                        <m:ctrlPr>
                          <w:rPr>
                            <w:rFonts w:hint="eastAsia" w:ascii="Cambria Math" w:hAnsi="Cambria Math"/>
                            <w:i/>
                            <w:iCs/>
                          </w:rPr>
                        </m:ctrlPr>
                      </m:sub>
                    </m:sSub>
                    <m:r>
                      <m:rPr/>
                      <w:rPr>
                        <w:rFonts w:ascii="Cambria Math" w:hAnsi="Cambria Math"/>
                      </w:rPr>
                      <m:t>(i)</m:t>
                    </m:r>
                    <m:ctrlPr>
                      <w:rPr>
                        <w:rFonts w:ascii="Cambria Math" w:hAnsi="Cambria Math"/>
                        <w:i/>
                      </w:rPr>
                    </m:ctrlPr>
                  </m:e>
                </m:nary>
                <m:r>
                  <m:rPr/>
                  <w:rPr>
                    <w:rFonts w:ascii="Cambria Math" w:hAnsi="Cambria Math"/>
                  </w:rPr>
                  <m:t>,i=0,1,2,...,tmax</m:t>
                </m:r>
              </m:oMath>
            </m:oMathPara>
          </w:p>
        </w:tc>
        <w:tc>
          <w:tcPr>
            <w:tcW w:w="644" w:type="dxa"/>
            <w:vAlign w:val="center"/>
          </w:tcPr>
          <w:p>
            <w:pPr>
              <w:adjustRightInd w:val="0"/>
              <w:snapToGrid w:val="0"/>
              <w:ind w:firstLine="0" w:firstLineChars="0"/>
              <w:jc w:val="center"/>
            </w:pPr>
            <w:r>
              <w:t>(</w:t>
            </w:r>
            <w:r>
              <w:rPr>
                <w:rFonts w:hint="eastAsia"/>
                <w:lang w:val="en-US" w:eastAsia="zh-CN"/>
              </w:rPr>
              <w:t>6</w:t>
            </w:r>
            <w:r>
              <w:t>)</w:t>
            </w:r>
          </w:p>
        </w:tc>
      </w:tr>
    </w:tbl>
    <w:p>
      <w:pPr>
        <w:ind w:firstLine="480"/>
        <w:rPr>
          <w:rFonts w:hAnsi="Cambria Math"/>
        </w:rPr>
      </w:pPr>
      <w:bookmarkStart w:id="19" w:name="_Toc58505778"/>
      <w:bookmarkStart w:id="20" w:name="_Toc58786702"/>
      <w:r>
        <w:rPr>
          <w:rFonts w:hint="eastAsia"/>
        </w:rPr>
        <w:t>令</w:t>
      </w:r>
      <m:oMath>
        <m:r>
          <m:rPr/>
          <w:rPr>
            <w:rFonts w:ascii="Cambria Math" w:hAnsi="Cambria Math"/>
          </w:rPr>
          <m:t>T</m:t>
        </m:r>
      </m:oMath>
      <w:r>
        <w:rPr>
          <w:rFonts w:hint="eastAsia" w:hAnsi="Cambria Math"/>
        </w:rPr>
        <w:t>为前</w:t>
      </w:r>
      <m:oMath>
        <m:r>
          <m:rPr/>
          <w:rPr>
            <w:rFonts w:ascii="Cambria Math" w:hAnsi="Cambria Math"/>
          </w:rPr>
          <m:t>k</m:t>
        </m:r>
      </m:oMath>
      <w:r>
        <w:rPr>
          <w:rFonts w:hint="eastAsia" w:hAnsi="Cambria Math"/>
        </w:rPr>
        <w:t>年树木吸收二氧化碳的总量，则</w:t>
      </w:r>
      <m:oMath>
        <m:r>
          <m:rPr/>
          <w:rPr>
            <w:rFonts w:ascii="Cambria Math" w:hAnsi="Cambria Math"/>
          </w:rPr>
          <m:t>T</m:t>
        </m:r>
      </m:oMath>
      <w:r>
        <w:rPr>
          <w:rFonts w:hint="eastAsia" w:hAnsi="Cambria Math"/>
        </w:rPr>
        <w:t>的表达式如式(</w:t>
      </w:r>
      <w:r>
        <w:rPr>
          <w:rFonts w:hint="eastAsia" w:hAnsi="Cambria Math"/>
          <w:lang w:val="en-US" w:eastAsia="zh-CN"/>
        </w:rPr>
        <w:t>7</w:t>
      </w:r>
      <w:r>
        <w:rPr>
          <w:rFonts w:hint="eastAsia" w:hAnsi="Cambria Math"/>
        </w:rPr>
        <w:t>)所示：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i/>
                <w:iCs/>
              </w:rPr>
            </w:pPr>
            <m:oMathPara>
              <m:oMath>
                <m:r>
                  <m:rPr/>
                  <w:rPr>
                    <w:rFonts w:ascii="Cambria Math" w:hAnsi="Cambria Math"/>
                  </w:rPr>
                  <m:t>T=</m:t>
                </m:r>
                <m:nary>
                  <m:naryPr>
                    <m:chr m:val="∑"/>
                    <m:limLoc m:val="undOvr"/>
                    <m:ctrlPr>
                      <w:rPr>
                        <w:rFonts w:ascii="Cambria Math" w:hAnsi="Cambria Math"/>
                        <w:i/>
                      </w:rPr>
                    </m:ctrlPr>
                  </m:naryPr>
                  <m:sub>
                    <m:r>
                      <m:rPr/>
                      <w:rPr>
                        <w:rFonts w:ascii="Cambria Math" w:hAnsi="Cambria Math"/>
                      </w:rPr>
                      <m:t>j=0</m:t>
                    </m:r>
                    <m:ctrlPr>
                      <w:rPr>
                        <w:rFonts w:ascii="Cambria Math" w:hAnsi="Cambria Math"/>
                        <w:i/>
                      </w:rPr>
                    </m:ctrlPr>
                  </m:sub>
                  <m:sup>
                    <m:r>
                      <m:rPr/>
                      <w:rPr>
                        <w:rFonts w:ascii="Cambria Math" w:hAnsi="Cambria Math"/>
                      </w:rPr>
                      <m:t>k</m:t>
                    </m:r>
                    <m:ctrlPr>
                      <w:rPr>
                        <w:rFonts w:ascii="Cambria Math" w:hAnsi="Cambria Math"/>
                        <w:i/>
                      </w:rPr>
                    </m:ctrlPr>
                  </m:sup>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r>
                  <m:rPr/>
                  <w:rPr>
                    <w:rFonts w:ascii="Cambria Math" w:hAnsi="Cambria Math"/>
                  </w:rPr>
                  <m:t>,j=0,1,2,...,k</m:t>
                </m:r>
              </m:oMath>
            </m:oMathPara>
          </w:p>
        </w:tc>
        <w:tc>
          <w:tcPr>
            <w:tcW w:w="644" w:type="dxa"/>
            <w:vAlign w:val="center"/>
          </w:tcPr>
          <w:p>
            <w:pPr>
              <w:adjustRightInd w:val="0"/>
              <w:snapToGrid w:val="0"/>
              <w:ind w:firstLine="0" w:firstLineChars="0"/>
              <w:jc w:val="center"/>
            </w:pPr>
            <w:r>
              <w:t>(</w:t>
            </w:r>
            <w:r>
              <w:rPr>
                <w:rFonts w:hint="eastAsia"/>
                <w:lang w:val="en-US" w:eastAsia="zh-CN"/>
              </w:rPr>
              <w:t>7</w:t>
            </w:r>
            <w:r>
              <w:t>)</w:t>
            </w:r>
          </w:p>
        </w:tc>
      </w:tr>
    </w:tbl>
    <w:p>
      <w:pPr>
        <w:ind w:firstLine="480"/>
      </w:pPr>
      <w:r>
        <w:rPr>
          <w:rFonts w:hint="eastAsia"/>
        </w:rPr>
        <w:t>除此之外，我们认为由被砍伐树木制成的木制品具有一定的储存二氧化碳的能力，但每类木制品每年均会以恒定的腐蚀率发生腐蚀现象，从而逐渐释放出其储存的二氧化碳。</w:t>
      </w:r>
    </w:p>
    <w:p>
      <w:pPr>
        <w:ind w:firstLine="480"/>
        <w:rPr>
          <w:rFonts w:hAnsi="Cambria Math"/>
        </w:rPr>
      </w:pPr>
      <w:r>
        <w:rPr>
          <w:rFonts w:hint="eastAsia"/>
        </w:rPr>
        <w:t>令</w:t>
      </w:r>
      <m:oMath>
        <m:r>
          <m:rPr/>
          <w:rPr>
            <w:rFonts w:ascii="Cambria Math" w:hAnsi="Cambria Math"/>
          </w:rPr>
          <m:t>P</m:t>
        </m:r>
      </m:oMath>
      <w:r>
        <w:rPr>
          <w:rFonts w:hint="eastAsia" w:hAnsi="Cambria Math"/>
        </w:rPr>
        <w:t>为第</w:t>
      </w:r>
      <m:oMath>
        <m:r>
          <m:rPr/>
          <w:rPr>
            <w:rFonts w:ascii="Cambria Math" w:hAnsi="Cambria Math"/>
          </w:rPr>
          <m:t>k</m:t>
        </m:r>
      </m:oMath>
      <w:r>
        <w:rPr>
          <w:rFonts w:hint="eastAsia" w:hAnsi="Cambria Math"/>
        </w:rPr>
        <w:t>年木制品中储存的二氧化碳总量，</w:t>
      </w:r>
      <m:oMath>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hAnsi="Cambria Math"/>
        </w:rPr>
        <w:t>为第</w:t>
      </w:r>
      <m:oMath>
        <m:r>
          <m:rPr/>
          <w:rPr>
            <w:rFonts w:ascii="Cambria Math" w:hAnsi="Cambria Math"/>
          </w:rPr>
          <m:t>j</m:t>
        </m:r>
      </m:oMath>
      <w:r>
        <w:rPr>
          <w:rFonts w:hint="eastAsia" w:hAnsi="Cambria Math"/>
        </w:rPr>
        <w:t>年</w:t>
      </w:r>
      <w:r>
        <w:rPr>
          <w:rFonts w:hint="eastAsia" w:hAnsi="Cambria Math"/>
          <w:color w:val="00B0F0"/>
          <w:lang w:val="en-US" w:eastAsia="zh-CN"/>
        </w:rPr>
        <w:t>森林产品中</w:t>
      </w:r>
      <w:r>
        <w:rPr>
          <w:rFonts w:hint="eastAsia" w:hAnsi="Cambria Math"/>
        </w:rPr>
        <w:t>包含的二氧化碳总量，</w:t>
      </w:r>
      <m:oMath>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hAnsi="Cambria Math"/>
        </w:rPr>
        <w:t>、</w:t>
      </w:r>
      <m:oMath>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hAnsi="Cambria Math"/>
        </w:rPr>
        <w:t>分别为</w:t>
      </w:r>
      <w:r>
        <w:rPr>
          <w:rFonts w:hint="eastAsia" w:hAnsi="Cambria Math"/>
          <w:color w:val="00B0F0"/>
          <w:lang w:val="en-US" w:eastAsia="zh-CN"/>
        </w:rPr>
        <w:t>森林产品</w:t>
      </w:r>
      <w:r>
        <w:rPr>
          <w:rFonts w:hint="eastAsia" w:hAnsi="Cambria Math"/>
        </w:rPr>
        <w:t>中制成木浆和木材的比例</w:t>
      </w:r>
      <m:oMath>
        <m:r>
          <m:rPr>
            <m:sty m:val="p"/>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=1)</m:t>
        </m:r>
      </m:oMath>
      <w:r>
        <w:rPr>
          <w:rFonts w:hint="eastAsia" w:hAnsi="Cambria Math"/>
        </w:rPr>
        <w:t>，</w:t>
      </w:r>
      <m:oMath>
        <m:sSub>
          <m:sSubPr>
            <m:ctrlPr>
              <w:rPr>
                <w:rFonts w:ascii="Cambria Math" w:hAnsi="Cambria Math"/>
                <w:i/>
              </w:rPr>
            </m:ctrlPr>
          </m:sSubPr>
          <m:e>
            <m:r>
              <m:rPr/>
              <w:rPr>
                <w:rFonts w:ascii="Cambria Math" w:hAnsi="Cambria Math"/>
              </w:rPr>
              <m:t>α</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hAnsi="Cambria Math"/>
        </w:rPr>
        <w:t>、</w:t>
      </w:r>
      <m:oMath>
        <m:sSub>
          <m:sSubPr>
            <m:ctrlPr>
              <w:rPr>
                <w:rFonts w:ascii="Cambria Math" w:hAnsi="Cambria Math"/>
                <w:i/>
              </w:rPr>
            </m:ctrlPr>
          </m:sSubPr>
          <m:e>
            <m:r>
              <m:rPr/>
              <w:rPr>
                <w:rFonts w:ascii="Cambria Math" w:hAnsi="Cambria Math"/>
              </w:rPr>
              <m:t>α</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hAnsi="Cambria Math"/>
        </w:rPr>
        <w:t>分别为木浆和木材的腐蚀率，则存在如式(</w:t>
      </w:r>
      <w:r>
        <w:rPr>
          <w:rFonts w:hint="eastAsia" w:hAnsi="Cambria Math"/>
          <w:lang w:val="en-US" w:eastAsia="zh-CN"/>
        </w:rPr>
        <w:t>8</w:t>
      </w:r>
      <w:r>
        <w:rPr>
          <w:rFonts w:hint="eastAsia" w:hAnsi="Cambria Math"/>
        </w:rPr>
        <w:t>)所示关系：</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w:rPr>
                    <w:rFonts w:ascii="Cambria Math" w:hAnsi="Cambria Math"/>
                  </w:rPr>
                  <m:t>P=</m:t>
                </m:r>
                <m:nary>
                  <m:naryPr>
                    <m:chr m:val="∑"/>
                    <m:limLoc m:val="undOvr"/>
                    <m:ctrlPr>
                      <w:rPr>
                        <w:rFonts w:ascii="Cambria Math" w:hAnsi="Cambria Math"/>
                        <w:i/>
                      </w:rPr>
                    </m:ctrlPr>
                  </m:naryPr>
                  <m:sub>
                    <m:r>
                      <m:rPr/>
                      <w:rPr>
                        <w:rFonts w:ascii="Cambria Math" w:hAnsi="Cambria Math"/>
                      </w:rPr>
                      <m:t>j=0</m:t>
                    </m:r>
                    <m:ctrlPr>
                      <w:rPr>
                        <w:rFonts w:ascii="Cambria Math" w:hAnsi="Cambria Math"/>
                        <w:i/>
                      </w:rPr>
                    </m:ctrlPr>
                  </m:sub>
                  <m:sup>
                    <m:r>
                      <m:rPr/>
                      <w:rPr>
                        <w:rFonts w:ascii="Cambria Math" w:hAnsi="Cambria Math"/>
                      </w:rPr>
                      <m:t>k</m:t>
                    </m:r>
                    <m:ctrlPr>
                      <w:rPr>
                        <w:rFonts w:ascii="Cambria Math" w:hAnsi="Cambria Math"/>
                        <w:i/>
                      </w:rPr>
                    </m:ctrlPr>
                  </m:sup>
                  <m:e>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1</m:t>
                            </m:r>
                            <m:ctrlPr>
                              <w:rPr>
                                <w:rFonts w:ascii="Cambria Math" w:hAnsi="Cambria Math"/>
                                <w:i/>
                              </w:rPr>
                            </m:ctrlPr>
                          </m:sub>
                        </m:sSub>
                        <m:sSup>
                          <m:sSupPr>
                            <m:ctrlPr>
                              <w:rPr>
                                <w:rFonts w:ascii="Cambria Math" w:hAnsi="Cambria Math"/>
                                <w:i/>
                              </w:rPr>
                            </m:ctrlPr>
                          </m:sSupPr>
                          <m:e>
                            <m:r>
                              <m:rPr/>
                              <w:rPr>
                                <w:rFonts w:ascii="Cambria Math" w:hAnsi="Cambria Math"/>
                              </w:rPr>
                              <m:t>(1−</m:t>
                            </m:r>
                            <m:sSub>
                              <m:sSubPr>
                                <m:ctrlPr>
                                  <w:rPr>
                                    <w:rFonts w:ascii="Cambria Math" w:hAnsi="Cambria Math"/>
                                    <w:i/>
                                  </w:rPr>
                                </m:ctrlPr>
                              </m:sSubPr>
                              <m:e>
                                <m:r>
                                  <m:rPr/>
                                  <w:rPr>
                                    <w:rFonts w:ascii="Cambria Math" w:hAnsi="Cambria Math"/>
                                  </w:rPr>
                                  <m:t>α</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k−j</m:t>
                            </m:r>
                            <m:ctrlPr>
                              <w:rPr>
                                <w:rFonts w:ascii="Cambria Math" w:hAnsi="Cambria Math"/>
                                <w:i/>
                              </w:rPr>
                            </m:ctrlPr>
                          </m:sup>
                        </m:sSup>
                        <m:r>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2</m:t>
                            </m:r>
                            <m:ctrlPr>
                              <w:rPr>
                                <w:rFonts w:ascii="Cambria Math" w:hAnsi="Cambria Math"/>
                                <w:i/>
                              </w:rPr>
                            </m:ctrlPr>
                          </m:sub>
                        </m:sSub>
                        <m:sSup>
                          <m:sSupPr>
                            <m:ctrlPr>
                              <w:rPr>
                                <w:rFonts w:ascii="Cambria Math" w:hAnsi="Cambria Math"/>
                                <w:i/>
                              </w:rPr>
                            </m:ctrlPr>
                          </m:sSupPr>
                          <m:e>
                            <m:r>
                              <m:rPr/>
                              <w:rPr>
                                <w:rFonts w:ascii="Cambria Math" w:hAnsi="Cambria Math"/>
                              </w:rPr>
                              <m:t>(1−</m:t>
                            </m:r>
                            <m:sSub>
                              <m:sSubPr>
                                <m:ctrlPr>
                                  <w:rPr>
                                    <w:rFonts w:ascii="Cambria Math" w:hAnsi="Cambria Math"/>
                                    <w:i/>
                                  </w:rPr>
                                </m:ctrlPr>
                              </m:sSubPr>
                              <m:e>
                                <m:r>
                                  <m:rPr/>
                                  <w:rPr>
                                    <w:rFonts w:ascii="Cambria Math" w:hAnsi="Cambria Math"/>
                                  </w:rPr>
                                  <m:t>α</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k−j</m:t>
                            </m:r>
                            <m:ctrlPr>
                              <w:rPr>
                                <w:rFonts w:ascii="Cambria Math" w:hAnsi="Cambria Math"/>
                                <w:i/>
                              </w:rPr>
                            </m:ctrlPr>
                          </m:sup>
                        </m:sSup>
                        <m:ctrlPr>
                          <w:rPr>
                            <w:rFonts w:ascii="Cambria Math" w:hAnsi="Cambria Math"/>
                            <w:i/>
                          </w:rPr>
                        </m:ctrlPr>
                      </m:e>
                    </m:d>
                    <m:ctrlPr>
                      <w:rPr>
                        <w:rFonts w:ascii="Cambria Math" w:hAnsi="Cambria Math"/>
                        <w:i/>
                      </w:rPr>
                    </m:ctrlPr>
                  </m:e>
                </m:nary>
                <m:r>
                  <m:rPr/>
                  <w:rPr>
                    <w:rFonts w:ascii="Cambria Math" w:hAnsi="Cambria Math"/>
                  </w:rPr>
                  <m:t>,j=0,1,2,...,k</m:t>
                </m:r>
              </m:oMath>
            </m:oMathPara>
          </w:p>
        </w:tc>
        <w:tc>
          <w:tcPr>
            <w:tcW w:w="644" w:type="dxa"/>
            <w:vAlign w:val="center"/>
          </w:tcPr>
          <w:p>
            <w:pPr>
              <w:adjustRightInd w:val="0"/>
              <w:snapToGrid w:val="0"/>
              <w:ind w:firstLine="0" w:firstLineChars="0"/>
              <w:jc w:val="center"/>
            </w:pPr>
            <w:r>
              <w:t>(</w:t>
            </w:r>
            <w:r>
              <w:rPr>
                <w:rFonts w:hint="eastAsia"/>
                <w:lang w:val="en-US" w:eastAsia="zh-CN"/>
              </w:rPr>
              <w:t>8</w:t>
            </w:r>
            <w:r>
              <w:t>)</w:t>
            </w:r>
          </w:p>
        </w:tc>
      </w:tr>
    </w:tbl>
    <w:p>
      <w:pPr>
        <w:ind w:firstLine="480"/>
        <w:rPr>
          <w:rFonts w:hAnsi="Cambria Math"/>
        </w:rPr>
      </w:pPr>
      <w:r>
        <w:rPr>
          <w:rFonts w:hint="eastAsia" w:hAnsi="Cambria Math"/>
        </w:rPr>
        <w:t>由此可知，前</w:t>
      </w:r>
      <m:oMath>
        <m:r>
          <m:rPr/>
          <w:rPr>
            <w:rFonts w:ascii="Cambria Math" w:hAnsi="Cambria Math"/>
          </w:rPr>
          <m:t>k</m:t>
        </m:r>
      </m:oMath>
      <w:r>
        <w:rPr>
          <w:rFonts w:hint="eastAsia" w:hAnsi="Cambria Math"/>
        </w:rPr>
        <w:t>年二氧化碳总封存量</w:t>
      </w:r>
      <m:oMath>
        <m:r>
          <m:rPr/>
          <w:rPr>
            <w:rFonts w:ascii="Cambria Math" w:hAnsi="Cambria Math"/>
          </w:rPr>
          <m:t>S</m:t>
        </m:r>
      </m:oMath>
      <w:r>
        <w:rPr>
          <w:rFonts w:hint="eastAsia" w:hAnsi="Cambria Math"/>
        </w:rPr>
        <w:t>的表达式如式(</w:t>
      </w:r>
      <w:r>
        <w:rPr>
          <w:rFonts w:hint="eastAsia" w:hAnsi="Cambria Math"/>
          <w:lang w:val="en-US" w:eastAsia="zh-CN"/>
        </w:rPr>
        <w:t>9</w:t>
      </w:r>
      <w:r>
        <w:rPr>
          <w:rFonts w:hint="eastAsia" w:hAnsi="Cambria Math"/>
        </w:rPr>
        <w:t>)所示：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w:rPr>
                    <w:rFonts w:ascii="Cambria Math" w:hAnsi="Cambria Math"/>
                  </w:rPr>
                  <m:t>S=T+P</m:t>
                </m:r>
              </m:oMath>
            </m:oMathPara>
          </w:p>
        </w:tc>
        <w:tc>
          <w:tcPr>
            <w:tcW w:w="644" w:type="dxa"/>
            <w:vAlign w:val="center"/>
          </w:tcPr>
          <w:p>
            <w:pPr>
              <w:adjustRightInd w:val="0"/>
              <w:snapToGrid w:val="0"/>
              <w:ind w:firstLine="0" w:firstLineChars="0"/>
              <w:jc w:val="center"/>
            </w:pPr>
            <w:r>
              <w:t>(</w:t>
            </w:r>
            <w:r>
              <w:rPr>
                <w:rFonts w:hint="eastAsia"/>
                <w:lang w:val="en-US" w:eastAsia="zh-CN"/>
              </w:rPr>
              <w:t>9</w:t>
            </w:r>
            <w:r>
              <w:t>)</w:t>
            </w:r>
          </w:p>
        </w:tc>
      </w:tr>
    </w:tbl>
    <w:p>
      <w:pPr>
        <w:pStyle w:val="3"/>
        <w:spacing w:after="163"/>
      </w:pPr>
      <w:r>
        <w:rPr>
          <w:rFonts w:hint="eastAsia"/>
        </w:rPr>
        <w:t>森林发展模型</w:t>
      </w:r>
    </w:p>
    <w:p>
      <w:pPr>
        <w:pStyle w:val="4"/>
      </w:pPr>
      <w:r>
        <w:rPr>
          <w:rFonts w:hint="eastAsia"/>
        </w:rPr>
        <w:t>不考虑“砍伐”的更替情况</w:t>
      </w:r>
    </w:p>
    <w:p>
      <w:pPr>
        <w:ind w:firstLine="480"/>
        <w:rPr>
          <w:rFonts w:hAnsi="Cambria Math"/>
        </w:rPr>
      </w:pPr>
      <m:oMath>
        <m:r>
          <m:rPr/>
          <w:rPr>
            <w:rFonts w:ascii="Cambria Math" w:hAnsi="Cambria Math"/>
          </w:rPr>
          <m:t>X(t,k)</m:t>
        </m:r>
      </m:oMath>
      <w:r>
        <w:rPr>
          <w:rFonts w:hint="eastAsia" w:hAnsi="Cambria Math"/>
        </w:rPr>
        <w:t>为</w:t>
      </w:r>
      <w:r>
        <w:rPr>
          <w:rFonts w:hint="eastAsia" w:hAnsi="Cambria Math"/>
          <w:iCs/>
        </w:rPr>
        <w:t>树龄为</w:t>
      </w:r>
      <m:oMath>
        <m:r>
          <m:rPr/>
          <w:rPr>
            <w:rFonts w:ascii="Cambria Math" w:hAnsi="Cambria Math"/>
          </w:rPr>
          <m:t>t</m:t>
        </m:r>
      </m:oMath>
      <w:r>
        <w:rPr>
          <w:rFonts w:hint="eastAsia" w:hAnsi="Cambria Math"/>
        </w:rPr>
        <w:t>、距初始年份</w:t>
      </w:r>
      <m:oMath>
        <m:r>
          <m:rPr/>
          <w:rPr>
            <w:rFonts w:ascii="Cambria Math" w:hAnsi="Cambria Math"/>
          </w:rPr>
          <m:t>k</m:t>
        </m:r>
      </m:oMath>
      <w:r>
        <w:rPr>
          <w:rFonts w:hint="eastAsia" w:hAnsi="Cambria Math"/>
        </w:rPr>
        <w:t>年的树木在该森林中对应的覆盖面积</w:t>
      </w:r>
      <m:oMath>
        <m:r>
          <m:rPr>
            <m:sty m:val="p"/>
          </m:rPr>
          <w:rPr>
            <w:rFonts w:ascii="Cambria Math" w:hAnsi="Cambria Math"/>
          </w:rPr>
          <m:t>(h</m:t>
        </m:r>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oMath>
      <w:r>
        <w:rPr>
          <w:rFonts w:hint="eastAsia" w:hAnsi="Cambria Math"/>
        </w:rPr>
        <w:t>，树木的寿命上限为</w:t>
      </w:r>
      <m:oMath>
        <m:r>
          <m:rPr/>
          <w:rPr>
            <w:rFonts w:ascii="Cambria Math" w:hAnsi="Cambria Math"/>
          </w:rPr>
          <m:t>tmax</m:t>
        </m:r>
      </m:oMath>
      <w:r>
        <w:rPr>
          <w:rFonts w:hint="eastAsia" w:hAnsi="Cambria Math"/>
          <w:iCs/>
        </w:rPr>
        <w:t>，则有</w:t>
      </w:r>
      <m:oMath>
        <m:r>
          <m:rPr>
            <m:sty m:val="bi"/>
          </m:rPr>
          <w:rPr>
            <w:rFonts w:ascii="Cambria Math" w:hAnsi="Cambria Math"/>
          </w:rPr>
          <m:t>X</m:t>
        </m:r>
        <m:r>
          <m:rPr/>
          <w:rPr>
            <w:rFonts w:ascii="Cambria Math" w:hAnsi="Cambria Math"/>
          </w:rPr>
          <m:t>(t,k)=</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r>
                        <m:rPr/>
                        <w:rPr>
                          <w:rFonts w:ascii="Cambria Math" w:hAnsi="Cambria Math"/>
                        </w:rPr>
                        <m:t>X(0,k)</m:t>
                      </m:r>
                      <m:ctrlPr>
                        <w:rPr>
                          <w:rFonts w:ascii="Cambria Math" w:hAnsi="Cambria Math"/>
                          <w:i/>
                        </w:rPr>
                      </m:ctrlPr>
                    </m:e>
                    <m:e>
                      <m:r>
                        <m:rPr/>
                        <w:rPr>
                          <w:rFonts w:ascii="Cambria Math" w:hAnsi="Cambria Math"/>
                        </w:rPr>
                        <m:t>X(1,k)</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X(tmax,k)</m:t>
                      </m:r>
                      <m:ctrlPr>
                        <w:rPr>
                          <w:rFonts w:ascii="Cambria Math" w:hAnsi="Cambria Math"/>
                          <w:i/>
                        </w:rPr>
                      </m:ctrlPr>
                    </m:e>
                  </m:mr>
                </m:m>
                <m:ctrlPr>
                  <w:rPr>
                    <w:rFonts w:ascii="Cambria Math" w:hAnsi="Cambria Math"/>
                    <w:i/>
                  </w:rPr>
                </m:ctrlPr>
              </m:e>
            </m:d>
            <m:ctrlPr>
              <w:rPr>
                <w:rFonts w:ascii="Cambria Math" w:hAnsi="Cambria Math"/>
                <w:i/>
              </w:rPr>
            </m:ctrlPr>
          </m:e>
          <m:sup>
            <m:r>
              <m:rPr/>
              <w:rPr>
                <w:rFonts w:ascii="Cambria Math" w:hAnsi="Cambria Math"/>
              </w:rPr>
              <m:t>T</m:t>
            </m:r>
            <m:ctrlPr>
              <w:rPr>
                <w:rFonts w:ascii="Cambria Math" w:hAnsi="Cambria Math"/>
                <w:i/>
              </w:rPr>
            </m:ctrlPr>
          </m:sup>
        </m:sSup>
      </m:oMath>
      <w:r>
        <w:rPr>
          <w:rFonts w:hint="eastAsia" w:hAnsi="Cambria Math"/>
        </w:rPr>
        <w:t>为第</w:t>
      </w:r>
      <m:oMath>
        <m:r>
          <m:rPr/>
          <w:rPr>
            <w:rFonts w:ascii="Cambria Math" w:hAnsi="Cambria Math"/>
          </w:rPr>
          <m:t>k</m:t>
        </m:r>
      </m:oMath>
      <w:r>
        <w:rPr>
          <w:rFonts w:hint="eastAsia" w:hAnsi="Cambria Math"/>
        </w:rPr>
        <w:t>年各树龄树木的覆盖面积矩阵。</w:t>
      </w:r>
    </w:p>
    <w:p>
      <w:pPr>
        <w:ind w:firstLine="480"/>
        <w:rPr>
          <w:rFonts w:hAnsi="Cambria Math"/>
        </w:rPr>
      </w:pPr>
      <w:r>
        <w:rPr>
          <w:rFonts w:hint="eastAsia" w:hAnsi="Cambria Math"/>
        </w:rPr>
        <w:t>由于森林的环境容纳量一定，因而为了使森林吸收二氧化碳的能力最强，则认为森林不存在有空余容纳量的情况，即如果有树木自然死亡，立刻种植新树以填补空缺。故在不考虑人工砍伐树木、考虑人工种植新树木的情况下，有如式(</w:t>
      </w:r>
      <w:r>
        <w:rPr>
          <w:rFonts w:hint="eastAsia" w:hAnsi="Cambria Math"/>
          <w:lang w:val="en-US" w:eastAsia="zh-CN"/>
        </w:rPr>
        <w:t>10</w:t>
      </w:r>
      <w:r>
        <w:rPr>
          <w:rFonts w:hint="eastAsia" w:hAnsi="Cambria Math"/>
        </w:rPr>
        <w:t>)所示关系：</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X(0,k+1)=X(tmax,k)</m:t>
                        </m:r>
                        <m:ctrlPr>
                          <w:rPr>
                            <w:rFonts w:ascii="Cambria Math" w:hAnsi="Cambria Math"/>
                          </w:rPr>
                        </m:ctrlPr>
                      </m:e>
                      <m:e>
                        <m:r>
                          <m:rPr>
                            <m:sty m:val="p"/>
                          </m:rPr>
                          <w:rPr>
                            <w:rFonts w:ascii="Cambria Math" w:hAnsi="Cambria Math"/>
                          </w:rPr>
                          <m:t>X(1,k+1)=X(0,k)</m:t>
                        </m:r>
                        <m:ctrlPr>
                          <w:rPr>
                            <w:rFonts w:ascii="Cambria Math" w:hAnsi="Cambria Math"/>
                          </w:rPr>
                        </m:ctrlPr>
                      </m:e>
                      <m:e>
                        <m:r>
                          <m:rPr/>
                          <w:rPr>
                            <w:rFonts w:ascii="Cambria Math" w:hAnsi="Cambria Math"/>
                          </w:rPr>
                          <m:t>⋮</m:t>
                        </m:r>
                        <m:ctrlPr>
                          <w:rPr>
                            <w:rFonts w:ascii="Cambria Math" w:hAnsi="Cambria Math"/>
                          </w:rPr>
                        </m:ctrlPr>
                      </m:e>
                      <m:e>
                        <m:r>
                          <m:rPr>
                            <m:sty m:val="p"/>
                          </m:rPr>
                          <w:rPr>
                            <w:rFonts w:ascii="Cambria Math" w:hAnsi="Cambria Math"/>
                          </w:rPr>
                          <m:t>X(tmax,k+1)=X(tmax−1,k)</m:t>
                        </m:r>
                        <m:ctrlPr>
                          <w:rPr>
                            <w:rFonts w:ascii="Cambria Math" w:hAnsi="Cambria Math"/>
                          </w:rPr>
                        </m:ctrlPr>
                      </m:e>
                    </m:eqArr>
                    <m:ctrlPr>
                      <w:rPr>
                        <w:rFonts w:ascii="Cambria Math" w:hAnsi="Cambria Math"/>
                      </w:rPr>
                    </m:ctrlPr>
                  </m:e>
                </m:d>
              </m:oMath>
            </m:oMathPara>
          </w:p>
        </w:tc>
        <w:tc>
          <w:tcPr>
            <w:tcW w:w="644" w:type="dxa"/>
            <w:vAlign w:val="center"/>
          </w:tcPr>
          <w:p>
            <w:pPr>
              <w:adjustRightInd w:val="0"/>
              <w:snapToGrid w:val="0"/>
              <w:ind w:firstLine="0" w:firstLineChars="0"/>
              <w:jc w:val="center"/>
            </w:pPr>
            <w:r>
              <w:t>(</w:t>
            </w:r>
            <w:r>
              <w:rPr>
                <w:rFonts w:hint="eastAsia"/>
                <w:lang w:val="en-US" w:eastAsia="zh-CN"/>
              </w:rPr>
              <w:t>10</w:t>
            </w:r>
            <w:r>
              <w:t>)</w:t>
            </w:r>
          </w:p>
        </w:tc>
      </w:tr>
    </w:tbl>
    <w:p>
      <w:pPr>
        <w:ind w:firstLine="420" w:firstLineChars="0"/>
        <w:rPr>
          <w:rFonts w:hAnsi="Cambria Math"/>
        </w:rPr>
      </w:pPr>
      <w:r>
        <w:rPr>
          <w:rFonts w:hint="eastAsia" w:hAnsi="Cambria Math"/>
        </w:rPr>
        <w:t>其矩阵形式如式(</w:t>
      </w:r>
      <w:r>
        <w:rPr>
          <w:rFonts w:hint="eastAsia" w:hAnsi="Cambria Math"/>
          <w:lang w:val="en-US" w:eastAsia="zh-CN"/>
        </w:rPr>
        <w:t>11</w:t>
      </w:r>
      <w:r>
        <w:rPr>
          <w:rFonts w:hint="eastAsia" w:hAnsi="Cambria Math"/>
        </w:rPr>
        <w:t>)所示：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ind w:firstLine="48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X(0,k+1)</m:t>
                          </m:r>
                          <m:ctrlPr>
                            <w:rPr>
                              <w:rFonts w:ascii="Cambria Math" w:hAnsi="Cambria Math"/>
                              <w:i/>
                            </w:rPr>
                          </m:ctrlPr>
                        </m:e>
                      </m:mr>
                      <m:mr>
                        <m:e>
                          <m:r>
                            <m:rPr/>
                            <w:rPr>
                              <w:rFonts w:ascii="Cambria Math" w:hAnsi="Cambria Math"/>
                            </w:rPr>
                            <m:t>X(1,k+1)</m:t>
                          </m:r>
                          <m:ctrlPr>
                            <w:rPr>
                              <w:rFonts w:ascii="Cambria Math" w:hAnsi="Cambria Math"/>
                              <w:i/>
                            </w:rPr>
                          </m:ctrlPr>
                        </m:e>
                      </m:mr>
                      <m:mr>
                        <m:e>
                          <m:r>
                            <m:rPr/>
                            <w:rPr>
                              <w:rFonts w:ascii="Cambria Math" w:hAnsi="Cambria Math"/>
                            </w:rPr>
                            <m:t>⋮</m:t>
                          </m:r>
                          <m:ctrlPr>
                            <w:rPr>
                              <w:rFonts w:ascii="Cambria Math" w:hAnsi="Cambria Math"/>
                              <w:i/>
                            </w:rPr>
                          </m:ctrlPr>
                        </m:e>
                      </m:mr>
                      <m:mr>
                        <m:e>
                          <m:r>
                            <m:rPr/>
                            <w:rPr>
                              <w:rFonts w:ascii="Cambria Math" w:hAnsi="Cambria Math"/>
                            </w:rPr>
                            <m:t>X(tmax,k+1)</m:t>
                          </m:r>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1</m:t>
                          </m:r>
                          <m:ctrlPr>
                            <w:rPr>
                              <w:rFonts w:ascii="Cambria Math" w:hAnsi="Cambria Math"/>
                              <w:i/>
                            </w:rPr>
                          </m:ctrlPr>
                        </m:e>
                      </m:mr>
                      <m:mr>
                        <m:e>
                          <m:r>
                            <m:rPr/>
                            <w:rPr>
                              <w:rFonts w:ascii="Cambria Math" w:hAnsi="Cambria Math"/>
                            </w:rPr>
                            <m:t>1</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1</m:t>
                          </m:r>
                          <m:ctrlPr>
                            <w:rPr>
                              <w:rFonts w:ascii="Cambria Math" w:hAnsi="Cambria Math"/>
                              <w:i/>
                            </w:rPr>
                          </m:ctrlPr>
                        </m:e>
                        <m:e>
                          <m:r>
                            <m:rPr/>
                            <w:rPr>
                              <w:rFonts w:ascii="Cambria Math" w:hAnsi="Cambria Math"/>
                            </w:rPr>
                            <m:t>0</m:t>
                          </m:r>
                          <m:ctrlPr>
                            <w:rPr>
                              <w:rFonts w:ascii="Cambria Math" w:hAnsi="Cambria Math"/>
                              <w:i/>
                            </w:rPr>
                          </m:ctrlPr>
                        </m:e>
                      </m:mr>
                    </m:m>
                    <m:ctrlPr>
                      <w:rPr>
                        <w:rFonts w:ascii="Cambria Math" w:hAnsi="Cambria Math"/>
                        <w:i/>
                      </w:rPr>
                    </m:ctrlPr>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X(0,k)</m:t>
                          </m:r>
                          <m:ctrlPr>
                            <w:rPr>
                              <w:rFonts w:ascii="Cambria Math" w:hAnsi="Cambria Math"/>
                              <w:i/>
                            </w:rPr>
                          </m:ctrlPr>
                        </m:e>
                      </m:mr>
                      <m:mr>
                        <m:e>
                          <m:r>
                            <m:rPr/>
                            <w:rPr>
                              <w:rFonts w:ascii="Cambria Math" w:hAnsi="Cambria Math"/>
                            </w:rPr>
                            <m:t>X(1,k)</m:t>
                          </m:r>
                          <m:ctrlPr>
                            <w:rPr>
                              <w:rFonts w:ascii="Cambria Math" w:hAnsi="Cambria Math"/>
                              <w:i/>
                            </w:rPr>
                          </m:ctrlPr>
                        </m:e>
                      </m:mr>
                      <m:mr>
                        <m:e>
                          <m:r>
                            <m:rPr/>
                            <w:rPr>
                              <w:rFonts w:ascii="Cambria Math" w:hAnsi="Cambria Math"/>
                            </w:rPr>
                            <m:t>⋮</m:t>
                          </m:r>
                          <m:ctrlPr>
                            <w:rPr>
                              <w:rFonts w:ascii="Cambria Math" w:hAnsi="Cambria Math"/>
                              <w:i/>
                            </w:rPr>
                          </m:ctrlPr>
                        </m:e>
                      </m:mr>
                      <m:mr>
                        <m:e>
                          <m:r>
                            <m:rPr/>
                            <w:rPr>
                              <w:rFonts w:ascii="Cambria Math" w:hAnsi="Cambria Math"/>
                            </w:rPr>
                            <m:t>X(tmax,k)</m:t>
                          </m:r>
                          <m:ctrlPr>
                            <w:rPr>
                              <w:rFonts w:ascii="Cambria Math" w:hAnsi="Cambria Math"/>
                              <w:i/>
                            </w:rPr>
                          </m:ctrlPr>
                        </m:e>
                      </m:mr>
                    </m:m>
                    <m:ctrlPr>
                      <w:rPr>
                        <w:rFonts w:ascii="Cambria Math" w:hAnsi="Cambria Math"/>
                        <w:i/>
                      </w:rPr>
                    </m:ctrlPr>
                  </m:e>
                </m:d>
                <m:r>
                  <m:rPr/>
                  <w:rPr>
                    <w:rFonts w:hint="eastAsia" w:ascii="微软雅黑" w:hAnsi="微软雅黑" w:eastAsia="微软雅黑" w:cs="微软雅黑"/>
                    <w:color w:val="333333"/>
                    <w:szCs w:val="24"/>
                    <w:shd w:val="clear" w:color="auto" w:fill="FFFFFF"/>
                  </w:rPr>
                  <m:t>⇔</m:t>
                </m:r>
                <m:r>
                  <m:rPr>
                    <m:sty m:val="bi"/>
                  </m:rPr>
                  <w:rPr>
                    <w:rFonts w:ascii="Cambria Math" w:hAnsi="Cambria Math"/>
                  </w:rPr>
                  <m:t>X</m:t>
                </m:r>
                <m:r>
                  <m:rPr/>
                  <w:rPr>
                    <w:rFonts w:ascii="Cambria Math" w:hAnsi="Cambria Math"/>
                  </w:rPr>
                  <m:t>(t,k+1)=</m:t>
                </m:r>
                <m:r>
                  <m:rPr>
                    <m:sty m:val="bi"/>
                  </m:rPr>
                  <w:rPr>
                    <w:rFonts w:ascii="Cambria Math" w:hAnsi="Cambria Math"/>
                  </w:rPr>
                  <m:t>G</m:t>
                </m:r>
                <m:r>
                  <m:rPr/>
                  <w:rPr>
                    <w:rFonts w:ascii="Cambria Math" w:hAnsi="Cambria Math"/>
                  </w:rPr>
                  <m:t>∙</m:t>
                </m:r>
                <m:r>
                  <m:rPr>
                    <m:sty m:val="bi"/>
                  </m:rPr>
                  <w:rPr>
                    <w:rFonts w:ascii="Cambria Math" w:hAnsi="Cambria Math"/>
                  </w:rPr>
                  <m:t>X</m:t>
                </m:r>
                <m:r>
                  <m:rPr/>
                  <w:rPr>
                    <w:rFonts w:ascii="Cambria Math" w:hAnsi="Cambria Math"/>
                  </w:rPr>
                  <m:t>(t,k)</m:t>
                </m:r>
              </m:oMath>
            </m:oMathPara>
          </w:p>
        </w:tc>
        <w:tc>
          <w:tcPr>
            <w:tcW w:w="644" w:type="dxa"/>
            <w:vAlign w:val="center"/>
          </w:tcPr>
          <w:p>
            <w:pPr>
              <w:adjustRightInd w:val="0"/>
              <w:snapToGrid w:val="0"/>
              <w:ind w:firstLine="0" w:firstLineChars="0"/>
              <w:jc w:val="center"/>
            </w:pPr>
            <w:r>
              <w:t>(</w:t>
            </w:r>
            <w:r>
              <w:rPr>
                <w:rFonts w:hint="eastAsia"/>
                <w:lang w:val="en-US" w:eastAsia="zh-CN"/>
              </w:rPr>
              <w:t>11</w:t>
            </w:r>
            <w:r>
              <w:t>)</w:t>
            </w:r>
          </w:p>
        </w:tc>
      </w:tr>
    </w:tbl>
    <w:p>
      <w:pPr>
        <w:ind w:left="0" w:leftChars="0" w:firstLine="0" w:firstLineChars="0"/>
        <w:rPr>
          <w:rFonts w:hAnsi="Cambria Math"/>
        </w:rPr>
      </w:pPr>
      <w:r>
        <w:rPr>
          <w:rFonts w:hint="eastAsia" w:hAnsi="Cambria Math"/>
        </w:rPr>
        <w:t>其中</w:t>
      </w:r>
      <m:oMath>
        <m:r>
          <m:rPr>
            <m:sty m:val="bi"/>
          </m:rPr>
          <w:rPr>
            <w:rFonts w:ascii="Cambria Math" w:hAnsi="Cambria Math"/>
          </w:rPr>
          <m:t>G</m:t>
        </m:r>
      </m:oMath>
      <w:r>
        <w:rPr>
          <w:rFonts w:hint="eastAsia" w:hAnsi="Cambria Math"/>
          <w:bCs/>
        </w:rPr>
        <w:t>定义为生长矩阵。</w:t>
      </w:r>
    </w:p>
    <w:p>
      <w:pPr>
        <w:pStyle w:val="4"/>
      </w:pPr>
      <w:r>
        <w:rPr>
          <w:rFonts w:hint="eastAsia"/>
        </w:rPr>
        <w:t>加入“砍伐”考虑后的更替情况</w:t>
      </w:r>
    </w:p>
    <w:p>
      <w:pPr>
        <w:ind w:firstLine="480"/>
      </w:pPr>
      <w:r>
        <w:rPr>
          <w:rFonts w:hint="eastAsia"/>
        </w:rPr>
        <w:t>木制品能一定程度上封存二氧化碳，然而树木自然死亡后认为其立刻释放所封存的二氧化碳，故为了提高二氧化碳封存量，所有达到寿命上限的树木均会被砍伐。</w:t>
      </w:r>
    </w:p>
    <w:p>
      <w:pPr>
        <w:ind w:firstLine="480"/>
        <w:rPr>
          <w:rFonts w:hAnsi="Cambria Math"/>
        </w:rPr>
      </w:pPr>
      <w:r>
        <w:rPr>
          <w:rFonts w:hint="eastAsia"/>
        </w:rPr>
        <w:t>定义</w:t>
      </w:r>
      <m:oMath>
        <m:r>
          <m:rPr>
            <m:sty m:val="bi"/>
          </m:rPr>
          <w:rPr>
            <w:rFonts w:ascii="Cambria Math" w:hAnsi="Cambria Math"/>
          </w:rPr>
          <m:t>c</m:t>
        </m:r>
        <m:r>
          <m:rPr/>
          <w:rPr>
            <w:rFonts w:ascii="Cambria Math" w:hAnsi="Cambria Math"/>
          </w:rPr>
          <m:t>=diag(</m:t>
        </m:r>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r>
          <m:rPr/>
          <w:rPr>
            <w:rFonts w:ascii="Cambria Math" w:hAnsi="Cambria Math"/>
          </w:rPr>
          <m:t>,1−c(1,k),1−c(2,k),...,1−c(tmax,k))</m:t>
        </m:r>
      </m:oMath>
      <w:r>
        <w:rPr>
          <w:rFonts w:hint="eastAsia" w:hAnsi="Cambria Math"/>
          <w:iCs/>
        </w:rPr>
        <w:t>为砍伐矩阵，其中</w:t>
      </w:r>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oMath>
      <w:r>
        <w:rPr>
          <w:rFonts w:hint="eastAsia" w:hAnsi="Cambria Math"/>
          <w:iCs/>
        </w:rPr>
        <w:t>表示第</w:t>
      </w:r>
      <m:oMath>
        <m:r>
          <m:rPr/>
          <w:rPr>
            <w:rFonts w:ascii="Cambria Math" w:hAnsi="Cambria Math"/>
          </w:rPr>
          <m:t>k</m:t>
        </m:r>
      </m:oMath>
      <w:r>
        <w:rPr>
          <w:rFonts w:hint="eastAsia" w:hAnsi="Cambria Math"/>
        </w:rPr>
        <w:t>年末应补种树苗面积与</w:t>
      </w:r>
      <m:oMath>
        <m:r>
          <m:rPr/>
          <w:rPr>
            <w:rFonts w:ascii="Cambria Math" w:hAnsi="Cambria Math"/>
          </w:rPr>
          <m:t>X(0,k)</m:t>
        </m:r>
      </m:oMath>
      <w:r>
        <w:rPr>
          <w:rFonts w:hint="eastAsia" w:hAnsi="Cambria Math"/>
        </w:rPr>
        <w:t>的比值，</w:t>
      </w:r>
      <m:oMath>
        <m:r>
          <m:rPr/>
          <w:rPr>
            <w:rFonts w:ascii="Cambria Math" w:hAnsi="Cambria Math"/>
          </w:rPr>
          <m:t>c(i,k)</m:t>
        </m:r>
      </m:oMath>
      <w:r>
        <w:rPr>
          <w:rFonts w:hint="eastAsia" w:hAnsi="Cambria Math"/>
        </w:rPr>
        <w:t>表示第</w:t>
      </w:r>
      <m:oMath>
        <m:r>
          <m:rPr/>
          <w:rPr>
            <w:rFonts w:ascii="Cambria Math" w:hAnsi="Cambria Math"/>
          </w:rPr>
          <m:t>k</m:t>
        </m:r>
      </m:oMath>
      <w:r>
        <w:rPr>
          <w:rFonts w:hint="eastAsia" w:hAnsi="Cambria Math"/>
        </w:rPr>
        <w:t>年对于树龄为</w:t>
      </w:r>
      <m:oMath>
        <m:r>
          <m:rPr/>
          <w:rPr>
            <w:rFonts w:ascii="Cambria Math" w:hAnsi="Cambria Math"/>
          </w:rPr>
          <m:t>i</m:t>
        </m:r>
      </m:oMath>
      <w:r>
        <w:rPr>
          <w:rFonts w:hint="eastAsia" w:hAnsi="Cambria Math"/>
        </w:rPr>
        <w:t>的树木的砍伐率。从而可得到第</w:t>
      </w:r>
      <m:oMath>
        <m:r>
          <m:rPr/>
          <w:rPr>
            <w:rFonts w:ascii="Cambria Math" w:hAnsi="Cambria Math"/>
          </w:rPr>
          <m:t>k</m:t>
        </m:r>
      </m:oMath>
      <w:r>
        <w:rPr>
          <w:rFonts w:hint="eastAsia" w:hAnsi="Cambria Math"/>
        </w:rPr>
        <w:t>年砍伐后</w:t>
      </w:r>
      <m:oMath>
        <m:r>
          <m:rPr>
            <m:sty m:val="bi"/>
          </m:rPr>
          <w:rPr>
            <w:rFonts w:ascii="Cambria Math" w:hAnsi="Cambria Math"/>
          </w:rPr>
          <m:t>X</m:t>
        </m:r>
        <m:r>
          <m:rPr>
            <m:sty m:val="bi"/>
          </m:rPr>
          <w:rPr>
            <w:rFonts w:hint="eastAsia" w:ascii="Cambria Math" w:hAnsi="Cambria Math"/>
          </w:rPr>
          <m:t>‘</m:t>
        </m:r>
        <m:r>
          <m:rPr/>
          <w:rPr>
            <w:rFonts w:ascii="Cambria Math" w:hAnsi="Cambria Math"/>
          </w:rPr>
          <m:t>(t,k)</m:t>
        </m:r>
      </m:oMath>
      <w:r>
        <w:rPr>
          <w:rFonts w:hint="eastAsia" w:hAnsi="Cambria Math"/>
        </w:rPr>
        <w:t>的表达式，若式(</w:t>
      </w:r>
      <w:r>
        <w:rPr>
          <w:rFonts w:hint="eastAsia" w:hAnsi="Cambria Math"/>
          <w:lang w:val="en-US" w:eastAsia="zh-CN"/>
        </w:rPr>
        <w:t>12</w:t>
      </w:r>
      <w:r>
        <w:rPr>
          <w:rFonts w:hint="eastAsia" w:hAnsi="Cambria Math"/>
        </w:rPr>
        <w:t>)所示：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X'(0,k)</m:t>
                          </m:r>
                          <m:ctrlPr>
                            <w:rPr>
                              <w:rFonts w:ascii="Cambria Math" w:hAnsi="Cambria Math"/>
                              <w:i/>
                            </w:rPr>
                          </m:ctrlPr>
                        </m:e>
                      </m:mr>
                      <m:mr>
                        <m:e>
                          <m:r>
                            <m:rPr/>
                            <w:rPr>
                              <w:rFonts w:ascii="Cambria Math" w:hAnsi="Cambria Math"/>
                            </w:rPr>
                            <m:t>X'(1,k)</m:t>
                          </m:r>
                          <m:ctrlPr>
                            <w:rPr>
                              <w:rFonts w:ascii="Cambria Math" w:hAnsi="Cambria Math"/>
                              <w:i/>
                            </w:rPr>
                          </m:ctrlPr>
                        </m:e>
                      </m:mr>
                      <m:mr>
                        <m:e>
                          <m:r>
                            <m:rPr/>
                            <w:rPr>
                              <w:rFonts w:ascii="Cambria Math" w:hAnsi="Cambria Math"/>
                            </w:rPr>
                            <m:t>⋮</m:t>
                          </m:r>
                          <m:ctrlPr>
                            <w:rPr>
                              <w:rFonts w:ascii="Cambria Math" w:hAnsi="Cambria Math"/>
                              <w:i/>
                            </w:rPr>
                          </m:ctrlPr>
                        </m:e>
                      </m:mr>
                      <m:mr>
                        <m:e>
                          <m:r>
                            <m:rPr/>
                            <w:rPr>
                              <w:rFonts w:ascii="Cambria Math" w:hAnsi="Cambria Math"/>
                            </w:rPr>
                            <m:t>X'(tmax,k)</m:t>
                          </m:r>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1−c(1,k)</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0</m:t>
                          </m:r>
                          <m:ctrlPr>
                            <w:rPr>
                              <w:rFonts w:ascii="Cambria Math" w:hAnsi="Cambria Math"/>
                              <w:i/>
                            </w:rPr>
                          </m:ctrlPr>
                        </m:e>
                        <m:e>
                          <m:r>
                            <m:rPr/>
                            <w:rPr>
                              <w:rFonts w:ascii="Cambria Math" w:hAnsi="Cambria Math"/>
                            </w:rPr>
                            <m:t>…</m:t>
                          </m:r>
                          <m:ctrlPr>
                            <w:rPr>
                              <w:rFonts w:ascii="Cambria Math" w:hAnsi="Cambria Math"/>
                              <w:i/>
                            </w:rPr>
                          </m:ctrlPr>
                        </m:e>
                        <m:e>
                          <m:r>
                            <m:rPr/>
                            <w:rPr>
                              <w:rFonts w:ascii="Cambria Math" w:hAnsi="Cambria Math"/>
                            </w:rPr>
                            <m:t>1−c(tmax,k)</m:t>
                          </m:r>
                          <m:ctrlPr>
                            <w:rPr>
                              <w:rFonts w:ascii="Cambria Math" w:hAnsi="Cambria Math"/>
                              <w:i/>
                            </w:rPr>
                          </m:ctrlPr>
                        </m:e>
                      </m:mr>
                    </m:m>
                    <m:ctrlPr>
                      <w:rPr>
                        <w:rFonts w:ascii="Cambria Math" w:hAnsi="Cambria Math"/>
                        <w:i/>
                      </w:rPr>
                    </m:ctrlPr>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X(0,k)</m:t>
                          </m:r>
                          <m:ctrlPr>
                            <w:rPr>
                              <w:rFonts w:ascii="Cambria Math" w:hAnsi="Cambria Math"/>
                              <w:i/>
                            </w:rPr>
                          </m:ctrlPr>
                        </m:e>
                      </m:mr>
                      <m:mr>
                        <m:e>
                          <m:r>
                            <m:rPr/>
                            <w:rPr>
                              <w:rFonts w:ascii="Cambria Math" w:hAnsi="Cambria Math"/>
                            </w:rPr>
                            <m:t>X(1,k)</m:t>
                          </m:r>
                          <m:ctrlPr>
                            <w:rPr>
                              <w:rFonts w:ascii="Cambria Math" w:hAnsi="Cambria Math"/>
                              <w:i/>
                            </w:rPr>
                          </m:ctrlPr>
                        </m:e>
                      </m:mr>
                      <m:mr>
                        <m:e>
                          <m:r>
                            <m:rPr/>
                            <w:rPr>
                              <w:rFonts w:ascii="Cambria Math" w:hAnsi="Cambria Math"/>
                            </w:rPr>
                            <m:t>⋮</m:t>
                          </m:r>
                          <m:ctrlPr>
                            <w:rPr>
                              <w:rFonts w:ascii="Cambria Math" w:hAnsi="Cambria Math"/>
                              <w:i/>
                            </w:rPr>
                          </m:ctrlPr>
                        </m:e>
                      </m:mr>
                      <m:mr>
                        <m:e>
                          <m:r>
                            <m:rPr/>
                            <w:rPr>
                              <w:rFonts w:ascii="Cambria Math" w:hAnsi="Cambria Math"/>
                            </w:rPr>
                            <m:t>X(tmax,k)</m:t>
                          </m:r>
                          <m:ctrlPr>
                            <w:rPr>
                              <w:rFonts w:ascii="Cambria Math" w:hAnsi="Cambria Math"/>
                              <w:i/>
                            </w:rPr>
                          </m:ctrlPr>
                        </m:e>
                      </m:mr>
                    </m:m>
                    <m:ctrlPr>
                      <w:rPr>
                        <w:rFonts w:ascii="Cambria Math" w:hAnsi="Cambria Math"/>
                        <w:i/>
                      </w:rPr>
                    </m:ctrlPr>
                  </m:e>
                </m:d>
              </m:oMath>
            </m:oMathPara>
          </w:p>
        </w:tc>
        <w:tc>
          <w:tcPr>
            <w:tcW w:w="644" w:type="dxa"/>
            <w:vAlign w:val="center"/>
          </w:tcPr>
          <w:p>
            <w:pPr>
              <w:adjustRightInd w:val="0"/>
              <w:snapToGrid w:val="0"/>
              <w:ind w:firstLine="0" w:firstLineChars="0"/>
              <w:jc w:val="center"/>
            </w:pPr>
            <w:r>
              <w:t>(</w:t>
            </w:r>
            <w:r>
              <w:rPr>
                <w:rFonts w:hint="eastAsia"/>
                <w:lang w:val="en-US" w:eastAsia="zh-CN"/>
              </w:rPr>
              <w:t>12</w:t>
            </w:r>
            <w:r>
              <w:t>)</w:t>
            </w:r>
          </w:p>
        </w:tc>
      </w:tr>
    </w:tbl>
    <w:p>
      <w:pPr>
        <w:ind w:firstLine="420" w:firstLineChars="0"/>
      </w:pPr>
      <w:r>
        <w:rPr>
          <w:rFonts w:hint="eastAsia"/>
        </w:rPr>
        <w:t>综合考虑树木自然成长以及砍伐，得到完成的递推过程，如式(1</w:t>
      </w:r>
      <w:r>
        <w:rPr>
          <w:rFonts w:hint="eastAsia"/>
          <w:lang w:val="en-US" w:eastAsia="zh-CN"/>
        </w:rPr>
        <w:t>3</w:t>
      </w:r>
      <w:r>
        <w:rPr>
          <w:rFonts w:hint="eastAsia"/>
        </w:rPr>
        <w:t>)所示：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8" w:hRule="atLeast"/>
        </w:trPr>
        <w:tc>
          <w:tcPr>
            <w:tcW w:w="8580" w:type="dxa"/>
            <w:vAlign w:val="center"/>
          </w:tcPr>
          <w:p>
            <w:pPr>
              <w:adjustRightInd w:val="0"/>
              <w:snapToGrid w:val="0"/>
              <w:ind w:firstLine="0" w:firstLineChars="0"/>
              <w:jc w:val="center"/>
            </w:pPr>
            <m:oMathPara>
              <m:oMath>
                <m:r>
                  <m:rPr>
                    <m:sty m:val="bi"/>
                  </m:rPr>
                  <w:rPr>
                    <w:rFonts w:ascii="Cambria Math" w:hAnsi="Cambria Math"/>
                  </w:rPr>
                  <m:t>X</m:t>
                </m:r>
                <m:r>
                  <m:rPr/>
                  <w:rPr>
                    <w:rFonts w:ascii="Cambria Math" w:hAnsi="Cambria Math"/>
                  </w:rPr>
                  <m:t>(t,k+1)=</m:t>
                </m:r>
                <m:r>
                  <m:rPr>
                    <m:sty m:val="bi"/>
                  </m:rPr>
                  <w:rPr>
                    <w:rFonts w:ascii="Cambria Math" w:hAnsi="Cambria Math"/>
                  </w:rPr>
                  <m:t>G</m:t>
                </m:r>
                <m:r>
                  <m:rPr/>
                  <w:rPr>
                    <w:rFonts w:ascii="Cambria Math" w:hAnsi="Cambria Math"/>
                  </w:rPr>
                  <m:t>∙</m:t>
                </m:r>
                <m:r>
                  <m:rPr>
                    <m:sty m:val="bi"/>
                  </m:rPr>
                  <w:rPr>
                    <w:rFonts w:ascii="Cambria Math" w:hAnsi="Cambria Math"/>
                  </w:rPr>
                  <m:t>c</m:t>
                </m:r>
                <m:r>
                  <m:rPr/>
                  <w:rPr>
                    <w:rFonts w:ascii="Cambria Math" w:hAnsi="Cambria Math"/>
                  </w:rPr>
                  <m:t>∙</m:t>
                </m:r>
                <m:r>
                  <m:rPr>
                    <m:sty m:val="bi"/>
                  </m:rPr>
                  <w:rPr>
                    <w:rFonts w:ascii="Cambria Math" w:hAnsi="Cambria Math"/>
                  </w:rPr>
                  <m:t>X</m:t>
                </m:r>
                <m:r>
                  <m:rPr/>
                  <w:rPr>
                    <w:rFonts w:ascii="Cambria Math" w:hAnsi="Cambria Math"/>
                  </w:rPr>
                  <m:t>(t,k)</m:t>
                </m:r>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3</w:t>
            </w:r>
            <w:r>
              <w:t>)</w:t>
            </w:r>
          </w:p>
        </w:tc>
      </w:tr>
    </w:tbl>
    <w:p>
      <w:pPr>
        <w:pStyle w:val="3"/>
        <w:spacing w:after="163"/>
      </w:pPr>
      <w:r>
        <w:rPr>
          <w:rFonts w:hint="eastAsia"/>
        </w:rPr>
        <w:t>森林管理方案规划模型</w:t>
      </w:r>
    </w:p>
    <w:p>
      <w:pPr>
        <w:numPr>
          <w:ilvl w:val="0"/>
          <w:numId w:val="11"/>
        </w:numPr>
        <w:ind w:firstLineChars="0"/>
        <w:rPr>
          <w:b/>
          <w:bCs/>
        </w:rPr>
      </w:pPr>
      <w:r>
        <w:rPr>
          <w:rFonts w:hint="eastAsia"/>
          <w:b/>
          <w:bCs/>
        </w:rPr>
        <w:t>决策变量：砍伐矩阵</w:t>
      </w:r>
      <m:oMath>
        <m:r>
          <m:rPr>
            <m:sty m:val="b"/>
          </m:rPr>
          <w:rPr>
            <w:rFonts w:ascii="Cambria Math" w:hAnsi="Cambria Math"/>
          </w:rPr>
          <m:t>c</m:t>
        </m:r>
      </m:oMath>
    </w:p>
    <w:p>
      <w:pPr>
        <w:ind w:firstLine="480"/>
      </w:pPr>
      <w:r>
        <w:rPr>
          <w:rFonts w:hint="eastAsia"/>
        </w:rPr>
        <w:t>由于该模型仅存在唯一的目标——二氧化碳封存量，故仅需要找到最关键的影响因素并对其进行优化，便可得到较为有效的管理方案。在二氧化碳封存量计算模型中，</w:t>
      </w:r>
      <m:oMath>
        <m:r>
          <m:rPr/>
          <w:rPr>
            <w:rFonts w:ascii="Cambria Math" w:hAnsi="Cambria Math"/>
          </w:rPr>
          <m:t>X(t)</m:t>
        </m:r>
      </m:oMath>
      <w:r>
        <w:rPr>
          <w:rFonts w:hint="eastAsia" w:hAnsi="Cambria Math"/>
        </w:rPr>
        <w:t>会直接影响到最终数值，而每一年的</w:t>
      </w:r>
      <m:oMath>
        <m:r>
          <m:rPr/>
          <w:rPr>
            <w:rFonts w:ascii="Cambria Math" w:hAnsi="Cambria Math"/>
          </w:rPr>
          <m:t>X(t)</m:t>
        </m:r>
      </m:oMath>
      <w:r>
        <w:rPr>
          <w:rFonts w:hint="eastAsia" w:hAnsi="Cambria Math"/>
        </w:rPr>
        <w:t>又会直接受到砍伐矩阵</w:t>
      </w:r>
      <m:oMath>
        <m:r>
          <m:rPr>
            <m:sty m:val="bi"/>
          </m:rPr>
          <w:rPr>
            <w:rFonts w:ascii="Cambria Math" w:hAnsi="Cambria Math"/>
          </w:rPr>
          <m:t>c</m:t>
        </m:r>
      </m:oMath>
      <w:r>
        <w:rPr>
          <w:rFonts w:hint="eastAsia" w:hAnsi="Cambria Math"/>
          <w:bCs/>
        </w:rPr>
        <w:t>的作用，因而规划模型中将砍伐矩阵</w:t>
      </w:r>
      <m:oMath>
        <m:r>
          <m:rPr>
            <m:sty m:val="bi"/>
          </m:rPr>
          <w:rPr>
            <w:rFonts w:ascii="Cambria Math" w:hAnsi="Cambria Math"/>
          </w:rPr>
          <m:t>c</m:t>
        </m:r>
      </m:oMath>
      <w:r>
        <w:rPr>
          <w:rFonts w:hint="eastAsia" w:hAnsi="Cambria Math"/>
          <w:bCs/>
        </w:rPr>
        <w:t>设定为决策变量。</w:t>
      </w:r>
    </w:p>
    <w:p>
      <w:pPr>
        <w:numPr>
          <w:ilvl w:val="0"/>
          <w:numId w:val="11"/>
        </w:numPr>
        <w:ind w:firstLineChars="0"/>
        <w:rPr>
          <w:b/>
          <w:bCs/>
        </w:rPr>
      </w:pPr>
      <w:r>
        <w:rPr>
          <w:rFonts w:hint="eastAsia"/>
          <w:b/>
          <w:bCs/>
        </w:rPr>
        <w:t>目标函数：考虑树木“潜力”的最大二氧化碳封存量</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oMath>
    </w:p>
    <w:p>
      <w:pPr>
        <w:ind w:firstLine="480"/>
        <w:rPr>
          <w:rFonts w:hAnsi="Cambria Math"/>
        </w:rPr>
      </w:pPr>
      <w:r>
        <w:rPr>
          <w:rFonts w:hint="eastAsia"/>
        </w:rPr>
        <w:t>如果基于当前模型，从贪心的角度设定目标函数，则可直接使用式(2)中的</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hAnsi="Cambria Math"/>
        </w:rPr>
        <w:t>作为目标函数，即使得每一年树木吸收二氧化碳的总量最大。但实际上，如果计算森林二氧化碳总封存量的时间区间足够大时，新种植树木封存二氧化碳的总量总是大于过度成熟树木的封存总量，因而我们对</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oMath>
      <w:r>
        <w:rPr>
          <w:rFonts w:hint="eastAsia" w:hAnsi="Cambria Math"/>
        </w:rPr>
        <w:t>进行了一定的修正，使其将树木的“潜力”纳入考虑。修正后目标函数</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oMath>
      <w:r>
        <w:rPr>
          <w:rFonts w:hint="eastAsia" w:hAnsi="Cambria Math"/>
        </w:rPr>
        <w:t>如式(1</w:t>
      </w:r>
      <w:r>
        <w:rPr>
          <w:rFonts w:hint="eastAsia" w:hAnsi="Cambria Math"/>
          <w:lang w:val="en-US" w:eastAsia="zh-CN"/>
        </w:rPr>
        <w:t>4</w:t>
      </w:r>
      <w:r>
        <w:rPr>
          <w:rFonts w:hint="eastAsia" w:hAnsi="Cambria Math"/>
        </w:rPr>
        <w:t>)所示：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pPr>
            <m:oMathPara>
              <m:oMath>
                <m:r>
                  <m:rPr>
                    <m:sty m:val="p"/>
                  </m:rPr>
                  <w:rPr>
                    <w:rFonts w:ascii="Cambria Math" w:hAnsi="Cambria Math"/>
                  </w:rPr>
                  <m:t xml:space="preserve">max </m:t>
                </m:r>
                <m:d>
                  <m:dPr>
                    <m:begChr m:val="{"/>
                    <m:endChr m:val="}"/>
                    <m:ctrlPr>
                      <w:rPr>
                        <w:rFonts w:ascii="Cambria Math" w:hAnsi="Cambria Math"/>
                      </w:rPr>
                    </m:ctrlPr>
                  </m:d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nary>
                      <m:naryPr>
                        <m:chr m:val="∑"/>
                        <m:limLoc m:val="undOvr"/>
                        <m:ctrlPr>
                          <w:rPr>
                            <w:rFonts w:ascii="Cambria Math" w:hAnsi="Cambria Math"/>
                            <w:i/>
                          </w:rPr>
                        </m:ctrlPr>
                      </m:naryPr>
                      <m:sub>
                        <m:r>
                          <m:rPr/>
                          <w:rPr>
                            <w:rFonts w:ascii="Cambria Math" w:hAnsi="Cambria Math"/>
                          </w:rPr>
                          <m:t>i=0</m:t>
                        </m:r>
                        <m:ctrlPr>
                          <w:rPr>
                            <w:rFonts w:ascii="Cambria Math" w:hAnsi="Cambria Math"/>
                            <w:i/>
                          </w:rPr>
                        </m:ctrlPr>
                      </m:sub>
                      <m:sup>
                        <m:r>
                          <m:rPr/>
                          <w:rPr>
                            <w:rFonts w:ascii="Cambria Math" w:hAnsi="Cambria Math"/>
                          </w:rPr>
                          <m:t>tmax</m:t>
                        </m:r>
                        <m:ctrlPr>
                          <w:rPr>
                            <w:rFonts w:ascii="Cambria Math" w:hAnsi="Cambria Math"/>
                            <w:i/>
                          </w:rPr>
                        </m:ctrlPr>
                      </m:sup>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(i)×</m:t>
                        </m:r>
                        <m:nary>
                          <m:naryPr>
                            <m:chr m:val="∑"/>
                            <m:limLoc m:val="undOvr"/>
                            <m:ctrlPr>
                              <w:rPr>
                                <w:rFonts w:ascii="Cambria Math" w:hAnsi="Cambria Math"/>
                                <w:i/>
                              </w:rPr>
                            </m:ctrlPr>
                          </m:naryPr>
                          <m:sub>
                            <m:r>
                              <m:rPr/>
                              <w:rPr>
                                <w:rFonts w:ascii="Cambria Math" w:hAnsi="Cambria Math"/>
                              </w:rPr>
                              <m:t>m=i</m:t>
                            </m:r>
                            <m:ctrlPr>
                              <w:rPr>
                                <w:rFonts w:ascii="Cambria Math" w:hAnsi="Cambria Math"/>
                                <w:i/>
                              </w:rPr>
                            </m:ctrlPr>
                          </m:sub>
                          <m:sup>
                            <m:r>
                              <m:rPr/>
                              <w:rPr>
                                <w:rFonts w:ascii="Cambria Math" w:hAnsi="Cambria Math"/>
                              </w:rPr>
                              <m:t>i+</m:t>
                            </m:r>
                            <m:r>
                              <m:rPr/>
                              <w:rPr>
                                <w:rFonts w:hint="default" w:ascii="Cambria Math" w:hAnsi="Cambria Math"/>
                                <w:color w:val="00B0F0"/>
                                <w:lang w:val="en-US" w:eastAsia="zh-CN"/>
                              </w:rPr>
                              <m:t>PL</m:t>
                            </m:r>
                            <m:ctrlPr>
                              <w:rPr>
                                <w:rFonts w:ascii="Cambria Math" w:hAnsi="Cambria Math"/>
                                <w:i/>
                              </w:rPr>
                            </m:ctrlPr>
                          </m:sup>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m:t>
                            </m:r>
                            <m:ctrlPr>
                              <w:rPr>
                                <w:rFonts w:ascii="Cambria Math" w:hAnsi="Cambria Math"/>
                                <w:i/>
                              </w:rPr>
                            </m:ctrlPr>
                          </m:e>
                        </m:nary>
                        <m:ctrlPr>
                          <w:rPr>
                            <w:rFonts w:ascii="Cambria Math" w:hAnsi="Cambria Math"/>
                            <w:i/>
                          </w:rPr>
                        </m:ctrlPr>
                      </m:e>
                    </m:nary>
                    <m:r>
                      <m:rPr/>
                      <w:rPr>
                        <w:rFonts w:ascii="Cambria Math" w:hAnsi="Cambria Math"/>
                      </w:rPr>
                      <m:t>]</m:t>
                    </m:r>
                    <m:ctrlPr>
                      <w:rPr>
                        <w:rFonts w:ascii="Cambria Math" w:hAnsi="Cambria Math"/>
                      </w:rPr>
                    </m:ctrlPr>
                  </m:e>
                </m:d>
                <m:r>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w:rPr>
                            <w:rFonts w:ascii="Cambria Math" w:hAnsi="Cambria Math"/>
                          </w:rPr>
                          <m:t xml:space="preserve">i=0,1,2,...,tmax </m:t>
                        </m:r>
                        <m:ctrlPr>
                          <w:rPr>
                            <w:rFonts w:ascii="Cambria Math" w:hAnsi="Cambria Math"/>
                            <w:i/>
                          </w:rPr>
                        </m:ctrlPr>
                      </m:e>
                      <m:e>
                        <m:r>
                          <m:rPr/>
                          <w:rPr>
                            <w:rFonts w:ascii="Cambria Math" w:hAnsi="Cambria Math"/>
                          </w:rPr>
                          <m:t>m=i,i+1,i+2,...,</m:t>
                        </m:r>
                        <m:r>
                          <m:rPr/>
                          <w:rPr>
                            <w:rFonts w:hint="default" w:ascii="Cambria Math" w:hAnsi="Cambria Math"/>
                            <w:color w:val="00B0F0"/>
                            <w:lang w:val="en-US" w:eastAsia="zh-CN"/>
                          </w:rPr>
                          <m:t>PL</m:t>
                        </m:r>
                        <m:ctrlPr>
                          <w:rPr>
                            <w:rFonts w:ascii="Cambria Math" w:hAnsi="Cambria Math"/>
                            <w:i/>
                          </w:rPr>
                        </m:ctrlPr>
                      </m:e>
                    </m:eqArr>
                    <m:ctrlPr>
                      <w:rPr>
                        <w:rFonts w:ascii="Cambria Math" w:hAnsi="Cambria Math"/>
                        <w:i/>
                      </w:rPr>
                    </m:ctrlPr>
                  </m:e>
                </m:d>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4</w:t>
            </w:r>
            <w:r>
              <w:t>)</w:t>
            </w:r>
          </w:p>
        </w:tc>
      </w:tr>
    </w:tbl>
    <w:p>
      <w:pPr>
        <w:ind w:left="0" w:leftChars="0" w:firstLine="0" w:firstLineChars="0"/>
        <w:rPr>
          <w:rFonts w:hAnsi="Cambria Math"/>
        </w:rPr>
      </w:pPr>
      <w:r>
        <w:rPr>
          <w:rFonts w:hint="eastAsia" w:hAnsi="Cambria Math"/>
        </w:rPr>
        <w:t>其中</w:t>
      </w:r>
      <m:oMath>
        <m:r>
          <m:rPr/>
          <w:rPr>
            <w:rFonts w:hint="default" w:ascii="Cambria Math" w:hAnsi="Cambria Math"/>
            <w:color w:val="00B0F0"/>
            <w:lang w:val="en-US" w:eastAsia="zh-CN"/>
          </w:rPr>
          <m:t>PL</m:t>
        </m:r>
      </m:oMath>
      <w:r>
        <w:rPr>
          <w:rFonts w:hint="eastAsia" w:hAnsi="Cambria Math"/>
        </w:rPr>
        <w:t>代表决策者衡量树木潜力的年龄长度。</w:t>
      </w:r>
    </w:p>
    <w:p>
      <w:pPr>
        <w:numPr>
          <w:ilvl w:val="0"/>
          <w:numId w:val="12"/>
        </w:numPr>
        <w:ind w:firstLineChars="0"/>
        <w:rPr>
          <w:rFonts w:hAnsi="Cambria Math"/>
          <w:b/>
          <w:bCs/>
        </w:rPr>
      </w:pPr>
      <w:r>
        <w:rPr>
          <w:rFonts w:hint="eastAsia" w:hAnsi="Cambria Math"/>
          <w:b/>
          <w:bCs/>
        </w:rPr>
        <w:t>约束条件</w:t>
      </w:r>
    </w:p>
    <w:p>
      <w:pPr>
        <w:ind w:firstLine="420" w:firstLineChars="0"/>
        <w:rPr>
          <w:rFonts w:hAnsi="Cambria Math"/>
        </w:rPr>
      </w:pPr>
      <w:r>
        <w:rPr>
          <w:rFonts w:hint="eastAsia" w:hAnsi="Cambria Math"/>
        </w:rPr>
        <w:t>在该模型中，需要满足上述“任何一年时树木的总覆盖面积等于森林的最大容纳量”这一假设。除此之外，基于现实因素，砍伐率</w:t>
      </w:r>
      <m:oMath>
        <m:r>
          <m:rPr/>
          <w:rPr>
            <w:rFonts w:ascii="Cambria Math" w:hAnsi="Cambria Math"/>
          </w:rPr>
          <m:t>c(i,k)</m:t>
        </m:r>
      </m:oMath>
      <w:r>
        <w:rPr>
          <w:rFonts w:hint="eastAsia" w:hAnsi="Cambria Math"/>
        </w:rPr>
        <w:t>应当介于0-1之间、种植比例</w:t>
      </w:r>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oMath>
      <w:r>
        <w:rPr>
          <w:rFonts w:hint="eastAsia" w:hAnsi="Cambria Math"/>
          <w:iCs/>
        </w:rPr>
        <w:t>应大于1，即：</w:t>
      </w:r>
    </w:p>
    <w:p>
      <w:pPr>
        <w:ind w:left="480" w:leftChars="200" w:firstLine="0" w:firstLineChars="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r>
                    <m:rPr/>
                    <w:rPr>
                      <w:rFonts w:ascii="Cambria Math" w:hAnsi="Cambria Math"/>
                    </w:rPr>
                    <m:t>∙X(tmax,k)+</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tmax</m:t>
                      </m:r>
                      <m:ctrlPr>
                        <w:rPr>
                          <w:rFonts w:ascii="Cambria Math" w:hAnsi="Cambria Math"/>
                          <w:i/>
                        </w:rPr>
                      </m:ctrlPr>
                    </m:sup>
                    <m:e>
                      <m:r>
                        <m:rPr/>
                        <w:rPr>
                          <w:rFonts w:ascii="Cambria Math" w:hAnsi="Cambria Math"/>
                        </w:rPr>
                        <m:t>(1−c(i,k))∙X(i,k)</m:t>
                      </m:r>
                      <m:ctrlPr>
                        <w:rPr>
                          <w:rFonts w:ascii="Cambria Math" w:hAnsi="Cambria Math"/>
                          <w:i/>
                        </w:rPr>
                      </m:ctrlPr>
                    </m:e>
                  </m:nary>
                  <m:r>
                    <m:rPr/>
                    <w:rPr>
                      <w:rFonts w:ascii="Cambria Math" w:hAnsi="Cambria Math"/>
                    </w:rPr>
                    <m:t>=K</m:t>
                  </m:r>
                  <m:ctrlPr>
                    <w:rPr>
                      <w:rFonts w:ascii="Cambria Math" w:hAnsi="Cambria Math"/>
                      <w:i/>
                    </w:rPr>
                  </m:ctrlPr>
                </m:e>
                <m:e>
                  <m:r>
                    <m:rPr/>
                    <w:rPr>
                      <w:rFonts w:ascii="Cambria Math" w:hAnsi="Cambria Math"/>
                    </w:rPr>
                    <m:t>0≤c(i,k)≤1</m:t>
                  </m:r>
                  <m:ctrlPr>
                    <w:rPr>
                      <w:rFonts w:ascii="Cambria Math" w:hAnsi="Cambria Math"/>
                      <w:i/>
                    </w:rPr>
                  </m:ctrlPr>
                </m:e>
                <m:e>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k</m:t>
                      </m:r>
                      <m:ctrlPr>
                        <w:rPr>
                          <w:rFonts w:ascii="Cambria Math" w:hAnsi="Cambria Math"/>
                          <w:i/>
                          <w:iCs/>
                        </w:rPr>
                      </m:ctrlPr>
                    </m:sub>
                  </m:sSub>
                  <m:r>
                    <m:rPr/>
                    <w:rPr>
                      <w:rFonts w:ascii="Cambria Math" w:hAnsi="Cambria Math"/>
                    </w:rPr>
                    <m:t>&gt;1</m:t>
                  </m:r>
                  <m:ctrlPr>
                    <w:rPr>
                      <w:rFonts w:ascii="Cambria Math" w:hAnsi="Cambria Math"/>
                      <w:i/>
                    </w:rPr>
                  </m:ctrlPr>
                </m:e>
              </m:eqArr>
              <m:ctrlPr>
                <w:rPr>
                  <w:rFonts w:ascii="Cambria Math" w:hAnsi="Cambria Math"/>
                  <w:i/>
                </w:rPr>
              </m:ctrlPr>
            </m:e>
          </m:d>
        </m:oMath>
      </m:oMathPara>
    </w:p>
    <w:p>
      <w:pPr>
        <w:pStyle w:val="2"/>
      </w:pPr>
      <w:r>
        <w:rPr>
          <w:rFonts w:hint="eastAsia"/>
        </w:rPr>
        <w:t>基于森林多方面价值的森林管理决策模型</w:t>
      </w:r>
    </w:p>
    <w:p>
      <w:pPr>
        <w:ind w:firstLine="480"/>
      </w:pPr>
      <w:r>
        <w:rPr>
          <w:rFonts w:hint="eastAsia"/>
        </w:rPr>
        <w:t>在4.3中，我们已经提出了一个以最大化二氧化碳封存量为目标的森林管理方案规划模型。但显然，由于上述模型的目标过于片面，因而它不具备评估一个森林整体价值的能力。对此，我们基于经典的Hartman模型，在参照了不同学者对于该模型中立木价值和便利性价值的定义后，构建了一个能更为全面地评估森林价值的目标函数用于给出森林管理的最优决策。</w:t>
      </w:r>
    </w:p>
    <w:p>
      <w:pPr>
        <w:ind w:firstLine="480"/>
        <w:rPr>
          <w:rFonts w:hAnsi="Cambria Math"/>
        </w:rPr>
      </w:pPr>
      <w:r>
        <w:rPr>
          <w:rFonts w:hint="eastAsia"/>
        </w:rPr>
        <w:t>除此之外，在尝试了几组数据后，我们发现4.3模型提出的管理方案具有明显的周期性。在经过足够长的时间区间后，最优方案总是对森林进行轮伐，且所有树木同时收获。因此，我们对森林发展模型进行了适当的修改，选择使用不考虑“砍伐”的森林更替情况，并在同一时间种下所有树，令其自然生长一个轮伐周期</w:t>
      </w:r>
      <m:oMath>
        <m:r>
          <m:rPr/>
          <w:rPr>
            <w:rFonts w:ascii="Cambria Math" w:hAnsi="Cambria Math"/>
          </w:rPr>
          <m:t>T</m:t>
        </m:r>
      </m:oMath>
      <w:r>
        <w:rPr>
          <w:rFonts w:hint="eastAsia" w:hAnsi="Cambria Math"/>
          <w:iCs/>
        </w:rPr>
        <w:t>后同时收获所有树木。相较于4.3模型中每一年动态安排收获方案的策略，改进后的模型显著降低了人工成本，显然更具有现实意义。基于此修改，我们将决策变量从</w:t>
      </w:r>
      <w:r>
        <w:rPr>
          <w:rFonts w:hint="eastAsia"/>
        </w:rPr>
        <w:t>砍伐矩阵</w:t>
      </w:r>
      <m:oMath>
        <m:r>
          <m:rPr>
            <m:sty m:val="b"/>
          </m:rPr>
          <w:rPr>
            <w:rFonts w:ascii="Cambria Math" w:hAnsi="Cambria Math"/>
          </w:rPr>
          <m:t>c</m:t>
        </m:r>
      </m:oMath>
      <w:r>
        <w:rPr>
          <w:rFonts w:hint="eastAsia" w:hAnsi="Cambria Math"/>
        </w:rPr>
        <w:t>变更为轮伐周期</w:t>
      </w:r>
      <m:oMath>
        <m:r>
          <m:rPr/>
          <w:rPr>
            <w:rFonts w:ascii="Cambria Math" w:hAnsi="Cambria Math"/>
          </w:rPr>
          <m:t>T</m:t>
        </m:r>
      </m:oMath>
      <w:r>
        <w:rPr>
          <w:rFonts w:hint="eastAsia" w:hAnsi="Cambria Math"/>
        </w:rPr>
        <w:t>。</w:t>
      </w:r>
    </w:p>
    <w:p>
      <w:pPr>
        <w:pStyle w:val="3"/>
        <w:spacing w:after="163"/>
      </w:pPr>
      <w:r>
        <w:rPr>
          <w:rFonts w:hint="eastAsia"/>
        </w:rPr>
        <w:t>基于经典Hartman模型的评价模型</w:t>
      </w:r>
    </w:p>
    <w:p>
      <w:pPr>
        <w:ind w:firstLine="480"/>
      </w:pPr>
      <w:r>
        <w:rPr>
          <w:rFonts w:hint="eastAsia"/>
        </w:rPr>
        <w:t>经典Hartman模型中主要将森林的价值分为两大类：</w:t>
      </w:r>
      <m:oMath>
        <m:r>
          <m:rPr/>
          <w:rPr>
            <w:rFonts w:ascii="Cambria Math" w:hAnsi="Cambria Math"/>
          </w:rPr>
          <m:t>G(t)</m:t>
        </m:r>
      </m:oMath>
      <w:r>
        <w:rPr>
          <w:rFonts w:hint="eastAsia" w:hAnsi="Cambria Math"/>
          <w:iCs/>
        </w:rPr>
        <w:t>为森林中树龄为</w:t>
      </w:r>
      <m:oMath>
        <m:r>
          <m:rPr/>
          <w:rPr>
            <w:rFonts w:ascii="Cambria Math" w:hAnsi="Cambria Math"/>
          </w:rPr>
          <m:t>t</m:t>
        </m:r>
      </m:oMath>
      <w:r>
        <w:rPr>
          <w:rFonts w:hint="eastAsia" w:hAnsi="Cambria Math"/>
        </w:rPr>
        <w:t>的</w:t>
      </w:r>
      <w:r>
        <w:rPr>
          <w:rFonts w:hint="eastAsia" w:hAnsi="Cambria Math"/>
          <w:iCs/>
        </w:rPr>
        <w:t>树木的立木价值(stumpage value)，</w:t>
      </w:r>
      <m:oMath>
        <m:r>
          <m:rPr/>
          <w:rPr>
            <w:rFonts w:ascii="Cambria Math" w:hAnsi="Cambria Math"/>
          </w:rPr>
          <m:t>F(t)</m:t>
        </m:r>
      </m:oMath>
      <w:r>
        <w:rPr>
          <w:rFonts w:hint="eastAsia" w:hAnsi="Cambria Math"/>
        </w:rPr>
        <w:t>为森林中树龄为</w:t>
      </w:r>
      <m:oMath>
        <m:r>
          <m:rPr/>
          <w:rPr>
            <w:rFonts w:ascii="Cambria Math" w:hAnsi="Cambria Math"/>
          </w:rPr>
          <m:t>t</m:t>
        </m:r>
      </m:oMath>
      <w:r>
        <w:rPr>
          <w:rFonts w:hint="eastAsia" w:hAnsi="Cambria Math"/>
        </w:rPr>
        <w:t>的树木的</w:t>
      </w:r>
      <w:r>
        <w:rPr>
          <w:rFonts w:hint="eastAsia"/>
        </w:rPr>
        <w:t>便利性价值(amanity value)。</w:t>
      </w:r>
    </w:p>
    <w:p>
      <w:pPr>
        <w:ind w:firstLine="480"/>
        <w:rPr>
          <w:rFonts w:hAnsi="Cambria Math"/>
        </w:rPr>
      </w:pPr>
      <m:oMath>
        <m:r>
          <m:rPr/>
          <w:rPr>
            <w:rFonts w:ascii="Cambria Math" w:hAnsi="Cambria Math"/>
          </w:rPr>
          <m:t>G(t)</m:t>
        </m:r>
      </m:oMath>
      <w:r>
        <w:rPr>
          <w:rFonts w:hint="eastAsia"/>
        </w:rPr>
        <w:t>主要代表了森林中树木可产出木材的经济价值，它是传统意义上人们直观容易认识到的价值。通常情况下，</w:t>
      </w:r>
      <m:oMath>
        <m:r>
          <m:rPr/>
          <w:rPr>
            <w:rFonts w:ascii="Cambria Math" w:hAnsi="Cambria Math"/>
          </w:rPr>
          <m:t>G(t)</m:t>
        </m:r>
      </m:oMath>
      <w:r>
        <w:rPr>
          <w:rFonts w:hint="eastAsia" w:hAnsi="Cambria Math"/>
        </w:rPr>
        <w:t>在</w:t>
      </w:r>
      <m:oMath>
        <m:r>
          <m:rPr/>
          <w:rPr>
            <w:rFonts w:ascii="Cambria Math" w:hAnsi="Cambria Math"/>
          </w:rPr>
          <m:t>t</m:t>
        </m:r>
      </m:oMath>
      <w:r>
        <w:rPr>
          <w:rFonts w:hint="eastAsia" w:hAnsi="Cambria Math"/>
        </w:rPr>
        <w:t>较小时单调增加，但其增长率不断降低，直至达到一个最大值后增长率降为0。随后</w:t>
      </w:r>
      <m:oMath>
        <m:r>
          <m:rPr/>
          <w:rPr>
            <w:rFonts w:ascii="Cambria Math" w:hAnsi="Cambria Math"/>
          </w:rPr>
          <m:t>G(t)</m:t>
        </m:r>
      </m:oMath>
      <w:r>
        <w:rPr>
          <w:rFonts w:hint="eastAsia" w:hAnsi="Cambria Math"/>
        </w:rPr>
        <w:t>随</w:t>
      </w:r>
      <m:oMath>
        <m:r>
          <m:rPr/>
          <w:rPr>
            <w:rFonts w:ascii="Cambria Math" w:hAnsi="Cambria Math"/>
          </w:rPr>
          <m:t>t</m:t>
        </m:r>
      </m:oMath>
      <w:r>
        <w:rPr>
          <w:rFonts w:hint="eastAsia" w:hAnsi="Cambria Math"/>
        </w:rPr>
        <w:t>增长而减小，直至树木进入成熟状态，此时</w:t>
      </w:r>
      <m:oMath>
        <m:r>
          <m:rPr/>
          <w:rPr>
            <w:rFonts w:ascii="Cambria Math" w:hAnsi="Cambria Math"/>
          </w:rPr>
          <m:t>G(t)</m:t>
        </m:r>
      </m:oMath>
      <w:r>
        <w:rPr>
          <w:rFonts w:hint="eastAsia" w:hAnsi="Cambria Math"/>
        </w:rPr>
        <w:t>趋向稳定。</w:t>
      </w:r>
    </w:p>
    <w:p>
      <w:pPr>
        <w:ind w:firstLine="480"/>
        <w:rPr>
          <w:rFonts w:hAnsi="Cambria Math"/>
        </w:rPr>
      </w:pPr>
      <m:oMath>
        <m:r>
          <m:rPr/>
          <w:rPr>
            <w:rFonts w:ascii="Cambria Math" w:hAnsi="Cambria Math"/>
          </w:rPr>
          <m:t>F(t)</m:t>
        </m:r>
      </m:oMath>
      <w:r>
        <w:rPr>
          <w:rFonts w:hint="eastAsia" w:hAnsi="Cambria Math"/>
        </w:rPr>
        <w:t>主要代表了森林中由于直立树木的存在，而带来的包括娱乐消遣、固碳释氧等相对隐形的价值。一般认为</w:t>
      </w:r>
      <m:oMath>
        <m:r>
          <m:rPr/>
          <w:rPr>
            <w:rFonts w:ascii="Cambria Math" w:hAnsi="Cambria Math"/>
          </w:rPr>
          <m:t>F(t)</m:t>
        </m:r>
      </m:oMath>
      <w:r>
        <w:rPr>
          <w:rFonts w:hint="eastAsia" w:hAnsi="Cambria Math"/>
        </w:rPr>
        <w:t>随</w:t>
      </w:r>
      <m:oMath>
        <m:r>
          <m:rPr/>
          <w:rPr>
            <w:rFonts w:ascii="Cambria Math" w:hAnsi="Cambria Math"/>
          </w:rPr>
          <m:t>t</m:t>
        </m:r>
      </m:oMath>
      <w:r>
        <w:rPr>
          <w:rFonts w:hint="eastAsia" w:hAnsi="Cambria Math"/>
        </w:rPr>
        <w:t>增加始终保持增加，因为老树相较于年轻的树木其生态价值以及观赏价值等往往更高。</w:t>
      </w:r>
    </w:p>
    <w:p>
      <w:pPr>
        <w:ind w:firstLine="480"/>
        <w:rPr>
          <w:rFonts w:hAnsi="Cambria Math"/>
          <w:iCs/>
        </w:rPr>
      </w:pPr>
      <w:r>
        <w:rPr>
          <w:rFonts w:hint="eastAsia" w:hAnsi="Cambria Math"/>
        </w:rPr>
        <w:t>在考虑了折现率后，Hartman给出了</w:t>
      </w:r>
      <w:r>
        <w:rPr>
          <w:rFonts w:hint="eastAsia" w:hAnsi="Cambria Math"/>
          <w:lang w:val="en-US" w:eastAsia="zh-CN"/>
        </w:rPr>
        <w:t>只考虑单</w:t>
      </w:r>
      <w:r>
        <w:rPr>
          <w:rFonts w:hint="eastAsia" w:hAnsi="Cambria Math"/>
        </w:rPr>
        <w:t>一轮伐周期中森林价值</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w:rPr>
          <w:rFonts w:hint="eastAsia" w:hAnsi="Cambria Math"/>
          <w:iCs/>
        </w:rPr>
        <w:t>的计算公式，如式(1</w:t>
      </w:r>
      <w:r>
        <w:rPr>
          <w:rFonts w:hint="eastAsia" w:hAnsi="Cambria Math"/>
          <w:iCs/>
          <w:lang w:val="en-US" w:eastAsia="zh-CN"/>
        </w:rPr>
        <w:t>5</w:t>
      </w:r>
      <w:r>
        <w:rPr>
          <w:rFonts w:hint="eastAsia" w:hAnsi="Cambria Math"/>
          <w:iCs/>
        </w:rPr>
        <w:t>)所示：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Ansi="Cambria Math"/>
                <w:iCs/>
              </w:rPr>
            </w:pPr>
            <m:oMathPara>
              <m:oMath>
                <m:r>
                  <m:rPr/>
                  <w:rPr>
                    <w:rFonts w:ascii="Cambria Math" w:hAnsi="Cambria Math"/>
                  </w:rPr>
                  <m:t>V</m:t>
                </m:r>
                <m:r>
                  <m:rPr/>
                  <w:rPr>
                    <w:rFonts w:hint="default" w:ascii="Cambria Math" w:hAnsi="Cambria Math"/>
                    <w:lang w:val="en-US" w:eastAsia="zh-CN"/>
                  </w:rPr>
                  <m:t>al</m:t>
                </m:r>
                <m:r>
                  <m:rPr/>
                  <w:rPr>
                    <w:rFonts w:ascii="Cambria Math" w:hAnsi="Cambria Math"/>
                  </w:rPr>
                  <m:t>(t)=G(t)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r>
                  <m:rPr/>
                  <w:rPr>
                    <w:rFonts w:ascii="Cambria Math" w:hAnsi="Cambria Math"/>
                  </w:rPr>
                  <m:t>+</m:t>
                </m:r>
                <m:nary>
                  <m:naryPr>
                    <m:limLoc m:val="subSup"/>
                    <m:ctrlPr>
                      <w:rPr>
                        <w:rFonts w:ascii="Cambria Math" w:hAnsi="Cambria Math"/>
                        <w:i/>
                        <w:iCs/>
                      </w:rPr>
                    </m:ctrlPr>
                  </m:naryPr>
                  <m:sub>
                    <m:r>
                      <m:rPr/>
                      <w:rPr>
                        <w:rFonts w:ascii="Cambria Math" w:hAnsi="Cambria Math"/>
                      </w:rPr>
                      <m:t>0</m:t>
                    </m:r>
                    <m:ctrlPr>
                      <w:rPr>
                        <w:rFonts w:ascii="Cambria Math" w:hAnsi="Cambria Math"/>
                        <w:i/>
                        <w:iCs/>
                      </w:rPr>
                    </m:ctrlPr>
                  </m:sub>
                  <m:sup>
                    <m:r>
                      <m:rPr/>
                      <w:rPr>
                        <w:rFonts w:ascii="Cambria Math" w:hAnsi="Cambria Math"/>
                      </w:rPr>
                      <m:t>t</m:t>
                    </m:r>
                    <m:ctrlPr>
                      <w:rPr>
                        <w:rFonts w:ascii="Cambria Math" w:hAnsi="Cambria Math"/>
                        <w:i/>
                        <w:iCs/>
                      </w:rPr>
                    </m:ctrlPr>
                  </m:sup>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−rx</m:t>
                        </m:r>
                        <m:ctrlPr>
                          <w:rPr>
                            <w:rFonts w:ascii="Cambria Math" w:hAnsi="Cambria Math"/>
                            <w:i/>
                            <w:iCs/>
                          </w:rPr>
                        </m:ctrlPr>
                      </m:sup>
                    </m:sSup>
                    <m:r>
                      <m:rPr/>
                      <w:rPr>
                        <w:rFonts w:ascii="Cambria Math" w:hAnsi="Cambria Math"/>
                      </w:rPr>
                      <m:t>F(t)dx</m:t>
                    </m:r>
                    <m:ctrlPr>
                      <w:rPr>
                        <w:rFonts w:ascii="Cambria Math" w:hAnsi="Cambria Math"/>
                        <w:i/>
                        <w:iCs/>
                      </w:rPr>
                    </m:ctrlPr>
                  </m:e>
                </m:nary>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5</w:t>
            </w:r>
            <w:r>
              <w:t>)</w:t>
            </w:r>
          </w:p>
        </w:tc>
      </w:tr>
    </w:tbl>
    <w:p>
      <w:pPr>
        <w:ind w:left="0" w:leftChars="0" w:firstLine="0" w:firstLineChars="0"/>
        <w:rPr>
          <w:rFonts w:hAnsi="Cambria Math"/>
        </w:rPr>
      </w:pPr>
      <w:r>
        <w:rPr>
          <w:rFonts w:hint="eastAsia" w:hAnsi="Cambria Math"/>
          <w:iCs/>
        </w:rPr>
        <w:t>其中</w:t>
      </w:r>
      <m:oMath>
        <m:r>
          <m:rPr/>
          <w:rPr>
            <w:rFonts w:ascii="Cambria Math" w:hAnsi="Cambria Math"/>
          </w:rPr>
          <m:t>r</m:t>
        </m:r>
      </m:oMath>
      <w:r>
        <w:rPr>
          <w:rFonts w:hint="eastAsia" w:hAnsi="Cambria Math"/>
        </w:rPr>
        <w:t>为折现率，</w:t>
      </w:r>
      <m:oMath>
        <m:r>
          <m:rPr/>
          <w:rPr>
            <w:rFonts w:ascii="Cambria Math" w:hAnsi="Cambria Math"/>
          </w:rPr>
          <m:t>t</m:t>
        </m:r>
      </m:oMath>
      <w:r>
        <w:rPr>
          <w:rFonts w:hint="eastAsia" w:hAnsi="Cambria Math"/>
        </w:rPr>
        <w:t>为轮伐周期长度。</w:t>
      </w:r>
    </w:p>
    <w:p>
      <w:pPr>
        <w:ind w:firstLine="480"/>
        <w:rPr>
          <w:rFonts w:hAnsi="Cambria Math"/>
        </w:rPr>
      </w:pPr>
      <w:r>
        <w:rPr>
          <w:rFonts w:hint="eastAsia" w:hAnsi="Cambria Math"/>
          <w:color w:val="00B0F0"/>
        </w:rPr>
        <w:t>在此基础上，如果考虑多轮轮伐，认为每一轮轮伐的周期保持不变，则森林</w:t>
      </w:r>
      <w:r>
        <w:rPr>
          <w:rFonts w:hint="eastAsia" w:hAnsi="Cambria Math"/>
          <w:color w:val="00B0F0"/>
          <w:lang w:val="en-US" w:eastAsia="zh-CN"/>
        </w:rPr>
        <w:t>综合</w:t>
      </w:r>
      <w:r>
        <w:rPr>
          <w:rFonts w:hint="eastAsia" w:hAnsi="Cambria Math"/>
          <w:color w:val="00B0F0"/>
        </w:rPr>
        <w:t>价值可</w:t>
      </w:r>
      <w:r>
        <w:rPr>
          <w:rFonts w:hint="eastAsia" w:hAnsi="Cambria Math"/>
          <w:color w:val="00B0F0"/>
          <w:lang w:val="en-US" w:eastAsia="zh-CN"/>
        </w:rPr>
        <w:t>用</w:t>
      </w:r>
      <w:r>
        <w:rPr>
          <w:rFonts w:hint="eastAsia" w:hAnsi="Cambria Math"/>
          <w:iCs/>
          <w:color w:val="00B0F0"/>
        </w:rPr>
        <w:t>土地期望值</w:t>
      </w:r>
      <m:oMath>
        <m:r>
          <m:rPr/>
          <w:rPr>
            <w:rFonts w:ascii="Cambria Math" w:hAnsi="Cambria Math"/>
            <w:color w:val="00B0F0"/>
          </w:rPr>
          <m:t>LEV(t)</m:t>
        </m:r>
      </m:oMath>
      <w:r>
        <w:rPr>
          <w:rFonts w:hint="eastAsia" w:hAnsi="Cambria Math"/>
          <w:iCs/>
          <w:color w:val="00B0F0"/>
        </w:rPr>
        <w:t>(</w:t>
      </w:r>
      <w:r>
        <w:rPr>
          <w:rFonts w:hAnsi="Cambria Math"/>
          <w:iCs/>
          <w:color w:val="00B0F0"/>
        </w:rPr>
        <w:t>land expected value)</w:t>
      </w:r>
      <w:r>
        <w:rPr>
          <w:rFonts w:hint="eastAsia" w:hAnsi="Cambria Math"/>
          <w:iCs/>
          <w:color w:val="00B0F0"/>
          <w:lang w:val="en-US" w:eastAsia="zh-CN"/>
        </w:rPr>
        <w:t>表示，其计算式</w:t>
      </w:r>
      <w:r>
        <w:rPr>
          <w:rFonts w:hint="eastAsia" w:hAnsi="Cambria Math"/>
          <w:color w:val="00B0F0"/>
        </w:rPr>
        <w:t>如式(1</w:t>
      </w:r>
      <w:r>
        <w:rPr>
          <w:rFonts w:hint="eastAsia" w:hAnsi="Cambria Math"/>
          <w:color w:val="00B0F0"/>
          <w:lang w:val="en-US" w:eastAsia="zh-CN"/>
        </w:rPr>
        <w:t>6</w:t>
      </w:r>
      <w:r>
        <w:rPr>
          <w:rFonts w:hint="eastAsia" w:hAnsi="Cambria Math"/>
          <w:color w:val="00B0F0"/>
        </w:rPr>
        <w:t>)所示：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jc w:val="center"/>
              <w:rPr>
                <w:rFonts w:hAnsi="Cambria Math"/>
                <w:iCs/>
              </w:rPr>
            </w:pPr>
            <m:oMathPara>
              <m:oMath>
                <m:r>
                  <m:rPr/>
                  <w:rPr>
                    <w:rFonts w:ascii="Cambria Math" w:hAnsi="Cambria Math"/>
                    <w:color w:val="auto"/>
                  </w:rPr>
                  <m:t>LEV(t)</m:t>
                </m:r>
                <m:r>
                  <m:rPr/>
                  <w:rPr>
                    <w:rFonts w:ascii="Cambria Math" w:hAnsi="Cambria Math"/>
                  </w:rPr>
                  <m:t>=G(t)[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−2rt</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−3rt</m:t>
                    </m:r>
                    <m:ctrlPr>
                      <w:rPr>
                        <w:rFonts w:ascii="Cambria Math" w:hAnsi="Cambria Math"/>
                        <w:i/>
                        <w:iCs/>
                      </w:rPr>
                    </m:ctrlPr>
                  </m:sup>
                </m:sSup>
                <m:r>
                  <m:rPr/>
                  <w:rPr>
                    <w:rFonts w:ascii="Cambria Math" w:hAnsi="Cambria Math"/>
                  </w:rPr>
                  <m:t>+…]+</m:t>
                </m:r>
                <m:nary>
                  <m:naryPr>
                    <m:limLoc m:val="subSup"/>
                    <m:ctrlPr>
                      <w:rPr>
                        <w:rFonts w:ascii="Cambria Math" w:hAnsi="Cambria Math"/>
                        <w:i/>
                        <w:iCs/>
                      </w:rPr>
                    </m:ctrlPr>
                  </m:naryPr>
                  <m:sub>
                    <m:r>
                      <m:rPr/>
                      <w:rPr>
                        <w:rFonts w:ascii="Cambria Math" w:hAnsi="Cambria Math"/>
                      </w:rPr>
                      <m:t>0</m:t>
                    </m:r>
                    <m:ctrlPr>
                      <w:rPr>
                        <w:rFonts w:ascii="Cambria Math" w:hAnsi="Cambria Math"/>
                        <w:i/>
                        <w:iCs/>
                      </w:rPr>
                    </m:ctrlPr>
                  </m:sub>
                  <m:sup>
                    <m:r>
                      <m:rPr/>
                      <w:rPr>
                        <w:rFonts w:ascii="Cambria Math" w:hAnsi="Cambria Math"/>
                      </w:rPr>
                      <m:t>t</m:t>
                    </m:r>
                    <m:ctrlPr>
                      <w:rPr>
                        <w:rFonts w:ascii="Cambria Math" w:hAnsi="Cambria Math"/>
                        <w:i/>
                        <w:iCs/>
                      </w:rPr>
                    </m:ctrlPr>
                  </m:sup>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−rx</m:t>
                        </m:r>
                        <m:ctrlPr>
                          <w:rPr>
                            <w:rFonts w:ascii="Cambria Math" w:hAnsi="Cambria Math"/>
                            <w:i/>
                            <w:iCs/>
                          </w:rPr>
                        </m:ctrlPr>
                      </m:sup>
                    </m:sSup>
                    <m:r>
                      <m:rPr/>
                      <w:rPr>
                        <w:rFonts w:ascii="Cambria Math" w:hAnsi="Cambria Math"/>
                      </w:rPr>
                      <m:t>F</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dx</m:t>
                    </m:r>
                    <m:d>
                      <m:dPr>
                        <m:begChr m:val="["/>
                        <m:endChr m:val="]"/>
                        <m:ctrlPr>
                          <w:rPr>
                            <w:rFonts w:ascii="Cambria Math" w:hAnsi="Cambria Math"/>
                            <w:i/>
                          </w:rPr>
                        </m:ctrlPr>
                      </m:dPr>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−2rt</m:t>
                            </m:r>
                            <m:ctrlPr>
                              <w:rPr>
                                <w:rFonts w:ascii="Cambria Math" w:hAnsi="Cambria Math"/>
                                <w:i/>
                                <w:iCs/>
                              </w:rPr>
                            </m:ctrlPr>
                          </m:sup>
                        </m:sSup>
                        <m:r>
                          <m:rPr/>
                          <w:rPr>
                            <w:rFonts w:ascii="Cambria Math" w:hAnsi="Cambria Math"/>
                          </w:rPr>
                          <m: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−3rt</m:t>
                            </m:r>
                            <m:ctrlPr>
                              <w:rPr>
                                <w:rFonts w:ascii="Cambria Math" w:hAnsi="Cambria Math"/>
                                <w:i/>
                                <w:iCs/>
                              </w:rPr>
                            </m:ctrlPr>
                          </m:sup>
                        </m:sSup>
                        <m:r>
                          <m:rPr/>
                          <w:rPr>
                            <w:rFonts w:ascii="Cambria Math" w:hAnsi="Cambria Math"/>
                          </w:rPr>
                          <m:t>+…</m:t>
                        </m:r>
                        <m:ctrlPr>
                          <w:rPr>
                            <w:rFonts w:ascii="Cambria Math" w:hAnsi="Cambria Math"/>
                            <w:i/>
                          </w:rPr>
                        </m:ctrlPr>
                      </m:e>
                    </m:d>
                    <m:ctrlPr>
                      <w:rPr>
                        <w:rFonts w:ascii="Cambria Math" w:hAnsi="Cambria Math"/>
                        <w:i/>
                        <w:iCs/>
                      </w:rPr>
                    </m:ctrlPr>
                  </m:e>
                </m:nary>
              </m:oMath>
            </m:oMathPara>
          </w:p>
          <w:p>
            <w:pPr>
              <w:adjustRightInd w:val="0"/>
              <w:snapToGrid w:val="0"/>
              <w:ind w:firstLine="0" w:firstLineChars="0"/>
              <w:rPr>
                <w:rFonts w:hAnsi="Cambria Math"/>
                <w:iCs/>
              </w:rPr>
            </w:pPr>
            <m:oMathPara>
              <m:oMath>
                <m:r>
                  <m:rPr/>
                  <w:rPr>
                    <w:rFonts w:ascii="Cambria Math" w:hAnsi="Cambria Math"/>
                  </w:rPr>
                  <m:t>=</m:t>
                </m:r>
                <m:f>
                  <m:fPr>
                    <m:ctrlPr>
                      <w:rPr>
                        <w:rFonts w:ascii="Cambria Math" w:hAnsi="Cambria Math"/>
                        <w:i/>
                        <w:iCs/>
                      </w:rPr>
                    </m:ctrlPr>
                  </m:fPr>
                  <m:num>
                    <m:r>
                      <m:rPr/>
                      <w:rPr>
                        <w:rFonts w:ascii="Cambria Math" w:hAnsi="Cambria Math"/>
                      </w:rPr>
                      <m:t>G(t)</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r>
                      <m:rPr/>
                      <w:rPr>
                        <w:rFonts w:ascii="Cambria Math" w:hAnsi="Cambria Math"/>
                      </w:rPr>
                      <m:t>+</m:t>
                    </m:r>
                    <m:nary>
                      <m:naryPr>
                        <m:limLoc m:val="subSup"/>
                        <m:ctrlPr>
                          <w:rPr>
                            <w:rFonts w:ascii="Cambria Math" w:hAnsi="Cambria Math"/>
                            <w:i/>
                            <w:iCs/>
                          </w:rPr>
                        </m:ctrlPr>
                      </m:naryPr>
                      <m:sub>
                        <m:r>
                          <m:rPr/>
                          <w:rPr>
                            <w:rFonts w:ascii="Cambria Math" w:hAnsi="Cambria Math"/>
                          </w:rPr>
                          <m:t>0</m:t>
                        </m:r>
                        <m:ctrlPr>
                          <w:rPr>
                            <w:rFonts w:ascii="Cambria Math" w:hAnsi="Cambria Math"/>
                            <w:i/>
                            <w:iCs/>
                          </w:rPr>
                        </m:ctrlPr>
                      </m:sub>
                      <m:sup>
                        <m:r>
                          <m:rPr/>
                          <w:rPr>
                            <w:rFonts w:ascii="Cambria Math" w:hAnsi="Cambria Math"/>
                          </w:rPr>
                          <m:t>t</m:t>
                        </m:r>
                        <m:ctrlPr>
                          <w:rPr>
                            <w:rFonts w:ascii="Cambria Math" w:hAnsi="Cambria Math"/>
                            <w:i/>
                            <w:iCs/>
                          </w:rPr>
                        </m:ctrlPr>
                      </m:sup>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−rx</m:t>
                            </m:r>
                            <m:ctrlPr>
                              <w:rPr>
                                <w:rFonts w:ascii="Cambria Math" w:hAnsi="Cambria Math"/>
                                <w:i/>
                                <w:iCs/>
                              </w:rPr>
                            </m:ctrlPr>
                          </m:sup>
                        </m:sSup>
                        <m:r>
                          <m:rPr/>
                          <w:rPr>
                            <w:rFonts w:ascii="Cambria Math" w:hAnsi="Cambria Math"/>
                          </w:rPr>
                          <m:t>F(t)dx</m:t>
                        </m:r>
                        <m:ctrlPr>
                          <w:rPr>
                            <w:rFonts w:ascii="Cambria Math" w:hAnsi="Cambria Math"/>
                            <w:i/>
                            <w:iCs/>
                          </w:rPr>
                        </m:ctrlPr>
                      </m:e>
                    </m:nary>
                    <m:ctrlPr>
                      <w:rPr>
                        <w:rFonts w:ascii="Cambria Math" w:hAnsi="Cambria Math"/>
                        <w:i/>
                        <w:iCs/>
                      </w:rPr>
                    </m:ctrlPr>
                  </m:num>
                  <m:den>
                    <m:r>
                      <m:rPr/>
                      <w:rPr>
                        <w:rFonts w:ascii="Cambria Math" w:hAnsi="Cambria Math"/>
                      </w:rPr>
                      <m:t>1−</m:t>
                    </m:r>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−rt</m:t>
                        </m:r>
                        <m:ctrlPr>
                          <w:rPr>
                            <w:rFonts w:ascii="Cambria Math" w:hAnsi="Cambria Math"/>
                            <w:i/>
                            <w:iCs/>
                          </w:rPr>
                        </m:ctrlPr>
                      </m:sup>
                    </m:sSup>
                    <m:ctrlPr>
                      <w:rPr>
                        <w:rFonts w:ascii="Cambria Math" w:hAnsi="Cambria Math"/>
                        <w:i/>
                        <w:iCs/>
                      </w:rPr>
                    </m:ctrlPr>
                  </m:den>
                </m:f>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6</w:t>
            </w:r>
            <w:r>
              <w:t>)</w:t>
            </w:r>
          </w:p>
        </w:tc>
      </w:tr>
    </w:tbl>
    <w:p>
      <w:pPr>
        <w:ind w:left="0" w:leftChars="0" w:firstLine="420" w:firstLineChars="0"/>
        <w:rPr>
          <w:rFonts w:hAnsi="Cambria Math"/>
        </w:rPr>
      </w:pPr>
      <w:r>
        <w:rPr>
          <w:rFonts w:hint="eastAsia" w:hAnsi="Cambria Math"/>
          <w:iCs/>
        </w:rPr>
        <w:t>因此</w:t>
      </w:r>
      <w:r>
        <w:rPr>
          <w:rFonts w:hint="eastAsia" w:hAnsi="Cambria Math"/>
          <w:iCs/>
          <w:lang w:eastAsia="zh-CN"/>
        </w:rPr>
        <w:t>，</w:t>
      </w:r>
      <w:r>
        <w:rPr>
          <w:rFonts w:hint="eastAsia" w:hAnsi="Cambria Math"/>
          <w:iCs/>
          <w:lang w:val="en-US" w:eastAsia="zh-CN"/>
        </w:rPr>
        <w:t>我们将</w:t>
      </w:r>
      <m:oMath>
        <m:r>
          <m:rPr/>
          <w:rPr>
            <w:rFonts w:ascii="Cambria Math" w:hAnsi="Cambria Math"/>
            <w:color w:val="auto"/>
          </w:rPr>
          <m:t>LEV(t)</m:t>
        </m:r>
      </m:oMath>
      <w:r>
        <w:rPr>
          <w:rFonts w:hint="eastAsia" w:hAnsi="Cambria Math"/>
          <w:i w:val="0"/>
          <w:color w:val="auto"/>
          <w:lang w:val="en-US" w:eastAsia="zh-CN"/>
        </w:rPr>
        <w:t>设定</w:t>
      </w:r>
      <w:r>
        <w:rPr>
          <w:rFonts w:hint="eastAsia" w:hAnsi="Cambria Math"/>
        </w:rPr>
        <w:t>为目标函数，当</w:t>
      </w:r>
      <m:oMath>
        <m:r>
          <m:rPr/>
          <w:rPr>
            <w:rFonts w:ascii="Cambria Math" w:hAnsi="Cambria Math"/>
            <w:color w:val="auto"/>
          </w:rPr>
          <m:t>LEV(t)</m:t>
        </m:r>
      </m:oMath>
      <w:r>
        <w:rPr>
          <w:rFonts w:hint="eastAsia" w:hAnsi="Cambria Math"/>
        </w:rPr>
        <w:t>取得最大值时，与其对应的</w:t>
      </w:r>
      <m:oMath>
        <m:r>
          <m:rPr/>
          <w:rPr>
            <w:rFonts w:ascii="Cambria Math" w:hAnsi="Cambria Math"/>
          </w:rPr>
          <m:t>t</m:t>
        </m:r>
      </m:oMath>
      <w:r>
        <w:rPr>
          <w:rFonts w:hint="eastAsia" w:hAnsi="Cambria Math"/>
        </w:rPr>
        <w:t>则为最优轮伐周期长度。</w:t>
      </w:r>
    </w:p>
    <w:p>
      <w:pPr>
        <w:pStyle w:val="3"/>
        <w:spacing w:after="163"/>
        <w:rPr>
          <w:rFonts w:hint="eastAsia"/>
          <w:color w:val="4472C4" w:themeColor="accent1"/>
          <w14:textFill>
            <w14:solidFill>
              <w14:schemeClr w14:val="accent1"/>
            </w14:solidFill>
          </w14:textFill>
        </w:rPr>
      </w:pPr>
      <m:oMath>
        <m:r>
          <m:rPr>
            <m:sty m:val="bi"/>
          </m:rPr>
          <w:rPr>
            <w:rFonts w:hint="default" w:ascii="Cambria Math" w:hAnsi="Cambria Math"/>
          </w:rPr>
          <m:t>G(t)</m:t>
        </m:r>
      </m:oMath>
      <w:r>
        <w:rPr>
          <w:rFonts w:hint="eastAsia"/>
        </w:rPr>
        <w:t>与</w:t>
      </w:r>
      <m:oMath>
        <m:r>
          <m:rPr>
            <m:sty m:val="bi"/>
          </m:rPr>
          <w:rPr>
            <w:rFonts w:hint="default" w:ascii="Cambria Math" w:hAnsi="Cambria Math"/>
          </w:rPr>
          <m:t>F(t)</m:t>
        </m:r>
      </m:oMath>
      <w:r>
        <w:rPr>
          <w:rFonts w:hint="eastAsia"/>
          <w:color w:val="auto"/>
        </w:rPr>
        <w:t>的评价指标构成与</w:t>
      </w:r>
      <w:r>
        <w:rPr>
          <w:rFonts w:hint="eastAsia"/>
          <w:color w:val="auto"/>
          <w:lang w:val="en-US" w:eastAsia="zh-CN"/>
        </w:rPr>
        <w:t>各指标</w:t>
      </w:r>
      <w:r>
        <w:rPr>
          <w:rFonts w:hint="eastAsia"/>
          <w:color w:val="auto"/>
        </w:rPr>
        <w:t>价值</w:t>
      </w:r>
      <w:r>
        <w:rPr>
          <w:rFonts w:hint="eastAsia"/>
          <w:color w:val="auto"/>
          <w:lang w:val="en-US" w:eastAsia="zh-CN"/>
        </w:rPr>
        <w:t>的具体</w:t>
      </w:r>
      <w:r>
        <w:rPr>
          <w:rFonts w:hint="eastAsia"/>
          <w:color w:val="auto"/>
        </w:rPr>
        <w:t>评估</w:t>
      </w:r>
    </w:p>
    <w:p>
      <w:pPr>
        <w:ind w:firstLine="480"/>
        <w:jc w:val="center"/>
        <w:rPr>
          <w:color w:val="FF0000"/>
        </w:rPr>
      </w:pPr>
      <w:r>
        <w:rPr>
          <w:rFonts w:hint="eastAsia"/>
          <w:color w:val="FF0000"/>
        </w:rPr>
        <w:t>分类图</w:t>
      </w:r>
    </w:p>
    <w:p>
      <w:pPr>
        <w:ind w:firstLine="480"/>
        <w:jc w:val="center"/>
        <w:rPr>
          <w:color w:val="FF0000"/>
        </w:rPr>
      </w:pPr>
      <w:r>
        <w:rPr>
          <w:rFonts w:hint="eastAsia"/>
          <w:color w:val="FF0000"/>
        </w:rPr>
        <w:t>（下面的缩写、代号可以改最后记得统一）</w:t>
      </w:r>
    </w:p>
    <w:p>
      <w:pPr>
        <w:bidi w:val="0"/>
        <w:rPr>
          <w:rFonts w:hint="eastAsia" w:hAnsi="Cambria Math"/>
          <w:i w:val="0"/>
          <w:lang w:val="en-US" w:eastAsia="zh-CN"/>
        </w:rPr>
      </w:pPr>
      <w:r>
        <w:rPr>
          <w:rFonts w:hint="eastAsia"/>
          <w:lang w:val="en-US" w:eastAsia="zh-CN"/>
        </w:rPr>
        <w:t>经典Hartman模型通过将森林价值浓缩为</w:t>
      </w:r>
      <m:oMath>
        <m:r>
          <m:rPr/>
          <w:rPr>
            <w:rFonts w:ascii="Cambria Math" w:hAnsi="Cambria Math"/>
          </w:rPr>
          <m:t>F(t)</m:t>
        </m:r>
      </m:oMath>
      <w:r>
        <w:rPr>
          <w:rFonts w:hint="eastAsia" w:hAnsi="Cambria Math"/>
          <w:i w:val="0"/>
          <w:lang w:eastAsia="zh-CN"/>
        </w:rPr>
        <w:t>、</w:t>
      </w:r>
      <m:oMath>
        <m:r>
          <m:rPr/>
          <w:rPr>
            <w:rFonts w:ascii="Cambria Math" w:hAnsi="Cambria Math"/>
          </w:rPr>
          <m:t>G(t)</m:t>
        </m:r>
      </m:oMath>
      <w:r>
        <w:rPr>
          <w:rFonts w:hint="eastAsia" w:hAnsi="Cambria Math"/>
          <w:i w:val="0"/>
          <w:lang w:eastAsia="zh-CN"/>
        </w:rPr>
        <w:t>，</w:t>
      </w:r>
      <w:r>
        <w:rPr>
          <w:rFonts w:hint="eastAsia" w:hAnsi="Cambria Math"/>
          <w:i w:val="0"/>
          <w:lang w:val="en-US" w:eastAsia="zh-CN"/>
        </w:rPr>
        <w:t>从而非常简洁地给出了评价方法。但由于Hartman并未直接定义</w:t>
      </w:r>
      <m:oMath>
        <m:r>
          <m:rPr/>
          <w:rPr>
            <w:rFonts w:ascii="Cambria Math" w:hAnsi="Cambria Math"/>
          </w:rPr>
          <m:t>F(t)</m:t>
        </m:r>
      </m:oMath>
      <w:r>
        <w:rPr>
          <w:rFonts w:hint="eastAsia" w:hAnsi="Cambria Math"/>
          <w:i w:val="0"/>
          <w:lang w:eastAsia="zh-CN"/>
        </w:rPr>
        <w:t>、</w:t>
      </w:r>
      <m:oMath>
        <m:r>
          <m:rPr/>
          <w:rPr>
            <w:rFonts w:ascii="Cambria Math" w:hAnsi="Cambria Math"/>
          </w:rPr>
          <m:t>G(t)</m:t>
        </m:r>
      </m:oMath>
      <w:r>
        <w:rPr>
          <w:rFonts w:hint="eastAsia" w:hAnsi="Cambria Math"/>
          <w:i w:val="0"/>
          <w:lang w:val="en-US" w:eastAsia="zh-CN"/>
        </w:rPr>
        <w:t>的表达式，因而Hartman模型并不能直接解决现实问题。</w:t>
      </w:r>
    </w:p>
    <w:p>
      <w:pPr>
        <w:bidi w:val="0"/>
        <w:rPr>
          <w:rFonts w:hint="default" w:hAnsi="Cambria Math"/>
          <w:i w:val="0"/>
          <w:lang w:val="en-US" w:eastAsia="zh-CN"/>
        </w:rPr>
      </w:pPr>
      <w:r>
        <w:rPr>
          <w:rFonts w:hint="eastAsia" w:hAnsi="Cambria Math"/>
          <w:i w:val="0"/>
          <w:lang w:val="en-US" w:eastAsia="zh-CN"/>
        </w:rPr>
        <w:t>实际上，在我们看来，</w:t>
      </w:r>
      <m:oMath>
        <m:r>
          <m:rPr/>
          <w:rPr>
            <w:rFonts w:ascii="Cambria Math" w:hAnsi="Cambria Math"/>
          </w:rPr>
          <m:t>F(t)</m:t>
        </m:r>
      </m:oMath>
      <w:r>
        <w:rPr>
          <w:rFonts w:hint="eastAsia" w:hAnsi="Cambria Math"/>
          <w:i w:val="0"/>
          <w:lang w:eastAsia="zh-CN"/>
        </w:rPr>
        <w:t>、</w:t>
      </w:r>
      <m:oMath>
        <m:r>
          <m:rPr/>
          <w:rPr>
            <w:rFonts w:ascii="Cambria Math" w:hAnsi="Cambria Math"/>
          </w:rPr>
          <m:t>G(t)</m:t>
        </m:r>
      </m:oMath>
      <w:r>
        <w:rPr>
          <w:rFonts w:hint="eastAsia" w:hAnsi="Cambria Math"/>
          <w:i w:val="0"/>
          <w:lang w:val="en-US" w:eastAsia="zh-CN"/>
        </w:rPr>
        <w:t>正是经典Hartman模型最精彩的部分。该模型的使用者可依据主观上侧重的研究方向对</w:t>
      </w:r>
      <m:oMath>
        <m:r>
          <m:rPr/>
          <w:rPr>
            <w:rFonts w:ascii="Cambria Math" w:hAnsi="Cambria Math"/>
          </w:rPr>
          <m:t>F(t)</m:t>
        </m:r>
      </m:oMath>
      <w:r>
        <w:rPr>
          <w:rFonts w:hint="eastAsia" w:hAnsi="Cambria Math"/>
          <w:i w:val="0"/>
          <w:lang w:eastAsia="zh-CN"/>
        </w:rPr>
        <w:t>、</w:t>
      </w:r>
      <m:oMath>
        <m:r>
          <m:rPr/>
          <w:rPr>
            <w:rFonts w:ascii="Cambria Math" w:hAnsi="Cambria Math"/>
          </w:rPr>
          <m:t>G(t)</m:t>
        </m:r>
      </m:oMath>
      <w:r>
        <w:rPr>
          <w:rFonts w:hint="eastAsia" w:hAnsi="Cambria Math"/>
          <w:i w:val="0"/>
          <w:lang w:val="en-US" w:eastAsia="zh-CN"/>
        </w:rPr>
        <w:t>作出自我的定义。对此，我们参照了众多学者不同的侧重方向以及他们对于</w:t>
      </w:r>
      <m:oMath>
        <m:r>
          <m:rPr/>
          <w:rPr>
            <w:rFonts w:ascii="Cambria Math" w:hAnsi="Cambria Math"/>
          </w:rPr>
          <m:t>F(t)</m:t>
        </m:r>
      </m:oMath>
      <w:r>
        <w:rPr>
          <w:rFonts w:hint="eastAsia" w:hAnsi="Cambria Math"/>
          <w:i w:val="0"/>
          <w:lang w:eastAsia="zh-CN"/>
        </w:rPr>
        <w:t>、</w:t>
      </w:r>
      <m:oMath>
        <m:r>
          <m:rPr/>
          <w:rPr>
            <w:rFonts w:ascii="Cambria Math" w:hAnsi="Cambria Math"/>
          </w:rPr>
          <m:t>G(t)</m:t>
        </m:r>
      </m:oMath>
      <w:r>
        <w:rPr>
          <w:rFonts w:hint="eastAsia" w:hAnsi="Cambria Math"/>
          <w:i w:val="0"/>
          <w:lang w:val="en-US" w:eastAsia="zh-CN"/>
        </w:rPr>
        <w:t>的具体阐述，最终给出我们认为能较全面评估森林价值的具体指标，而这些指标对应领域的总和，便是我们评价模型规划森林管理方案的范围</w:t>
      </w:r>
      <w:r>
        <w:rPr>
          <w:rFonts w:hint="eastAsia" w:hAnsi="Cambria Math"/>
          <w:b/>
          <w:bCs/>
          <w:i w:val="0"/>
          <w:lang w:val="en-US" w:eastAsia="zh-CN"/>
        </w:rPr>
        <w:t>(spectrum)</w:t>
      </w:r>
      <w:r>
        <w:rPr>
          <w:rFonts w:hint="eastAsia" w:hAnsi="Cambria Math"/>
          <w:i w:val="0"/>
          <w:lang w:val="en-US" w:eastAsia="zh-CN"/>
        </w:rPr>
        <w:t>。</w:t>
      </w:r>
    </w:p>
    <w:p>
      <w:pPr>
        <w:pStyle w:val="4"/>
      </w:pPr>
      <m:oMath>
        <m:r>
          <m:rPr>
            <m:sty m:val="bi"/>
          </m:rPr>
          <w:rPr>
            <w:rFonts w:ascii="Cambria Math" w:hAnsi="Cambria Math"/>
            <w:szCs w:val="21"/>
          </w:rPr>
          <m:t>G(t)</m:t>
        </m:r>
      </m:oMath>
      <w:r>
        <w:rPr>
          <w:rFonts w:hint="eastAsia" w:hAnsi="Cambria Math"/>
          <w:b/>
          <w:i w:val="0"/>
          <w:szCs w:val="21"/>
          <w:lang w:val="en-US" w:eastAsia="zh-CN"/>
        </w:rPr>
        <w:t>的评价指标</w:t>
      </w:r>
    </w:p>
    <w:p>
      <w:pPr>
        <w:numPr>
          <w:ilvl w:val="0"/>
          <w:numId w:val="13"/>
        </w:numPr>
        <w:ind w:firstLineChars="0"/>
        <w:rPr>
          <w:color w:val="auto"/>
        </w:rPr>
      </w:pPr>
      <w:r>
        <w:rPr>
          <w:rFonts w:hint="eastAsia"/>
          <w:color w:val="auto"/>
        </w:rPr>
        <w:t>木材生产价值（</w:t>
      </w:r>
      <m:oMath>
        <m:r>
          <m:rPr/>
          <w:rPr>
            <w:rFonts w:hint="default" w:ascii="Cambria Math" w:hAnsi="Cambria Math" w:cstheme="minorBidi"/>
            <w:color w:val="auto"/>
            <w:kern w:val="2"/>
            <w:sz w:val="24"/>
            <w:szCs w:val="21"/>
            <w:lang w:val="en-US" w:bidi="ar-SA"/>
          </w:rPr>
          <m:t>TV</m:t>
        </m:r>
      </m:oMath>
      <w:r>
        <w:rPr>
          <w:rFonts w:hint="eastAsia"/>
          <w:color w:val="auto"/>
        </w:rPr>
        <w:t>，</w:t>
      </w:r>
      <w:r>
        <w:rPr>
          <w:color w:val="auto"/>
        </w:rPr>
        <w:t>t</w:t>
      </w:r>
      <w:r>
        <w:rPr>
          <w:rFonts w:hint="eastAsia"/>
          <w:color w:val="auto"/>
        </w:rPr>
        <w:t>imber</w:t>
      </w:r>
      <w:r>
        <w:rPr>
          <w:color w:val="auto"/>
        </w:rPr>
        <w:t xml:space="preserve"> v</w:t>
      </w:r>
      <w:r>
        <w:rPr>
          <w:rFonts w:hint="eastAsia"/>
          <w:color w:val="auto"/>
        </w:rPr>
        <w:t>alue</w:t>
      </w:r>
      <w:r>
        <w:rPr>
          <w:rFonts w:hint="eastAsia"/>
          <w:color w:val="auto"/>
          <w:lang w:eastAsia="zh-CN"/>
        </w:rPr>
        <w:t>）</w:t>
      </w:r>
    </w:p>
    <w:p>
      <w:pPr>
        <w:widowControl w:val="0"/>
        <w:numPr>
          <w:ilvl w:val="0"/>
          <w:numId w:val="0"/>
        </w:numPr>
        <w:ind w:firstLine="420" w:firstLineChars="0"/>
        <w:jc w:val="both"/>
        <w:rPr>
          <w:rFonts w:hint="default" w:eastAsia="宋体"/>
          <w:color w:val="auto"/>
          <w:lang w:val="en-US" w:eastAsia="zh-CN"/>
        </w:rPr>
      </w:pPr>
      <w:r>
        <w:rPr>
          <w:rFonts w:hint="eastAsia"/>
          <w:color w:val="auto"/>
          <w:lang w:val="en-US" w:eastAsia="zh-CN"/>
        </w:rPr>
        <w:t>木材生产价值是立木价值中最传统、最直接的指标，木材作为一种经济产物，它能直接进行销售并获取价值。</w:t>
      </w:r>
      <m:oMath>
        <m:r>
          <m:rPr/>
          <w:rPr>
            <w:rFonts w:hint="default" w:ascii="Cambria Math" w:hAnsi="Cambria Math" w:cstheme="minorBidi"/>
            <w:color w:val="auto"/>
            <w:kern w:val="2"/>
            <w:sz w:val="24"/>
            <w:szCs w:val="21"/>
            <w:lang w:val="en-US" w:bidi="ar-SA"/>
          </w:rPr>
          <m:t>TV</m:t>
        </m:r>
      </m:oMath>
      <w:r>
        <w:rPr>
          <w:rFonts w:hint="eastAsia" w:hAnsi="Cambria Math" w:cstheme="minorBidi"/>
          <w:i w:val="0"/>
          <w:color w:val="auto"/>
          <w:kern w:val="2"/>
          <w:sz w:val="24"/>
          <w:szCs w:val="21"/>
          <w:lang w:val="en-US" w:eastAsia="zh-CN" w:bidi="ar-SA"/>
        </w:rPr>
        <w:t>的具体计算方式如下：</w:t>
      </w:r>
    </w:p>
    <w:p>
      <w:pPr>
        <w:widowControl w:val="0"/>
        <w:numPr>
          <w:ilvl w:val="0"/>
          <w:numId w:val="0"/>
        </w:numPr>
        <w:jc w:val="both"/>
        <w:rPr>
          <w:color w:val="auto"/>
        </w:rPr>
      </w:pPr>
      <m:oMathPara>
        <m:oMath>
          <m:r>
            <m:rPr/>
            <w:rPr>
              <w:rFonts w:ascii="Cambria Math" w:hAnsi="Cambria Math"/>
              <w:color w:val="auto"/>
            </w:rPr>
            <m:t>TV=V(t)×S×TR×Pr</m:t>
          </m:r>
        </m:oMath>
      </m:oMathPara>
    </w:p>
    <w:p>
      <w:pPr>
        <w:ind w:left="0" w:leftChars="0" w:firstLine="0" w:firstLineChars="0"/>
        <w:rPr>
          <w:rFonts w:hint="default" w:eastAsia="宋体"/>
          <w:iCs/>
          <w:color w:val="4472C4" w:themeColor="accent1"/>
          <w:lang w:val="en-US" w:eastAsia="zh-CN"/>
          <w14:textFill>
            <w14:solidFill>
              <w14:schemeClr w14:val="accent1"/>
            </w14:solidFill>
          </w14:textFill>
        </w:rPr>
      </w:pPr>
      <w:r>
        <w:rPr>
          <w:rFonts w:hint="eastAsia"/>
          <w:color w:val="auto"/>
        </w:rPr>
        <w:t>其中</w:t>
      </w:r>
      <m:oMath>
        <m:r>
          <m:rPr/>
          <w:rPr>
            <w:rFonts w:ascii="Cambria Math" w:hAnsi="Cambria Math"/>
            <w:color w:val="auto"/>
          </w:rPr>
          <m:t>V(t)</m:t>
        </m:r>
      </m:oMath>
      <w:r>
        <w:rPr>
          <w:rFonts w:hint="eastAsia"/>
          <w:iCs/>
          <w:color w:val="auto"/>
        </w:rPr>
        <w:t>为单位面积蓄积量，</w:t>
      </w:r>
      <m:oMath>
        <m:r>
          <m:rPr/>
          <w:rPr>
            <w:rFonts w:ascii="Cambria Math" w:hAnsi="Cambria Math"/>
            <w:color w:val="auto"/>
          </w:rPr>
          <m:t>S</m:t>
        </m:r>
      </m:oMath>
      <w:r>
        <w:rPr>
          <w:rFonts w:hint="eastAsia"/>
          <w:iCs/>
          <w:color w:val="auto"/>
        </w:rPr>
        <w:t>为森林总面积(</w:t>
      </w:r>
      <m:oMath>
        <m:r>
          <m:rPr>
            <m:sty m:val="p"/>
          </m:rPr>
          <w:rPr>
            <w:rFonts w:ascii="Cambria Math" w:hAnsi="Cambria Math"/>
            <w:color w:val="auto"/>
          </w:rPr>
          <m:t>h</m:t>
        </m:r>
        <m:sSup>
          <m:sSupPr>
            <m:ctrlPr>
              <w:rPr>
                <w:rFonts w:ascii="Cambria Math" w:hAnsi="Cambria Math"/>
                <w:color w:val="auto"/>
              </w:rPr>
            </m:ctrlPr>
          </m:sSupPr>
          <m:e>
            <m:r>
              <m:rPr>
                <m:sty m:val="p"/>
              </m:rPr>
              <w:rPr>
                <w:rFonts w:ascii="Cambria Math" w:hAnsi="Cambria Math"/>
                <w:color w:val="auto"/>
              </w:rPr>
              <m:t>m</m:t>
            </m:r>
            <m:ctrlPr>
              <w:rPr>
                <w:rFonts w:ascii="Cambria Math" w:hAnsi="Cambria Math"/>
                <w:color w:val="auto"/>
              </w:rPr>
            </m:ctrlPr>
          </m:e>
          <m:sup>
            <m:r>
              <m:rPr>
                <m:sty m:val="p"/>
              </m:rPr>
              <w:rPr>
                <w:rFonts w:ascii="Cambria Math" w:hAnsi="Cambria Math"/>
                <w:color w:val="auto"/>
              </w:rPr>
              <m:t>2</m:t>
            </m:r>
            <m:ctrlPr>
              <w:rPr>
                <w:rFonts w:ascii="Cambria Math" w:hAnsi="Cambria Math"/>
                <w:color w:val="auto"/>
              </w:rPr>
            </m:ctrlPr>
          </m:sup>
        </m:sSup>
        <m:r>
          <m:rPr/>
          <w:rPr>
            <w:rFonts w:ascii="Cambria Math" w:hAnsi="Cambria Math"/>
            <w:color w:val="auto"/>
          </w:rPr>
          <m:t>)</m:t>
        </m:r>
      </m:oMath>
      <w:r>
        <w:rPr>
          <w:rFonts w:hint="eastAsia"/>
          <w:iCs/>
          <w:color w:val="auto"/>
        </w:rPr>
        <w:t>，</w:t>
      </w:r>
      <m:oMath>
        <m:r>
          <m:rPr/>
          <w:rPr>
            <w:rFonts w:ascii="Cambria Math" w:hAnsi="Cambria Math"/>
            <w:color w:val="auto"/>
          </w:rPr>
          <m:t>TR</m:t>
        </m:r>
      </m:oMath>
      <w:r>
        <w:rPr>
          <w:rFonts w:hint="eastAsia"/>
          <w:iCs/>
          <w:color w:val="auto"/>
        </w:rPr>
        <w:t>为开采出材率</w:t>
      </w:r>
      <w:r>
        <w:rPr>
          <w:rFonts w:hint="eastAsia"/>
          <w:iCs/>
          <w:color w:val="auto"/>
          <w:lang w:eastAsia="zh-CN"/>
        </w:rPr>
        <w:t>，</w:t>
      </w:r>
      <w:r>
        <w:rPr>
          <w:rFonts w:hint="eastAsia"/>
          <w:iCs/>
          <w:color w:val="auto"/>
          <w:lang w:val="en-US" w:eastAsia="zh-CN"/>
        </w:rPr>
        <w:t>Pr为单位体积木材的净利润</w:t>
      </w:r>
      <w:r>
        <w:rPr>
          <w:rFonts w:hint="eastAsia"/>
          <w:iCs/>
          <w:color w:val="auto"/>
        </w:rPr>
        <w:t>。</w:t>
      </w:r>
    </w:p>
    <w:p>
      <w:pPr>
        <w:pStyle w:val="19"/>
        <w:numPr>
          <w:ilvl w:val="0"/>
          <w:numId w:val="14"/>
        </w:numPr>
        <w:ind w:firstLineChars="0"/>
        <w:rPr>
          <w:color w:val="4472C4" w:themeColor="accent1"/>
          <w14:textFill>
            <w14:solidFill>
              <w14:schemeClr w14:val="accent1"/>
            </w14:solidFill>
          </w14:textFill>
        </w:rPr>
      </w:pPr>
      <w:r>
        <w:rPr>
          <w:rFonts w:hint="eastAsia"/>
          <w:color w:val="auto"/>
        </w:rPr>
        <w:t>产品碳封存价值（</w:t>
      </w:r>
      <m:oMath>
        <m:r>
          <m:rPr/>
          <w:rPr>
            <w:rFonts w:hint="default" w:ascii="Cambria Math" w:hAnsi="Cambria Math" w:cstheme="minorBidi"/>
            <w:color w:val="auto"/>
            <w:kern w:val="2"/>
            <w:sz w:val="24"/>
            <w:szCs w:val="21"/>
            <w:lang w:val="en-US" w:bidi="ar-SA"/>
          </w:rPr>
          <m:t>CSV</m:t>
        </m:r>
      </m:oMath>
      <w:r>
        <w:rPr>
          <w:rFonts w:hint="eastAsia"/>
          <w:color w:val="auto"/>
        </w:rPr>
        <w:t>，</w:t>
      </w:r>
      <w:r>
        <w:rPr>
          <w:color w:val="auto"/>
        </w:rPr>
        <w:t>carbon sequestration v</w:t>
      </w:r>
      <w:r>
        <w:rPr>
          <w:rFonts w:hint="eastAsia"/>
          <w:color w:val="auto"/>
        </w:rPr>
        <w:t>alue）</w:t>
      </w:r>
    </w:p>
    <w:p>
      <w:pPr>
        <w:pStyle w:val="19"/>
        <w:widowControl w:val="0"/>
        <w:numPr>
          <w:ilvl w:val="0"/>
          <w:numId w:val="0"/>
        </w:numPr>
        <w:ind w:firstLine="420" w:firstLineChars="0"/>
        <w:jc w:val="both"/>
        <w:rPr>
          <w:rFonts w:hint="default" w:eastAsia="宋体"/>
          <w:color w:val="4472C4" w:themeColor="accent1"/>
          <w:lang w:val="en-US" w:eastAsia="zh-CN"/>
          <w14:textFill>
            <w14:solidFill>
              <w14:schemeClr w14:val="accent1"/>
            </w14:solidFill>
          </w14:textFill>
        </w:rPr>
      </w:pPr>
      <m:oMath>
        <m:r>
          <m:rPr/>
          <w:rPr>
            <w:rFonts w:hint="default" w:ascii="Cambria Math" w:hAnsi="Cambria Math" w:cstheme="minorBidi"/>
            <w:color w:val="auto"/>
            <w:kern w:val="2"/>
            <w:sz w:val="24"/>
            <w:szCs w:val="21"/>
            <w:lang w:val="en-US" w:bidi="ar-SA"/>
          </w:rPr>
          <m:t>CSV</m:t>
        </m:r>
      </m:oMath>
      <w:r>
        <w:rPr>
          <w:rFonts w:hint="eastAsia" w:hAnsi="Cambria Math" w:cstheme="minorBidi"/>
          <w:i w:val="0"/>
          <w:color w:val="auto"/>
          <w:kern w:val="2"/>
          <w:sz w:val="24"/>
          <w:szCs w:val="21"/>
          <w:lang w:val="en-US" w:eastAsia="zh-CN" w:bidi="ar-SA"/>
        </w:rPr>
        <w:t>是近年来新增的指标，并且其重要性日益增加。现代社会激增的二氧化碳减排需求以及各地区之间减排空间和成本的巨大差异促使碳交易市场出现。此处我们基于上文中使用Richards曲线得到的森林固碳量，再参考各地分别的碳价，便可将其量化并加入计算。</w:t>
      </w:r>
      <m:oMath>
        <m:r>
          <m:rPr/>
          <w:rPr>
            <w:rFonts w:hint="default" w:ascii="Cambria Math" w:hAnsi="Cambria Math" w:cstheme="minorBidi"/>
            <w:color w:val="auto"/>
            <w:kern w:val="2"/>
            <w:sz w:val="24"/>
            <w:szCs w:val="21"/>
            <w:lang w:val="en-US" w:bidi="ar-SA"/>
          </w:rPr>
          <m:t>CSV</m:t>
        </m:r>
      </m:oMath>
      <w:r>
        <w:rPr>
          <w:rFonts w:hint="eastAsia" w:hAnsi="Cambria Math" w:cstheme="minorBidi"/>
          <w:i w:val="0"/>
          <w:color w:val="auto"/>
          <w:kern w:val="2"/>
          <w:sz w:val="24"/>
          <w:szCs w:val="21"/>
          <w:lang w:val="en-US" w:eastAsia="zh-CN" w:bidi="ar-SA"/>
        </w:rPr>
        <w:t>的具体计算方式如下：</w:t>
      </w:r>
    </w:p>
    <w:p>
      <w:pPr>
        <w:pStyle w:val="19"/>
        <w:numPr>
          <w:ilvl w:val="0"/>
          <w:numId w:val="0"/>
        </w:numPr>
        <w:ind w:leftChars="0"/>
        <w:jc w:val="center"/>
        <w:rPr>
          <w:color w:val="4472C4" w:themeColor="accent1"/>
          <w14:textFill>
            <w14:solidFill>
              <w14:schemeClr w14:val="accent1"/>
            </w14:solidFill>
          </w14:textFill>
        </w:rPr>
      </w:pPr>
      <m:oMathPara>
        <m:oMath>
          <m:r>
            <m:rPr/>
            <w:rPr>
              <w:rFonts w:hint="default" w:ascii="Cambria Math" w:hAnsi="Cambria Math"/>
              <w:color w:val="auto"/>
              <w:lang w:val="en-US" w:eastAsia="zh-CN"/>
            </w:rPr>
            <m:t>CSV</m:t>
          </m:r>
          <m:r>
            <m:rPr/>
            <w:rPr>
              <w:rFonts w:ascii="Cambria Math" w:hAnsi="Cambria Math"/>
              <w:color w:val="auto"/>
            </w:rPr>
            <m:t>=c(t)×S×Pc</m:t>
          </m:r>
        </m:oMath>
      </m:oMathPara>
    </w:p>
    <w:p>
      <w:pPr>
        <w:ind w:left="0" w:leftChars="0" w:firstLine="0" w:firstLineChars="0"/>
        <w:rPr>
          <w:rFonts w:hint="eastAsia"/>
          <w:color w:val="auto"/>
        </w:rPr>
      </w:pPr>
      <w:r>
        <w:rPr>
          <w:rFonts w:hint="eastAsia" w:hAnsi="Cambria Math"/>
          <w:i w:val="0"/>
          <w:color w:val="auto"/>
          <w:lang w:val="en-US" w:eastAsia="zh-CN"/>
        </w:rPr>
        <w:t>其中</w:t>
      </w:r>
      <m:oMath>
        <m:r>
          <m:rPr/>
          <w:rPr>
            <w:rFonts w:ascii="Cambria Math" w:hAnsi="Cambria Math"/>
            <w:color w:val="auto"/>
          </w:rPr>
          <m:t>c(t)</m:t>
        </m:r>
      </m:oMath>
      <w:r>
        <w:rPr>
          <w:rFonts w:hint="eastAsia"/>
          <w:color w:val="auto"/>
        </w:rPr>
        <w:t>为单位</w:t>
      </w:r>
      <w:r>
        <w:rPr>
          <w:rFonts w:hint="eastAsia"/>
          <w:color w:val="auto"/>
          <w:lang w:val="en-US" w:eastAsia="zh-CN"/>
        </w:rPr>
        <w:t>面积</w:t>
      </w:r>
      <w:r>
        <w:rPr>
          <w:rFonts w:hint="eastAsia"/>
          <w:color w:val="auto"/>
        </w:rPr>
        <w:t>固碳量，</w:t>
      </w:r>
      <m:oMath>
        <m:r>
          <m:rPr/>
          <w:rPr>
            <w:rFonts w:hint="default" w:ascii="Cambria Math" w:hAnsi="Cambria Math" w:cstheme="minorBidi"/>
            <w:color w:val="auto"/>
            <w:kern w:val="2"/>
            <w:sz w:val="24"/>
            <w:szCs w:val="21"/>
            <w:lang w:val="en-US" w:bidi="ar-SA"/>
          </w:rPr>
          <m:t>Pc</m:t>
        </m:r>
      </m:oMath>
      <w:r>
        <w:rPr>
          <w:rFonts w:hint="eastAsia"/>
          <w:color w:val="auto"/>
        </w:rPr>
        <w:t>为</w:t>
      </w:r>
      <w:r>
        <w:rPr>
          <w:rFonts w:hint="eastAsia"/>
          <w:color w:val="auto"/>
          <w:lang w:val="en-US" w:eastAsia="zh-CN"/>
        </w:rPr>
        <w:t>当地</w:t>
      </w:r>
      <w:r>
        <w:rPr>
          <w:rFonts w:hint="eastAsia"/>
          <w:color w:val="auto"/>
        </w:rPr>
        <w:t>碳价。</w:t>
      </w:r>
    </w:p>
    <w:p>
      <w:pPr>
        <w:pStyle w:val="4"/>
      </w:pPr>
      <m:oMath>
        <m:r>
          <m:rPr>
            <m:sty m:val="bi"/>
          </m:rPr>
          <w:rPr>
            <w:rFonts w:ascii="Cambria Math" w:hAnsi="Cambria Math"/>
            <w:szCs w:val="21"/>
          </w:rPr>
          <m:t>F(t)</m:t>
        </m:r>
      </m:oMath>
      <w:r>
        <w:rPr>
          <w:rFonts w:hint="eastAsia" w:hAnsi="Cambria Math"/>
          <w:b/>
          <w:i w:val="0"/>
          <w:szCs w:val="21"/>
          <w:lang w:val="en-US" w:eastAsia="zh-CN"/>
        </w:rPr>
        <w:t>的评价指标</w:t>
      </w:r>
    </w:p>
    <w:p>
      <w:pPr>
        <w:numPr>
          <w:ilvl w:val="0"/>
          <w:numId w:val="15"/>
        </w:numPr>
        <w:ind w:firstLineChars="0"/>
        <w:rPr>
          <w:color w:val="auto"/>
        </w:rPr>
      </w:pPr>
      <w:r>
        <w:rPr>
          <w:rFonts w:hint="eastAsia" w:hAnsi="Cambria Math"/>
          <w:color w:val="auto"/>
        </w:rPr>
        <w:t>水土涵养价值（</w:t>
      </w:r>
      <m:oMath>
        <m:r>
          <m:rPr/>
          <w:rPr>
            <w:rFonts w:hint="default" w:ascii="Cambria Math" w:hAnsi="Cambria Math" w:cstheme="minorBidi"/>
            <w:color w:val="auto"/>
            <w:kern w:val="2"/>
            <w:sz w:val="24"/>
            <w:szCs w:val="21"/>
            <w:lang w:val="en-US" w:bidi="ar-SA"/>
          </w:rPr>
          <m:t>WV</m:t>
        </m:r>
      </m:oMath>
      <w:r>
        <w:rPr>
          <w:rFonts w:hint="eastAsia" w:hAnsi="Cambria Math"/>
          <w:color w:val="auto"/>
        </w:rPr>
        <w:t>，water</w:t>
      </w:r>
      <w:r>
        <w:rPr>
          <w:rFonts w:hAnsi="Cambria Math"/>
          <w:color w:val="auto"/>
        </w:rPr>
        <w:t xml:space="preserve"> </w:t>
      </w:r>
      <w:r>
        <w:rPr>
          <w:rFonts w:hint="eastAsia" w:hAnsi="Cambria Math"/>
          <w:color w:val="auto"/>
        </w:rPr>
        <w:t>value）</w:t>
      </w:r>
    </w:p>
    <w:p>
      <w:pPr>
        <w:bidi w:val="0"/>
        <w:rPr>
          <w:rFonts w:hint="eastAsia"/>
        </w:rPr>
      </w:pPr>
      <w:r>
        <w:rPr>
          <w:rFonts w:hint="eastAsia"/>
        </w:rPr>
        <w:t>该项指标影响因素比较复杂，与森林所在的经度</w:t>
      </w:r>
      <m:oMath>
        <m:r>
          <m:rPr/>
          <w:rPr>
            <w:rFonts w:hint="default" w:ascii="Cambria Math" w:hAnsi="Cambria Math" w:cstheme="minorBidi"/>
            <w:kern w:val="2"/>
            <w:sz w:val="24"/>
            <w:szCs w:val="21"/>
            <w:lang w:val="en-US" w:bidi="ar-SA"/>
          </w:rPr>
          <m:t>Lo</m:t>
        </m:r>
      </m:oMath>
      <w:r>
        <w:rPr>
          <w:rFonts w:hint="eastAsia" w:hAnsi="Cambria Math" w:cstheme="minorBidi"/>
          <w:i w:val="0"/>
          <w:iCs/>
          <w:kern w:val="2"/>
          <w:sz w:val="24"/>
          <w:szCs w:val="21"/>
          <w:lang w:val="en-US" w:eastAsia="zh-CN" w:bidi="ar-SA"/>
        </w:rPr>
        <w:t>(</w:t>
      </w:r>
      <w:r>
        <w:rPr>
          <w:rFonts w:hint="eastAsia"/>
        </w:rPr>
        <w:t>°</w:t>
      </w:r>
      <w:r>
        <w:rPr>
          <w:rFonts w:hint="eastAsia"/>
          <w:lang w:val="en-US" w:eastAsia="zh-CN"/>
        </w:rPr>
        <w:t>)和</w:t>
      </w:r>
      <w:r>
        <w:rPr>
          <w:rFonts w:hint="eastAsia"/>
        </w:rPr>
        <w:t>纬度</w:t>
      </w:r>
      <m:oMath>
        <m:r>
          <m:rPr/>
          <w:rPr>
            <w:rFonts w:hint="default" w:ascii="Cambria Math" w:hAnsi="Cambria Math" w:cstheme="minorBidi"/>
            <w:kern w:val="2"/>
            <w:sz w:val="24"/>
            <w:szCs w:val="21"/>
            <w:lang w:val="en-US" w:bidi="ar-SA"/>
          </w:rPr>
          <m:t>La</m:t>
        </m:r>
      </m:oMath>
      <w:r>
        <w:rPr>
          <w:rFonts w:hint="eastAsia" w:hAnsi="Cambria Math" w:cstheme="minorBidi"/>
          <w:i w:val="0"/>
          <w:iCs/>
          <w:kern w:val="2"/>
          <w:sz w:val="24"/>
          <w:szCs w:val="21"/>
          <w:lang w:val="en-US" w:eastAsia="zh-CN" w:bidi="ar-SA"/>
        </w:rPr>
        <w:t>(</w:t>
      </w:r>
      <w:r>
        <w:rPr>
          <w:rFonts w:hint="eastAsia"/>
        </w:rPr>
        <w:t>°</w:t>
      </w:r>
      <w:r>
        <w:rPr>
          <w:rFonts w:hint="eastAsia"/>
          <w:lang w:val="en-US" w:eastAsia="zh-CN"/>
        </w:rPr>
        <w:t>)</w:t>
      </w:r>
      <w:r>
        <w:rPr>
          <w:rFonts w:hint="eastAsia"/>
        </w:rPr>
        <w:t>，年平均降水量</w:t>
      </w:r>
      <m:oMath>
        <m:r>
          <m:rPr/>
          <w:rPr>
            <w:rFonts w:hint="default" w:ascii="Cambria Math" w:hAnsi="Cambria Math" w:cstheme="minorBidi"/>
            <w:kern w:val="2"/>
            <w:sz w:val="24"/>
            <w:szCs w:val="21"/>
            <w:lang w:val="en-US" w:bidi="ar-SA"/>
          </w:rPr>
          <m:t>Rain</m:t>
        </m:r>
      </m:oMath>
      <w:r>
        <w:rPr>
          <w:rFonts w:hint="eastAsia"/>
          <w:lang w:val="en-US" w:eastAsia="zh-CN"/>
        </w:rPr>
        <w:t>(</w:t>
      </w:r>
      <w:r>
        <w:rPr>
          <w:rFonts w:hint="eastAsia"/>
        </w:rPr>
        <w:t>m</w:t>
      </w:r>
      <w:r>
        <w:t>m</w:t>
      </w:r>
      <w:r>
        <w:rPr>
          <w:rFonts w:hint="eastAsia"/>
          <w:lang w:val="en-US" w:eastAsia="zh-CN"/>
        </w:rPr>
        <w:t>)</w:t>
      </w:r>
      <w:r>
        <w:rPr>
          <w:rFonts w:hint="eastAsia"/>
        </w:rPr>
        <w:t>，年平均风速</w:t>
      </w:r>
      <m:oMath>
        <m:r>
          <m:rPr/>
          <w:rPr>
            <w:rFonts w:hint="default" w:ascii="Cambria Math" w:hAnsi="Cambria Math" w:cstheme="minorBidi"/>
            <w:kern w:val="2"/>
            <w:sz w:val="24"/>
            <w:szCs w:val="21"/>
            <w:lang w:val="en-US" w:bidi="ar-SA"/>
          </w:rPr>
          <m:t>Wind</m:t>
        </m:r>
      </m:oMath>
      <w:r>
        <w:rPr>
          <w:rFonts w:hint="eastAsia" w:hAnsi="Cambria Math" w:cstheme="minorBidi"/>
          <w:i w:val="0"/>
          <w:iCs/>
          <w:kern w:val="2"/>
          <w:sz w:val="24"/>
          <w:szCs w:val="21"/>
          <w:lang w:val="en-US" w:eastAsia="zh-CN" w:bidi="ar-SA"/>
        </w:rPr>
        <w:t>(</w:t>
      </w:r>
      <w:r>
        <w:rPr>
          <w:rFonts w:hint="eastAsia"/>
        </w:rPr>
        <w:t>m/s</w:t>
      </w:r>
      <w:r>
        <w:rPr>
          <w:rFonts w:hint="eastAsia"/>
          <w:lang w:val="en-US" w:eastAsia="zh-CN"/>
        </w:rPr>
        <w:t>)</w:t>
      </w:r>
      <w:r>
        <w:rPr>
          <w:rFonts w:hint="eastAsia"/>
        </w:rPr>
        <w:t>，平均海拔</w:t>
      </w:r>
      <m:oMath>
        <m:r>
          <m:rPr/>
          <w:rPr>
            <w:rFonts w:hint="default" w:ascii="Cambria Math" w:hAnsi="Cambria Math" w:cstheme="minorBidi"/>
            <w:kern w:val="2"/>
            <w:sz w:val="24"/>
            <w:szCs w:val="21"/>
            <w:lang w:val="en-US" w:bidi="ar-SA"/>
          </w:rPr>
          <m:t>Al</m:t>
        </m:r>
      </m:oMath>
      <w:r>
        <w:rPr>
          <w:rFonts w:hint="eastAsia" w:hAnsi="Cambria Math" w:cstheme="minorBidi"/>
          <w:i w:val="0"/>
          <w:iCs/>
          <w:kern w:val="2"/>
          <w:sz w:val="24"/>
          <w:szCs w:val="21"/>
          <w:lang w:val="en-US" w:eastAsia="zh-CN" w:bidi="ar-SA"/>
        </w:rPr>
        <w:t>(m)</w:t>
      </w:r>
      <w:r>
        <w:rPr>
          <w:rFonts w:hint="eastAsia"/>
        </w:rPr>
        <w:t>，蓄积量</w:t>
      </w:r>
      <m:oMath>
        <m:r>
          <m:rPr>
            <m:sty m:val="p"/>
          </m:rPr>
          <w:rPr>
            <w:rFonts w:ascii="Cambria Math" w:hAnsi="Cambria Math"/>
          </w:rPr>
          <m:t>V(t)</m:t>
        </m:r>
      </m:oMath>
      <w:r>
        <w:rPr>
          <w:rFonts w:hint="eastAsia"/>
        </w:rPr>
        <w:t>有关。通过回归分析</w:t>
      </w:r>
      <w:r>
        <w:rPr>
          <w:rFonts w:hint="eastAsia"/>
          <w:lang w:val="en-US" w:eastAsia="zh-CN"/>
        </w:rPr>
        <w:t>,</w:t>
      </w:r>
      <w:r>
        <w:rPr>
          <w:rFonts w:hint="eastAsia"/>
        </w:rPr>
        <w:t>我们可以得到一个经验公式</w:t>
      </w:r>
      <w:r>
        <w:rPr>
          <w:rFonts w:hint="eastAsia"/>
          <w:color w:val="FF0000"/>
        </w:rPr>
        <w:t>[文献</w:t>
      </w:r>
      <w:r>
        <w:rPr>
          <w:color w:val="FF0000"/>
        </w:rPr>
        <w:t>]</w:t>
      </w:r>
      <w:r>
        <w:rPr>
          <w:rFonts w:hint="eastAsia"/>
        </w:rPr>
        <w:t>：</w:t>
      </w:r>
    </w:p>
    <w:p>
      <w:pPr>
        <w:bidi w:val="0"/>
        <w:rPr>
          <w:rFonts w:hint="default" w:hAnsi="Cambria Math" w:eastAsia="宋体"/>
          <w:i w:val="0"/>
          <w:color w:val="auto"/>
          <w:lang w:val="en-US" w:eastAsia="zh-CN"/>
        </w:rPr>
      </w:pPr>
      <m:oMathPara>
        <m:oMath>
          <m:r>
            <m:rPr/>
            <w:rPr>
              <w:rFonts w:ascii="Cambria Math" w:hAnsi="Cambria Math"/>
              <w:color w:val="auto"/>
            </w:rPr>
            <m:t>WV=116.599−0.0629Lo−1.4154La−0.0203Al−0.0004Rain−9.8838Wind−0.0008V(t)×S</m:t>
          </m:r>
        </m:oMath>
      </m:oMathPara>
    </w:p>
    <w:p>
      <w:pPr>
        <w:numPr>
          <w:ilvl w:val="0"/>
          <w:numId w:val="15"/>
        </w:numPr>
        <w:ind w:firstLineChars="0"/>
        <w:rPr>
          <w:color w:val="auto"/>
        </w:rPr>
      </w:pPr>
      <w:r>
        <w:rPr>
          <w:rFonts w:hint="eastAsia" w:hAnsi="Cambria Math"/>
          <w:color w:val="auto"/>
        </w:rPr>
        <w:t>休闲娱乐价值（</w:t>
      </w:r>
      <m:oMath>
        <m:r>
          <m:rPr/>
          <w:rPr>
            <w:rFonts w:hint="default" w:ascii="Cambria Math" w:hAnsi="Cambria Math" w:cstheme="minorBidi"/>
            <w:color w:val="auto"/>
            <w:kern w:val="2"/>
            <w:sz w:val="24"/>
            <w:szCs w:val="21"/>
            <w:lang w:val="en-US" w:bidi="ar-SA"/>
          </w:rPr>
          <m:t>EV</m:t>
        </m:r>
      </m:oMath>
      <w:r>
        <w:rPr>
          <w:rFonts w:hint="eastAsia" w:hAnsi="Cambria Math"/>
          <w:color w:val="auto"/>
        </w:rPr>
        <w:t>，entertainment</w:t>
      </w:r>
      <w:r>
        <w:rPr>
          <w:rFonts w:hAnsi="Cambria Math"/>
          <w:color w:val="auto"/>
        </w:rPr>
        <w:t xml:space="preserve"> </w:t>
      </w:r>
      <w:r>
        <w:rPr>
          <w:rFonts w:hint="eastAsia" w:hAnsi="Cambria Math"/>
          <w:color w:val="auto"/>
        </w:rPr>
        <w:t>value）</w:t>
      </w:r>
    </w:p>
    <w:p>
      <w:pPr>
        <w:widowControl w:val="0"/>
        <w:numPr>
          <w:ilvl w:val="0"/>
          <w:numId w:val="0"/>
        </w:numPr>
        <w:ind w:firstLine="420" w:firstLineChars="0"/>
        <w:jc w:val="both"/>
        <w:rPr>
          <w:rFonts w:hint="default" w:eastAsia="宋体"/>
          <w:color w:val="auto"/>
          <w:lang w:val="en-US" w:eastAsia="zh-CN"/>
        </w:rPr>
      </w:pPr>
      <w:r>
        <w:rPr>
          <w:rFonts w:hint="eastAsia"/>
          <w:color w:val="auto"/>
          <w:lang w:val="en-US" w:eastAsia="zh-CN"/>
        </w:rPr>
        <w:t>森林的娱乐价值为森林隐形价值中重要的一部分，娱乐活动可包含旅游观光、休闲打猎等。目前，主要面向旅客开放的森林均有较为成熟的管理体系，其娱乐价值可通过旅游与休闲服务的统计数据进行估计。</w:t>
      </w:r>
      <m:oMath>
        <m:r>
          <m:rPr/>
          <w:rPr>
            <w:rFonts w:hint="default" w:ascii="Cambria Math" w:hAnsi="Cambria Math" w:cstheme="minorBidi"/>
            <w:color w:val="auto"/>
            <w:kern w:val="2"/>
            <w:sz w:val="24"/>
            <w:szCs w:val="21"/>
            <w:lang w:val="en-US" w:bidi="ar-SA"/>
          </w:rPr>
          <m:t>EV</m:t>
        </m:r>
      </m:oMath>
      <w:r>
        <w:rPr>
          <w:rFonts w:hint="eastAsia" w:hAnsi="Cambria Math" w:cstheme="minorBidi"/>
          <w:i w:val="0"/>
          <w:color w:val="auto"/>
          <w:kern w:val="2"/>
          <w:sz w:val="24"/>
          <w:szCs w:val="21"/>
          <w:lang w:val="en-US" w:eastAsia="zh-CN" w:bidi="ar-SA"/>
        </w:rPr>
        <w:t>的具体计算方式如下：</w:t>
      </w:r>
    </w:p>
    <w:p>
      <w:pPr>
        <w:numPr>
          <w:ilvl w:val="0"/>
          <w:numId w:val="0"/>
        </w:numPr>
        <w:ind w:leftChars="0"/>
        <w:rPr>
          <w:color w:val="auto"/>
        </w:rPr>
      </w:pPr>
      <m:oMathPara>
        <m:oMath>
          <m:r>
            <m:rPr/>
            <w:rPr>
              <w:rFonts w:ascii="Cambria Math" w:hAnsi="Cambria Math"/>
              <w:color w:val="auto"/>
            </w:rPr>
            <m:t>EV=EP×V(t)×S</m:t>
          </m:r>
        </m:oMath>
      </m:oMathPara>
    </w:p>
    <w:p>
      <w:pPr>
        <w:ind w:left="0" w:leftChars="0" w:firstLine="0" w:firstLineChars="0"/>
        <w:rPr>
          <w:color w:val="auto"/>
        </w:rPr>
      </w:pPr>
      <w:r>
        <w:rPr>
          <w:rFonts w:hint="eastAsia"/>
          <w:color w:val="auto"/>
        </w:rPr>
        <w:t>其中</w:t>
      </w:r>
      <m:oMath>
        <m:r>
          <m:rPr/>
          <w:rPr>
            <w:rFonts w:hint="default" w:ascii="Cambria Math" w:hAnsi="Cambria Math" w:cstheme="minorBidi"/>
            <w:color w:val="auto"/>
            <w:kern w:val="2"/>
            <w:sz w:val="24"/>
            <w:szCs w:val="21"/>
            <w:lang w:val="en-US" w:bidi="ar-SA"/>
          </w:rPr>
          <m:t>EP</m:t>
        </m:r>
      </m:oMath>
      <w:r>
        <w:rPr>
          <w:rFonts w:hint="eastAsia"/>
          <w:color w:val="auto"/>
        </w:rPr>
        <w:t>为单位蓄积量林业旅游与休闲服务产值。</w:t>
      </w:r>
    </w:p>
    <w:p>
      <w:pPr>
        <w:numPr>
          <w:ilvl w:val="0"/>
          <w:numId w:val="15"/>
        </w:numPr>
        <w:ind w:firstLineChars="0"/>
        <w:rPr>
          <w:color w:val="auto"/>
        </w:rPr>
      </w:pPr>
      <w:r>
        <w:rPr>
          <w:rFonts w:hint="eastAsia" w:hAnsi="Cambria Math"/>
          <w:color w:val="auto"/>
        </w:rPr>
        <w:t>固碳释氧价值（</w:t>
      </w:r>
      <m:oMath>
        <m:r>
          <m:rPr/>
          <w:rPr>
            <w:rFonts w:hint="default" w:ascii="Cambria Math" w:hAnsi="Cambria Math"/>
            <w:color w:val="auto"/>
            <w:lang w:val="en-US" w:eastAsia="zh-CN"/>
          </w:rPr>
          <m:t>O</m:t>
        </m:r>
        <m:r>
          <m:rPr/>
          <w:rPr>
            <w:rFonts w:hint="default" w:ascii="Cambria Math" w:hAnsi="Cambria Math" w:cstheme="minorBidi"/>
            <w:color w:val="auto"/>
            <w:kern w:val="2"/>
            <w:sz w:val="24"/>
            <w:szCs w:val="21"/>
            <w:lang w:val="en-US" w:bidi="ar-SA"/>
          </w:rPr>
          <m:t>V</m:t>
        </m:r>
      </m:oMath>
      <w:r>
        <w:rPr>
          <w:rFonts w:hint="eastAsia" w:hAnsi="Cambria Math"/>
          <w:color w:val="auto"/>
        </w:rPr>
        <w:t>，</w:t>
      </w:r>
      <w:r>
        <w:rPr>
          <w:rFonts w:hint="eastAsia" w:hAnsi="Cambria Math"/>
          <w:color w:val="auto"/>
          <w:lang w:val="en-US" w:eastAsia="zh-CN"/>
        </w:rPr>
        <w:t>oxygen</w:t>
      </w:r>
      <w:r>
        <w:rPr>
          <w:rFonts w:hAnsi="Cambria Math"/>
          <w:color w:val="auto"/>
        </w:rPr>
        <w:t xml:space="preserve"> </w:t>
      </w:r>
      <w:r>
        <w:rPr>
          <w:rFonts w:hint="eastAsia" w:hAnsi="Cambria Math"/>
          <w:color w:val="auto"/>
        </w:rPr>
        <w:t>value）</w:t>
      </w:r>
    </w:p>
    <w:p>
      <w:pPr>
        <w:widowControl w:val="0"/>
        <w:numPr>
          <w:ilvl w:val="0"/>
          <w:numId w:val="0"/>
        </w:numPr>
        <w:ind w:firstLine="420" w:firstLineChars="0"/>
        <w:jc w:val="both"/>
        <w:rPr>
          <w:rFonts w:hint="default" w:eastAsia="宋体"/>
          <w:color w:val="auto"/>
          <w:lang w:val="en-US" w:eastAsia="zh-CN"/>
        </w:rPr>
      </w:pPr>
      <w:r>
        <w:rPr>
          <w:rFonts w:hint="eastAsia" w:hAnsi="Cambria Math"/>
          <w:color w:val="auto"/>
          <w:lang w:val="en-US" w:eastAsia="zh-CN"/>
        </w:rPr>
        <w:t>森林作为地球上重要的生态系统，其生态价值十分庞大，目前学术界并未对森林的生态价值有较为统一的界定。但实际上，我们模型的侧重点并不在于评估森林的生态价值，而仅是希望将其纳入考虑范围。因而我们选择了生态价值中较为重要的固碳释氧价值作为</w:t>
      </w:r>
      <m:oMath>
        <m:r>
          <m:rPr/>
          <w:rPr>
            <w:rFonts w:hint="default" w:ascii="Cambria Math" w:hAnsi="Cambria Math"/>
            <w:szCs w:val="21"/>
          </w:rPr>
          <m:t>F(t)</m:t>
        </m:r>
      </m:oMath>
      <w:r>
        <w:rPr>
          <w:rFonts w:hint="eastAsia" w:hAnsi="Cambria Math"/>
          <w:b w:val="0"/>
          <w:bCs/>
          <w:i w:val="0"/>
          <w:szCs w:val="21"/>
          <w:lang w:val="en-US" w:eastAsia="zh-CN"/>
        </w:rPr>
        <w:t>的其中一个指标。</w:t>
      </w:r>
      <m:oMath>
        <m:r>
          <m:rPr/>
          <w:rPr>
            <w:rFonts w:ascii="Cambria Math" w:hAnsi="Cambria Math"/>
            <w:color w:val="auto"/>
          </w:rPr>
          <m:t>WV</m:t>
        </m:r>
      </m:oMath>
      <w:r>
        <w:rPr>
          <w:rFonts w:hint="eastAsia" w:hAnsi="Cambria Math" w:cstheme="minorBidi"/>
          <w:i w:val="0"/>
          <w:color w:val="auto"/>
          <w:kern w:val="2"/>
          <w:sz w:val="24"/>
          <w:szCs w:val="21"/>
          <w:lang w:val="en-US" w:eastAsia="zh-CN" w:bidi="ar-SA"/>
        </w:rPr>
        <w:t>的具体计算方式如下：</w:t>
      </w:r>
    </w:p>
    <w:p>
      <w:pPr>
        <w:widowControl w:val="0"/>
        <w:numPr>
          <w:ilvl w:val="0"/>
          <w:numId w:val="0"/>
        </w:numPr>
        <w:jc w:val="both"/>
        <w:rPr>
          <w:color w:val="auto"/>
        </w:rPr>
      </w:pPr>
      <m:oMathPara>
        <m:oMath>
          <m:r>
            <m:rPr/>
            <w:rPr>
              <w:rFonts w:ascii="Cambria Math" w:hAnsi="Cambria Math"/>
              <w:color w:val="auto"/>
            </w:rPr>
            <m:t>WV=S×M(t)×Pc+S×R(t)×Po</m:t>
          </m:r>
        </m:oMath>
      </m:oMathPara>
    </w:p>
    <w:p>
      <w:pPr>
        <w:bidi w:val="0"/>
        <w:ind w:left="0" w:leftChars="0" w:firstLine="0" w:firstLineChars="0"/>
        <w:rPr>
          <w:rFonts w:hint="eastAsia" w:eastAsia="宋体"/>
          <w:lang w:eastAsia="zh-CN"/>
        </w:rPr>
      </w:pPr>
      <w:r>
        <w:rPr>
          <w:rFonts w:hint="eastAsia" w:hAnsi="Cambria Math"/>
          <w:i w:val="0"/>
          <w:lang w:val="en-US" w:eastAsia="zh-CN"/>
        </w:rPr>
        <w:t>其中</w:t>
      </w:r>
      <m:oMath>
        <m:r>
          <m:rPr/>
          <w:rPr>
            <w:rFonts w:hint="default" w:ascii="Cambria Math" w:hAnsi="Cambria Math"/>
          </w:rPr>
          <m:t>M(t)</m:t>
        </m:r>
      </m:oMath>
      <w:r>
        <w:rPr>
          <w:rFonts w:hint="eastAsia"/>
        </w:rPr>
        <w:t>为单位面积二氧化碳吸收量</w:t>
      </w:r>
      <m:oMath>
        <m:r>
          <m:rPr>
            <m:sty m:val="p"/>
          </m:rPr>
          <w:rPr>
            <w:rFonts w:ascii="Cambria Math" w:hAnsi="Cambria Math"/>
          </w:rPr>
          <m:t>(t/h</m:t>
        </m:r>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oMath>
      <w:r>
        <w:rPr>
          <w:rFonts w:hint="eastAsia"/>
        </w:rPr>
        <w:t>，</w:t>
      </w:r>
      <m:oMath>
        <m:r>
          <m:rPr>
            <m:sty m:val="p"/>
          </m:rPr>
          <w:rPr>
            <w:rFonts w:ascii="Cambria Math" w:hAnsi="Cambria Math"/>
          </w:rPr>
          <m:t>R(t)</m:t>
        </m:r>
      </m:oMath>
      <w:r>
        <w:rPr>
          <w:rFonts w:hint="eastAsia"/>
        </w:rPr>
        <w:t>为单位面积释氧量，</w:t>
      </w:r>
      <m:oMath>
        <m:r>
          <m:rPr>
            <m:sty m:val="p"/>
          </m:rPr>
          <w:rPr>
            <w:rFonts w:ascii="Cambria Math" w:hAnsi="Cambria Math"/>
          </w:rPr>
          <m:t>Pc</m:t>
        </m:r>
      </m:oMath>
      <w:r>
        <w:rPr>
          <w:rFonts w:hint="eastAsia"/>
        </w:rPr>
        <w:t>、</w:t>
      </w:r>
      <m:oMath>
        <m:r>
          <m:rPr>
            <m:sty m:val="p"/>
          </m:rPr>
          <w:rPr>
            <w:rFonts w:ascii="Cambria Math" w:hAnsi="Cambria Math"/>
          </w:rPr>
          <m:t>Po</m:t>
        </m:r>
      </m:oMath>
      <w:r>
        <w:rPr>
          <w:rFonts w:hint="eastAsia"/>
        </w:rPr>
        <w:t>分别为碳价与氧价（元/t）</w:t>
      </w:r>
      <w:r>
        <w:rPr>
          <w:rFonts w:hint="eastAsia"/>
          <w:lang w:eastAsia="zh-CN"/>
        </w:rPr>
        <w:t>。</w:t>
      </w:r>
    </w:p>
    <w:p>
      <w:pPr>
        <w:bidi w:val="0"/>
        <w:rPr>
          <w:rFonts w:hint="eastAsia"/>
        </w:rPr>
      </w:pPr>
      <w:r>
        <w:rPr>
          <w:rFonts w:hint="eastAsia"/>
        </w:rPr>
        <w:t>通过蓄积量，我们可以把所有量化后的指标都表示为关于树龄的函数，即可通过Hartman理论中的目标函数求解</w:t>
      </w:r>
      <w:r>
        <w:rPr>
          <w:rFonts w:hint="eastAsia"/>
          <w:lang w:val="en-US" w:eastAsia="zh-CN"/>
        </w:rPr>
        <w:t>出</w:t>
      </w:r>
      <w:r>
        <w:rPr>
          <w:rFonts w:hint="eastAsia"/>
        </w:rPr>
        <w:t>最优轮伐周期t。</w:t>
      </w:r>
    </w:p>
    <w:p>
      <w:pPr>
        <w:pStyle w:val="3"/>
        <w:spacing w:after="163"/>
      </w:pPr>
      <w:r>
        <w:rPr>
          <w:rFonts w:hint="eastAsia"/>
        </w:rPr>
        <w:t>模型可能出现的不同结果</w:t>
      </w:r>
    </w:p>
    <w:p>
      <w:pPr>
        <w:pStyle w:val="4"/>
        <w:bidi w:val="0"/>
        <w:rPr>
          <w:rFonts w:hint="default"/>
          <w:lang w:val="en-US" w:eastAsia="zh-CN"/>
        </w:rPr>
      </w:pPr>
      <w:r>
        <w:rPr>
          <w:rFonts w:hint="eastAsia"/>
          <w:lang w:val="en-US" w:eastAsia="zh-CN"/>
        </w:rPr>
        <w:t>考虑一次轮伐的三种可能结果</w:t>
      </w:r>
    </w:p>
    <w:p>
      <w:pPr>
        <w:rPr>
          <w:rFonts w:hint="eastAsia" w:hAnsi="Cambria Math"/>
          <w:i w:val="0"/>
          <w:lang w:val="en-US" w:eastAsia="zh-CN"/>
        </w:rPr>
      </w:pPr>
      <w:r>
        <w:rPr>
          <w:rFonts w:hint="eastAsia" w:hAnsi="Cambria Math"/>
          <w:i w:val="0"/>
          <w:lang w:val="en-US" w:eastAsia="zh-CN"/>
        </w:rPr>
        <w:t>由以上对Hartman模型的分析可知，当</w:t>
      </w:r>
      <w:r>
        <w:rPr>
          <w:rFonts w:hint="eastAsia" w:hAnsi="Cambria Math"/>
        </w:rPr>
        <w:t>单一轮伐周期中森林价值</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w:rPr>
          <w:rFonts w:hint="eastAsia" w:hAnsi="Cambria Math"/>
          <w:i w:val="0"/>
          <w:lang w:val="en-US" w:eastAsia="zh-CN"/>
        </w:rPr>
        <w:t>取得最大值时，对应的轮伐周期</w:t>
      </w:r>
      <m:oMath>
        <m:r>
          <m:rPr/>
          <w:rPr>
            <w:rFonts w:hint="default" w:ascii="Cambria Math" w:hAnsi="Cambria Math" w:cstheme="minorBidi"/>
            <w:kern w:val="2"/>
            <w:sz w:val="24"/>
            <w:szCs w:val="21"/>
            <w:lang w:val="en-US" w:eastAsia="zh-CN" w:bidi="ar-SA"/>
          </w:rPr>
          <m:t>t</m:t>
        </m:r>
      </m:oMath>
      <w:r>
        <w:rPr>
          <w:rFonts w:hint="eastAsia" w:hAnsi="Cambria Math" w:cstheme="minorBidi"/>
          <w:i w:val="0"/>
          <w:iCs/>
          <w:kern w:val="2"/>
          <w:sz w:val="24"/>
          <w:szCs w:val="21"/>
          <w:lang w:val="en-US" w:eastAsia="zh-CN" w:bidi="ar-SA"/>
        </w:rPr>
        <w:t>即为最优轮伐周期，因而我们基于式(15)中</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w:rPr>
          <w:rFonts w:hint="eastAsia" w:hAnsi="Cambria Math"/>
          <w:i w:val="0"/>
          <w:lang w:val="en-US" w:eastAsia="zh-CN"/>
        </w:rPr>
        <w:t>的表达方程式，对</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w:rPr>
          <w:rFonts w:hint="eastAsia" w:hAnsi="Cambria Math"/>
          <w:i w:val="0"/>
          <w:lang w:val="en-US" w:eastAsia="zh-CN"/>
        </w:rPr>
        <w:t>取得最大值的条件进行分析。</w:t>
      </w:r>
    </w:p>
    <w:p>
      <w:pPr>
        <w:rPr>
          <w:rFonts w:hint="eastAsia" w:hAnsi="Cambria Math"/>
          <w:i w:val="0"/>
          <w:lang w:val="en-US" w:eastAsia="zh-CN"/>
        </w:rPr>
      </w:pPr>
      <w:r>
        <w:rPr>
          <w:rFonts w:hint="eastAsia" w:hAnsi="Cambria Math"/>
          <w:i w:val="0"/>
          <w:lang w:val="en-US" w:eastAsia="zh-CN"/>
        </w:rPr>
        <w:t>由于</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w:rPr>
          <w:rFonts w:hint="eastAsia" w:hAnsi="Cambria Math"/>
          <w:i w:val="0"/>
          <w:lang w:val="en-US" w:eastAsia="zh-CN"/>
        </w:rPr>
        <w:t>连续且光滑，因而</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w:rPr>
          <w:rFonts w:hint="eastAsia" w:hAnsi="Cambria Math"/>
          <w:i w:val="0"/>
          <w:lang w:val="en-US" w:eastAsia="zh-CN"/>
        </w:rPr>
        <w:t>在一阶导数等于0，二阶导数小于0的点处取得最大值，最大值点满足条件如式(17)所示：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rPr>
                <w:rFonts w:hAnsi="Cambria Math"/>
                <w:iCs/>
              </w:rPr>
            </w:pPr>
            <m:oMathPara>
              <m:oMath>
                <m:d>
                  <m:dPr>
                    <m:begChr m:val="{"/>
                    <m:endChr m:val=""/>
                    <m:ctrlPr>
                      <w:rPr>
                        <w:rFonts w:hint="default" w:ascii="Cambria Math" w:hAnsi="Cambria Math" w:cstheme="minorBidi"/>
                        <w:i/>
                        <w:iCs/>
                        <w:kern w:val="2"/>
                        <w:sz w:val="24"/>
                        <w:szCs w:val="21"/>
                        <w:lang w:val="en-US" w:eastAsia="zh-CN" w:bidi="ar-SA"/>
                      </w:rPr>
                    </m:ctrlPr>
                  </m:dPr>
                  <m:e>
                    <m:eqArr>
                      <m:eqArrPr>
                        <m:ctrlPr>
                          <w:rPr>
                            <w:rFonts w:hint="default" w:ascii="Cambria Math" w:hAnsi="Cambria Math" w:cstheme="minorBidi"/>
                            <w:i/>
                            <w:kern w:val="2"/>
                            <w:sz w:val="24"/>
                            <w:szCs w:val="21"/>
                            <w:lang w:val="en-US" w:eastAsia="zh-CN" w:bidi="ar-SA"/>
                          </w:rPr>
                        </m:ctrlPr>
                      </m:eqArrPr>
                      <m:e>
                        <m:r>
                          <m:rPr/>
                          <w:rPr>
                            <w:rFonts w:hint="default" w:ascii="Cambria Math" w:hAnsi="Cambria Math" w:cstheme="minorBidi"/>
                            <w:kern w:val="2"/>
                            <w:sz w:val="24"/>
                            <w:szCs w:val="21"/>
                            <w:lang w:val="en-US" w:eastAsia="zh-CN" w:bidi="ar-SA"/>
                          </w:rPr>
                          <m:t>F(t)+G'(t)=rG(t)</m:t>
                        </m:r>
                        <m:ctrlPr>
                          <w:rPr>
                            <w:rFonts w:hint="default" w:ascii="Cambria Math" w:hAnsi="Cambria Math" w:cstheme="minorBidi"/>
                            <w:i/>
                            <w:kern w:val="2"/>
                            <w:sz w:val="24"/>
                            <w:szCs w:val="21"/>
                            <w:lang w:val="en-US" w:eastAsia="zh-CN" w:bidi="ar-SA"/>
                          </w:rPr>
                        </m:ctrlPr>
                      </m:e>
                      <m:e>
                        <m:r>
                          <m:rPr/>
                          <w:rPr>
                            <w:rFonts w:hint="default" w:ascii="Cambria Math" w:hAnsi="Cambria Math" w:cstheme="minorBidi"/>
                            <w:kern w:val="2"/>
                            <w:sz w:val="24"/>
                            <w:szCs w:val="21"/>
                            <w:lang w:val="en-US" w:eastAsia="zh-CN" w:bidi="ar-SA"/>
                          </w:rPr>
                          <m:t>F'(t)+G''(t)&lt;rG'(t)</m:t>
                        </m:r>
                        <m:ctrlPr>
                          <w:rPr>
                            <w:rFonts w:hint="default" w:ascii="Cambria Math" w:hAnsi="Cambria Math" w:cstheme="minorBidi"/>
                            <w:i/>
                            <w:iCs/>
                            <w:kern w:val="2"/>
                            <w:sz w:val="24"/>
                            <w:szCs w:val="21"/>
                            <w:lang w:val="en-US" w:eastAsia="zh-CN" w:bidi="ar-SA"/>
                          </w:rPr>
                        </m:ctrlPr>
                      </m:e>
                    </m:eqArr>
                    <m:ctrlPr>
                      <w:rPr>
                        <w:rFonts w:hint="default" w:ascii="Cambria Math" w:hAnsi="Cambria Math" w:cstheme="minorBidi"/>
                        <w:i/>
                        <w:kern w:val="2"/>
                        <w:sz w:val="24"/>
                        <w:szCs w:val="21"/>
                        <w:lang w:val="en-US" w:eastAsia="zh-CN" w:bidi="ar-SA"/>
                      </w:rPr>
                    </m:ctrlPr>
                  </m:e>
                </m:d>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7</w:t>
            </w:r>
            <w:r>
              <w:t>)</w:t>
            </w:r>
          </w:p>
        </w:tc>
      </w:tr>
    </w:tbl>
    <w:p>
      <w:pPr>
        <w:rPr>
          <w:rFonts w:hint="eastAsia" w:hAnsi="Cambria Math"/>
          <w:i w:val="0"/>
          <w:lang w:val="en-US" w:eastAsia="zh-CN"/>
        </w:rPr>
      </w:pPr>
      <w:r>
        <w:rPr>
          <w:rFonts w:hint="eastAsia" w:hAnsi="Cambria Math" w:cstheme="minorBidi"/>
          <w:i w:val="0"/>
          <w:kern w:val="2"/>
          <w:sz w:val="24"/>
          <w:szCs w:val="21"/>
          <w:lang w:val="en-US" w:eastAsia="zh-CN" w:bidi="ar-SA"/>
        </w:rPr>
        <w:t>从几何角度理解，当且仅当</w:t>
      </w:r>
      <m:oMath>
        <m:r>
          <m:rPr/>
          <w:rPr>
            <w:rFonts w:hint="default" w:ascii="Cambria Math" w:hAnsi="Cambria Math" w:cstheme="minorBidi"/>
            <w:kern w:val="2"/>
            <w:sz w:val="24"/>
            <w:szCs w:val="21"/>
            <w:lang w:val="en-US" w:eastAsia="zh-CN" w:bidi="ar-SA"/>
          </w:rPr>
          <m:t>F(t)+G'(t)</m:t>
        </m:r>
      </m:oMath>
      <w:r>
        <w:rPr>
          <w:rFonts w:hint="eastAsia" w:hAnsi="Cambria Math" w:cstheme="minorBidi"/>
          <w:i w:val="0"/>
          <w:kern w:val="2"/>
          <w:sz w:val="24"/>
          <w:szCs w:val="21"/>
          <w:lang w:val="en-US" w:eastAsia="zh-CN" w:bidi="ar-SA"/>
        </w:rPr>
        <w:t>曲线从上方与</w:t>
      </w:r>
      <m:oMath>
        <m:r>
          <m:rPr/>
          <w:rPr>
            <w:rFonts w:hint="default" w:ascii="Cambria Math" w:hAnsi="Cambria Math" w:cstheme="minorBidi"/>
            <w:kern w:val="2"/>
            <w:sz w:val="24"/>
            <w:szCs w:val="21"/>
            <w:lang w:val="en-US" w:eastAsia="zh-CN" w:bidi="ar-SA"/>
          </w:rPr>
          <m:t>rG(t)</m:t>
        </m:r>
      </m:oMath>
      <w:r>
        <w:rPr>
          <w:rFonts w:hint="eastAsia" w:hAnsi="Cambria Math" w:cstheme="minorBidi"/>
          <w:i w:val="0"/>
          <w:kern w:val="2"/>
          <w:sz w:val="24"/>
          <w:szCs w:val="21"/>
          <w:lang w:val="en-US" w:eastAsia="zh-CN" w:bidi="ar-SA"/>
        </w:rPr>
        <w:t>曲线相交时产生的交点</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为</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w:rPr>
          <w:rFonts w:hint="eastAsia" w:hAnsi="Cambria Math"/>
          <w:i w:val="0"/>
          <w:lang w:val="en-US" w:eastAsia="zh-CN"/>
        </w:rPr>
        <w:t>取得最大值时的轮伐周期。</w:t>
      </w:r>
    </w:p>
    <w:p>
      <w:pPr>
        <w:rPr>
          <w:rFonts w:hint="eastAsia" w:hAnsi="Cambria Math" w:cstheme="minorBidi"/>
          <w:i w:val="0"/>
          <w:kern w:val="2"/>
          <w:sz w:val="24"/>
          <w:szCs w:val="21"/>
          <w:lang w:val="en-US" w:eastAsia="zh-CN" w:bidi="ar-SA"/>
        </w:rPr>
      </w:pPr>
      <w:r>
        <w:rPr>
          <w:rFonts w:hint="eastAsia" w:hAnsi="Cambria Math"/>
          <w:i w:val="0"/>
          <w:lang w:val="en-US" w:eastAsia="zh-CN"/>
        </w:rPr>
        <w:t>当</w:t>
      </w:r>
      <m:oMath>
        <m:r>
          <m:rPr/>
          <w:rPr>
            <w:rFonts w:hint="default" w:ascii="Cambria Math" w:hAnsi="Cambria Math" w:cstheme="minorBidi"/>
            <w:kern w:val="2"/>
            <w:sz w:val="24"/>
            <w:szCs w:val="21"/>
            <w:lang w:val="en-US" w:eastAsia="zh-CN" w:bidi="ar-SA"/>
          </w:rPr>
          <m:t>F(t)</m:t>
        </m:r>
      </m:oMath>
      <w:r>
        <w:rPr>
          <w:rFonts w:hint="eastAsia" w:hAnsi="Cambria Math" w:cstheme="minorBidi"/>
          <w:i w:val="0"/>
          <w:kern w:val="2"/>
          <w:sz w:val="24"/>
          <w:szCs w:val="21"/>
          <w:lang w:val="en-US" w:eastAsia="zh-CN" w:bidi="ar-SA"/>
        </w:rPr>
        <w:t>数值量级发生变化时，</w:t>
      </w:r>
      <w:r>
        <w:rPr>
          <w:rFonts w:hint="eastAsia" w:hAnsi="Cambria Math"/>
          <w:i w:val="0"/>
          <w:lang w:val="en-US" w:eastAsia="zh-CN"/>
        </w:rPr>
        <w:t>随着</w:t>
      </w:r>
      <m:oMath>
        <m:r>
          <m:rPr/>
          <w:rPr>
            <w:rFonts w:hint="default" w:ascii="Cambria Math" w:hAnsi="Cambria Math" w:cstheme="minorBidi"/>
            <w:kern w:val="2"/>
            <w:sz w:val="24"/>
            <w:szCs w:val="21"/>
            <w:lang w:val="en-US" w:eastAsia="zh-CN" w:bidi="ar-SA"/>
          </w:rPr>
          <m:t>F(t)/G(t)</m:t>
        </m:r>
      </m:oMath>
      <w:r>
        <w:rPr>
          <w:rFonts w:hint="eastAsia" w:hAnsi="Cambria Math" w:cstheme="minorBidi"/>
          <w:i w:val="0"/>
          <w:kern w:val="2"/>
          <w:sz w:val="24"/>
          <w:szCs w:val="21"/>
          <w:lang w:val="en-US" w:eastAsia="zh-CN" w:bidi="ar-SA"/>
        </w:rPr>
        <w:t>从小变大，最优轮伐周期</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会依次出现三种可能的结果。</w:t>
      </w:r>
    </w:p>
    <w:p>
      <w:pPr>
        <w:jc w:val="center"/>
        <w:rPr>
          <w:rFonts w:hint="eastAsia" w:hAnsi="Cambria Math" w:cstheme="minorBidi"/>
          <w:i w:val="0"/>
          <w:color w:val="FF0000"/>
          <w:kern w:val="2"/>
          <w:sz w:val="24"/>
          <w:szCs w:val="21"/>
          <w:lang w:val="en-US" w:eastAsia="zh-CN" w:bidi="ar-SA"/>
        </w:rPr>
      </w:pPr>
      <w:r>
        <w:rPr>
          <w:rFonts w:hint="eastAsia" w:hAnsi="Cambria Math" w:cstheme="minorBidi"/>
          <w:i w:val="0"/>
          <w:color w:val="FF0000"/>
          <w:kern w:val="2"/>
          <w:sz w:val="24"/>
          <w:szCs w:val="21"/>
          <w:lang w:val="en-US" w:eastAsia="zh-CN" w:bidi="ar-SA"/>
        </w:rPr>
        <w:t>图</w:t>
      </w:r>
    </w:p>
    <w:p>
      <w:pPr>
        <w:bidi w:val="0"/>
        <w:rPr>
          <w:rFonts w:hint="eastAsia" w:hAnsi="Cambria Math" w:cstheme="minorBidi"/>
          <w:i w:val="0"/>
          <w:kern w:val="2"/>
          <w:sz w:val="24"/>
          <w:szCs w:val="21"/>
          <w:lang w:val="en-US" w:eastAsia="zh-CN" w:bidi="ar-SA"/>
        </w:rPr>
      </w:pPr>
      <w:r>
        <w:rPr>
          <w:rFonts w:hint="eastAsia"/>
          <w:lang w:val="en-US" w:eastAsia="zh-CN"/>
        </w:rPr>
        <w:t>图一对应</w:t>
      </w:r>
      <m:oMath>
        <m:r>
          <m:rPr/>
          <w:rPr>
            <w:rFonts w:hint="default" w:ascii="Cambria Math" w:hAnsi="Cambria Math" w:cstheme="minorBidi"/>
            <w:kern w:val="2"/>
            <w:sz w:val="24"/>
            <w:szCs w:val="21"/>
            <w:lang w:val="en-US" w:eastAsia="zh-CN" w:bidi="ar-SA"/>
          </w:rPr>
          <m:t>F(t)/G(t)</m:t>
        </m:r>
      </m:oMath>
      <w:r>
        <w:rPr>
          <w:rFonts w:hint="eastAsia" w:hAnsi="Cambria Math" w:cstheme="minorBidi"/>
          <w:i w:val="0"/>
          <w:kern w:val="2"/>
          <w:sz w:val="24"/>
          <w:szCs w:val="21"/>
          <w:lang w:val="en-US" w:eastAsia="zh-CN" w:bidi="ar-SA"/>
        </w:rPr>
        <w:t>较小的情况，此时</w:t>
      </w:r>
      <m:oMath>
        <m:r>
          <m:rPr/>
          <w:rPr>
            <w:rFonts w:hint="default" w:ascii="Cambria Math" w:hAnsi="Cambria Math" w:cstheme="minorBidi"/>
            <w:kern w:val="2"/>
            <w:sz w:val="24"/>
            <w:szCs w:val="21"/>
            <w:lang w:val="en-US" w:eastAsia="zh-CN" w:bidi="ar-SA"/>
          </w:rPr>
          <m:t>F(t)+G'(t)</m:t>
        </m:r>
      </m:oMath>
      <w:r>
        <w:rPr>
          <w:rFonts w:hint="eastAsia" w:hAnsi="Cambria Math" w:cstheme="minorBidi"/>
          <w:i w:val="0"/>
          <w:kern w:val="2"/>
          <w:sz w:val="24"/>
          <w:szCs w:val="21"/>
          <w:lang w:val="en-US" w:eastAsia="zh-CN" w:bidi="ar-SA"/>
        </w:rPr>
        <w:t>曲线与</w:t>
      </w:r>
      <m:oMath>
        <m:r>
          <m:rPr/>
          <w:rPr>
            <w:rFonts w:hint="default" w:ascii="Cambria Math" w:hAnsi="Cambria Math" w:cstheme="minorBidi"/>
            <w:kern w:val="2"/>
            <w:sz w:val="24"/>
            <w:szCs w:val="21"/>
            <w:lang w:val="en-US" w:eastAsia="zh-CN" w:bidi="ar-SA"/>
          </w:rPr>
          <m:t>rG(t)</m:t>
        </m:r>
      </m:oMath>
      <w:r>
        <w:rPr>
          <w:rFonts w:hint="eastAsia" w:hAnsi="Cambria Math" w:cstheme="minorBidi"/>
          <w:i w:val="0"/>
          <w:kern w:val="2"/>
          <w:sz w:val="24"/>
          <w:szCs w:val="21"/>
          <w:lang w:val="en-US" w:eastAsia="zh-CN" w:bidi="ar-SA"/>
        </w:rPr>
        <w:t>曲线存在两个交点，但仅有左侧的交点完全满足式(17)的条件，因而左侧交点横坐标即为</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。在这种情况下，</w:t>
      </w:r>
      <m:oMath>
        <m:r>
          <m:rPr/>
          <w:rPr>
            <w:rFonts w:hint="default" w:ascii="Cambria Math" w:hAnsi="Cambria Math" w:cstheme="minorBidi"/>
            <w:kern w:val="2"/>
            <w:sz w:val="24"/>
            <w:szCs w:val="21"/>
            <w:lang w:val="en-US" w:eastAsia="zh-CN" w:bidi="ar-SA"/>
          </w:rPr>
          <m:t>G(t)</m:t>
        </m:r>
      </m:oMath>
      <w:r>
        <w:rPr>
          <w:rFonts w:hint="eastAsia" w:hAnsi="Cambria Math" w:cstheme="minorBidi"/>
          <w:i w:val="0"/>
          <w:kern w:val="2"/>
          <w:sz w:val="24"/>
          <w:szCs w:val="21"/>
          <w:lang w:val="en-US" w:eastAsia="zh-CN" w:bidi="ar-SA"/>
        </w:rPr>
        <w:t>在决定最优轮伐周期中起主导作用，</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处于</w:t>
      </w:r>
      <m:oMath>
        <m:r>
          <m:rPr/>
          <w:rPr>
            <w:rFonts w:hint="default" w:ascii="Cambria Math" w:hAnsi="Cambria Math" w:cstheme="minorBidi"/>
            <w:kern w:val="2"/>
            <w:sz w:val="24"/>
            <w:szCs w:val="21"/>
            <w:lang w:val="en-US" w:eastAsia="zh-CN" w:bidi="ar-SA"/>
          </w:rPr>
          <m:t>G(t)</m:t>
        </m:r>
      </m:oMath>
      <w:r>
        <w:rPr>
          <w:rFonts w:hint="eastAsia" w:hAnsi="Cambria Math" w:cstheme="minorBidi"/>
          <w:i w:val="0"/>
          <w:kern w:val="2"/>
          <w:sz w:val="24"/>
          <w:szCs w:val="21"/>
          <w:lang w:val="en-US" w:eastAsia="zh-CN" w:bidi="ar-SA"/>
        </w:rPr>
        <w:t>曲线上升的阶段。</w:t>
      </w:r>
    </w:p>
    <w:p>
      <w:pPr>
        <w:bidi w:val="0"/>
        <w:rPr>
          <w:rFonts w:hint="eastAsia" w:hAnsi="Cambria Math" w:cstheme="minorBidi"/>
          <w:i w:val="0"/>
          <w:kern w:val="2"/>
          <w:sz w:val="24"/>
          <w:szCs w:val="21"/>
          <w:lang w:val="en-US" w:eastAsia="zh-CN" w:bidi="ar-SA"/>
        </w:rPr>
      </w:pPr>
      <w:r>
        <w:rPr>
          <w:rFonts w:hint="eastAsia" w:hAnsi="Cambria Math" w:cstheme="minorBidi"/>
          <w:i w:val="0"/>
          <w:kern w:val="2"/>
          <w:sz w:val="24"/>
          <w:szCs w:val="21"/>
          <w:lang w:val="en-US" w:eastAsia="zh-CN" w:bidi="ar-SA"/>
        </w:rPr>
        <w:t>图二对应</w:t>
      </w:r>
      <m:oMath>
        <m:r>
          <m:rPr/>
          <w:rPr>
            <w:rFonts w:hint="default" w:ascii="Cambria Math" w:hAnsi="Cambria Math" w:cstheme="minorBidi"/>
            <w:kern w:val="2"/>
            <w:sz w:val="24"/>
            <w:szCs w:val="21"/>
            <w:lang w:val="en-US" w:eastAsia="zh-CN" w:bidi="ar-SA"/>
          </w:rPr>
          <m:t>F(t)/G(t)</m:t>
        </m:r>
      </m:oMath>
      <w:r>
        <w:rPr>
          <w:rFonts w:hint="eastAsia" w:hAnsi="Cambria Math" w:cstheme="minorBidi"/>
          <w:i w:val="0"/>
          <w:kern w:val="2"/>
          <w:sz w:val="24"/>
          <w:szCs w:val="21"/>
          <w:lang w:val="en-US" w:eastAsia="zh-CN" w:bidi="ar-SA"/>
        </w:rPr>
        <w:t>稍微较大的情况，此时仍有两个交点，仍是左侧交点满足式(17)的条件，因而左侧交点横坐标为</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。在此情况中，由于</w:t>
      </w:r>
      <m:oMath>
        <m:r>
          <m:rPr/>
          <w:rPr>
            <w:rFonts w:hint="default" w:ascii="Cambria Math" w:hAnsi="Cambria Math" w:cstheme="minorBidi"/>
            <w:kern w:val="2"/>
            <w:sz w:val="24"/>
            <w:szCs w:val="21"/>
            <w:lang w:val="en-US" w:eastAsia="zh-CN" w:bidi="ar-SA"/>
          </w:rPr>
          <m:t>F(t)</m:t>
        </m:r>
      </m:oMath>
      <w:r>
        <w:rPr>
          <w:rFonts w:hint="eastAsia" w:hAnsi="Cambria Math" w:cstheme="minorBidi"/>
          <w:i w:val="0"/>
          <w:kern w:val="2"/>
          <w:sz w:val="24"/>
          <w:szCs w:val="21"/>
          <w:lang w:val="en-US" w:eastAsia="zh-CN" w:bidi="ar-SA"/>
        </w:rPr>
        <w:t>量级增加，因此导致最佳轮伐周期</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处于</w:t>
      </w:r>
      <m:oMath>
        <m:r>
          <m:rPr/>
          <w:rPr>
            <w:rFonts w:hint="default" w:ascii="Cambria Math" w:hAnsi="Cambria Math" w:cstheme="minorBidi"/>
            <w:kern w:val="2"/>
            <w:sz w:val="24"/>
            <w:szCs w:val="21"/>
            <w:lang w:val="en-US" w:eastAsia="zh-CN" w:bidi="ar-SA"/>
          </w:rPr>
          <m:t>G(t)</m:t>
        </m:r>
      </m:oMath>
      <w:r>
        <w:rPr>
          <w:rFonts w:hint="eastAsia" w:hAnsi="Cambria Math" w:cstheme="minorBidi"/>
          <w:i w:val="0"/>
          <w:kern w:val="2"/>
          <w:sz w:val="24"/>
          <w:szCs w:val="21"/>
          <w:lang w:val="en-US" w:eastAsia="zh-CN" w:bidi="ar-SA"/>
        </w:rPr>
        <w:t>曲线下降的阶段，此时</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是</w:t>
      </w:r>
      <m:oMath>
        <m:r>
          <m:rPr/>
          <w:rPr>
            <w:rFonts w:hint="default" w:ascii="Cambria Math" w:hAnsi="Cambria Math" w:cstheme="minorBidi"/>
            <w:kern w:val="2"/>
            <w:sz w:val="24"/>
            <w:szCs w:val="21"/>
            <w:lang w:val="en-US" w:eastAsia="zh-CN" w:bidi="ar-SA"/>
          </w:rPr>
          <m:t>F(t)</m:t>
        </m:r>
      </m:oMath>
      <w:r>
        <w:rPr>
          <w:rFonts w:hint="eastAsia" w:hAnsi="Cambria Math" w:cstheme="minorBidi"/>
          <w:i w:val="0"/>
          <w:kern w:val="2"/>
          <w:sz w:val="24"/>
          <w:szCs w:val="21"/>
          <w:lang w:val="en-US" w:eastAsia="zh-CN" w:bidi="ar-SA"/>
        </w:rPr>
        <w:t>和</w:t>
      </w:r>
      <m:oMath>
        <m:r>
          <m:rPr/>
          <w:rPr>
            <w:rFonts w:hint="default" w:ascii="Cambria Math" w:hAnsi="Cambria Math" w:cstheme="minorBidi"/>
            <w:kern w:val="2"/>
            <w:sz w:val="24"/>
            <w:szCs w:val="21"/>
            <w:lang w:val="en-US" w:eastAsia="zh-CN" w:bidi="ar-SA"/>
          </w:rPr>
          <m:t>G(t)</m:t>
        </m:r>
      </m:oMath>
      <w:r>
        <w:rPr>
          <w:rFonts w:hint="eastAsia" w:hAnsi="Cambria Math" w:cstheme="minorBidi"/>
          <w:i w:val="0"/>
          <w:kern w:val="2"/>
          <w:sz w:val="24"/>
          <w:szCs w:val="21"/>
          <w:lang w:val="en-US" w:eastAsia="zh-CN" w:bidi="ar-SA"/>
        </w:rPr>
        <w:t>相互制衡的结果。</w:t>
      </w:r>
    </w:p>
    <w:p>
      <w:pPr>
        <w:bidi w:val="0"/>
        <w:rPr>
          <w:rFonts w:hint="eastAsia" w:hAnsi="Cambria Math"/>
          <w:i w:val="0"/>
          <w:lang w:val="en-US" w:eastAsia="zh-CN"/>
        </w:rPr>
      </w:pPr>
      <w:r>
        <w:rPr>
          <w:rFonts w:hint="eastAsia" w:hAnsi="Cambria Math" w:cstheme="minorBidi"/>
          <w:i w:val="0"/>
          <w:kern w:val="2"/>
          <w:sz w:val="24"/>
          <w:szCs w:val="21"/>
          <w:lang w:val="en-US" w:eastAsia="zh-CN" w:bidi="ar-SA"/>
        </w:rPr>
        <w:t>图三对应</w:t>
      </w:r>
      <m:oMath>
        <m:r>
          <m:rPr/>
          <w:rPr>
            <w:rFonts w:hint="default" w:ascii="Cambria Math" w:hAnsi="Cambria Math" w:cstheme="minorBidi"/>
            <w:kern w:val="2"/>
            <w:sz w:val="24"/>
            <w:szCs w:val="21"/>
            <w:lang w:val="en-US" w:eastAsia="zh-CN" w:bidi="ar-SA"/>
          </w:rPr>
          <m:t>F(t)/G(t)</m:t>
        </m:r>
      </m:oMath>
      <w:r>
        <w:rPr>
          <w:rFonts w:hint="eastAsia" w:hAnsi="Cambria Math" w:cstheme="minorBidi"/>
          <w:i w:val="0"/>
          <w:kern w:val="2"/>
          <w:sz w:val="24"/>
          <w:szCs w:val="21"/>
          <w:lang w:val="en-US" w:eastAsia="zh-CN" w:bidi="ar-SA"/>
        </w:rPr>
        <w:t>充分大的情况，此时</w:t>
      </w:r>
      <m:oMath>
        <m:r>
          <m:rPr/>
          <w:rPr>
            <w:rFonts w:hint="default" w:ascii="Cambria Math" w:hAnsi="Cambria Math" w:cstheme="minorBidi"/>
            <w:kern w:val="2"/>
            <w:sz w:val="24"/>
            <w:szCs w:val="21"/>
            <w:lang w:val="en-US" w:eastAsia="zh-CN" w:bidi="ar-SA"/>
          </w:rPr>
          <m:t>F(t)+G'(t)</m:t>
        </m:r>
      </m:oMath>
      <w:r>
        <w:rPr>
          <w:rFonts w:hint="eastAsia" w:hAnsi="Cambria Math" w:cstheme="minorBidi"/>
          <w:i w:val="0"/>
          <w:kern w:val="2"/>
          <w:sz w:val="24"/>
          <w:szCs w:val="21"/>
          <w:lang w:val="en-US" w:eastAsia="zh-CN" w:bidi="ar-SA"/>
        </w:rPr>
        <w:t>曲线位于</w:t>
      </w:r>
      <m:oMath>
        <m:r>
          <m:rPr/>
          <w:rPr>
            <w:rFonts w:hint="default" w:ascii="Cambria Math" w:hAnsi="Cambria Math" w:cstheme="minorBidi"/>
            <w:kern w:val="2"/>
            <w:sz w:val="24"/>
            <w:szCs w:val="21"/>
            <w:lang w:val="en-US" w:eastAsia="zh-CN" w:bidi="ar-SA"/>
          </w:rPr>
          <m:t>rG(t)</m:t>
        </m:r>
      </m:oMath>
      <w:r>
        <w:rPr>
          <w:rFonts w:hint="eastAsia" w:hAnsi="Cambria Math" w:cstheme="minorBidi"/>
          <w:i w:val="0"/>
          <w:kern w:val="2"/>
          <w:sz w:val="24"/>
          <w:szCs w:val="21"/>
          <w:lang w:val="en-US" w:eastAsia="zh-CN" w:bidi="ar-SA"/>
        </w:rPr>
        <w:t>曲线的上方，不存在任何交点。在该情况中，</w:t>
      </w:r>
      <m:oMath>
        <m:r>
          <m:rPr/>
          <w:rPr>
            <w:rFonts w:hint="default" w:ascii="Cambria Math" w:hAnsi="Cambria Math" w:cstheme="minorBidi"/>
            <w:kern w:val="2"/>
            <w:sz w:val="24"/>
            <w:szCs w:val="21"/>
            <w:lang w:val="en-US" w:eastAsia="zh-CN" w:bidi="ar-SA"/>
          </w:rPr>
          <m:t>F(t)</m:t>
        </m:r>
      </m:oMath>
      <w:r>
        <w:rPr>
          <w:rFonts w:hint="eastAsia" w:hAnsi="Cambria Math" w:cstheme="minorBidi"/>
          <w:i w:val="0"/>
          <w:kern w:val="2"/>
          <w:sz w:val="24"/>
          <w:szCs w:val="21"/>
          <w:lang w:val="en-US" w:eastAsia="zh-CN" w:bidi="ar-SA"/>
        </w:rPr>
        <w:t>的作用远大于</w:t>
      </w:r>
      <m:oMath>
        <m:r>
          <m:rPr/>
          <w:rPr>
            <w:rFonts w:hint="default" w:ascii="Cambria Math" w:hAnsi="Cambria Math" w:cstheme="minorBidi"/>
            <w:kern w:val="2"/>
            <w:sz w:val="24"/>
            <w:szCs w:val="21"/>
            <w:lang w:val="en-US" w:eastAsia="zh-CN" w:bidi="ar-SA"/>
          </w:rPr>
          <m:t>G(t)</m:t>
        </m:r>
      </m:oMath>
      <w:r>
        <w:rPr>
          <w:rFonts w:hint="eastAsia" w:hAnsi="Cambria Math" w:cstheme="minorBidi"/>
          <w:i w:val="0"/>
          <w:kern w:val="2"/>
          <w:sz w:val="24"/>
          <w:szCs w:val="21"/>
          <w:lang w:val="en-US" w:eastAsia="zh-CN" w:bidi="ar-SA"/>
        </w:rPr>
        <w:t>的作用，因而</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w:rPr>
          <w:rFonts w:hint="eastAsia" w:hAnsi="Cambria Math"/>
          <w:i w:val="0"/>
          <w:lang w:val="en-US" w:eastAsia="zh-CN"/>
        </w:rPr>
        <w:t>与</w:t>
      </w:r>
      <m:oMath>
        <m:r>
          <m:rPr/>
          <w:rPr>
            <w:rFonts w:hint="default" w:ascii="Cambria Math" w:hAnsi="Cambria Math" w:cstheme="minorBidi"/>
            <w:kern w:val="2"/>
            <w:sz w:val="24"/>
            <w:szCs w:val="21"/>
            <w:lang w:val="en-US" w:eastAsia="zh-CN" w:bidi="ar-SA"/>
          </w:rPr>
          <m:t>F(t)</m:t>
        </m:r>
      </m:oMath>
      <w:r>
        <w:rPr>
          <w:rFonts w:hint="eastAsia" w:hAnsi="Cambria Math" w:cstheme="minorBidi"/>
          <w:i w:val="0"/>
          <w:kern w:val="2"/>
          <w:sz w:val="24"/>
          <w:szCs w:val="21"/>
          <w:lang w:val="en-US" w:eastAsia="zh-CN" w:bidi="ar-SA"/>
        </w:rPr>
        <w:t>的趋势相同，即随轮伐周期</w:t>
      </w:r>
      <m:oMath>
        <m:r>
          <m:rPr/>
          <w:rPr>
            <w:rFonts w:ascii="Cambria Math" w:hAnsi="Cambria Math"/>
          </w:rPr>
          <m:t>t</m:t>
        </m:r>
      </m:oMath>
      <w:r>
        <w:rPr>
          <w:rFonts w:hint="eastAsia" w:hAnsi="Cambria Math"/>
          <w:i w:val="0"/>
          <w:lang w:val="en-US" w:eastAsia="zh-CN"/>
        </w:rPr>
        <w:t>的增大单调递增，故最优的管理方案是永不收获。</w:t>
      </w:r>
    </w:p>
    <w:p>
      <w:pPr>
        <w:pStyle w:val="4"/>
        <w:bidi w:val="0"/>
        <w:rPr>
          <w:rFonts w:hint="default"/>
          <w:lang w:val="en-US" w:eastAsia="zh-CN"/>
        </w:rPr>
      </w:pPr>
      <w:r>
        <w:rPr>
          <w:rFonts w:hint="eastAsia" w:hAnsi="Cambria Math"/>
        </w:rPr>
        <w:t>考虑多轮轮伐</w:t>
      </w:r>
      <w:r>
        <w:rPr>
          <w:rFonts w:hint="eastAsia" w:hAnsi="Cambria Math"/>
          <w:lang w:val="en-US" w:eastAsia="zh-CN"/>
        </w:rPr>
        <w:t>的变化</w:t>
      </w:r>
    </w:p>
    <w:p>
      <w:pPr>
        <w:rPr>
          <w:rFonts w:hint="eastAsia" w:hAnsi="Cambria Math"/>
          <w:i w:val="0"/>
          <w:color w:val="auto"/>
          <w:lang w:val="en-US" w:eastAsia="zh-CN"/>
        </w:rPr>
      </w:pPr>
      <w:r>
        <w:rPr>
          <w:rFonts w:hint="eastAsia" w:hAnsi="Cambria Math"/>
          <w:lang w:val="en-US" w:eastAsia="zh-CN"/>
        </w:rPr>
        <w:t>当考虑多轮轮伐时，</w:t>
      </w:r>
      <m:oMath>
        <m:r>
          <m:rPr/>
          <w:rPr>
            <w:rFonts w:ascii="Cambria Math" w:hAnsi="Cambria Math"/>
          </w:rPr>
          <m:t>V</m:t>
        </m:r>
        <m:r>
          <m:rPr/>
          <w:rPr>
            <w:rFonts w:hint="default" w:ascii="Cambria Math" w:hAnsi="Cambria Math"/>
            <w:lang w:val="en-US" w:eastAsia="zh-CN"/>
          </w:rPr>
          <m:t>al</m:t>
        </m:r>
        <m:r>
          <m:rPr/>
          <w:rPr>
            <w:rFonts w:ascii="Cambria Math" w:hAnsi="Cambria Math"/>
          </w:rPr>
          <m:t>(t)</m:t>
        </m:r>
      </m:oMath>
      <w:r>
        <w:rPr>
          <w:rFonts w:hint="eastAsia" w:hAnsi="Cambria Math"/>
          <w:i w:val="0"/>
          <w:lang w:val="en-US" w:eastAsia="zh-CN"/>
        </w:rPr>
        <w:t>不再适用，此时森林价值表示为</w:t>
      </w:r>
      <m:oMath>
        <m:r>
          <m:rPr/>
          <w:rPr>
            <w:rFonts w:ascii="Cambria Math" w:hAnsi="Cambria Math"/>
            <w:color w:val="auto"/>
          </w:rPr>
          <m:t>LEV(t)</m:t>
        </m:r>
      </m:oMath>
      <w:r>
        <w:rPr>
          <w:rFonts w:hint="eastAsia" w:hAnsi="Cambria Math"/>
          <w:i w:val="0"/>
          <w:color w:val="auto"/>
          <w:lang w:eastAsia="zh-CN"/>
        </w:rPr>
        <w:t>。</w:t>
      </w:r>
      <w:r>
        <w:rPr>
          <w:rFonts w:hint="eastAsia" w:hAnsi="Cambria Math"/>
          <w:i w:val="0"/>
          <w:color w:val="auto"/>
          <w:lang w:val="en-US" w:eastAsia="zh-CN"/>
        </w:rPr>
        <w:t>用5.3.1中的方法对</w:t>
      </w:r>
      <m:oMath>
        <m:r>
          <m:rPr/>
          <w:rPr>
            <w:rFonts w:ascii="Cambria Math" w:hAnsi="Cambria Math"/>
            <w:color w:val="auto"/>
          </w:rPr>
          <m:t>LEV(t)</m:t>
        </m:r>
      </m:oMath>
      <w:r>
        <w:rPr>
          <w:rFonts w:hint="eastAsia" w:hAnsi="Cambria Math"/>
          <w:i w:val="0"/>
          <w:color w:val="auto"/>
          <w:lang w:val="en-US" w:eastAsia="zh-CN"/>
        </w:rPr>
        <w:t>的最大值情况进行分析，此时式(17)转变成如式(18)所示：</w:t>
      </w:r>
    </w:p>
    <w:tbl>
      <w:tblPr>
        <w:tblStyle w:val="11"/>
        <w:tblW w:w="922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0"/>
        <w:gridCol w:w="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8" w:hRule="atLeast"/>
        </w:trPr>
        <w:tc>
          <w:tcPr>
            <w:tcW w:w="8580" w:type="dxa"/>
            <w:vAlign w:val="center"/>
          </w:tcPr>
          <w:p>
            <w:pPr>
              <w:adjustRightInd w:val="0"/>
              <w:snapToGrid w:val="0"/>
              <w:ind w:firstLine="0" w:firstLineChars="0"/>
              <w:rPr>
                <w:rFonts w:hint="default" w:hAnsi="Cambria Math"/>
                <w:iCs/>
                <w:lang w:val="en-US"/>
              </w:rPr>
            </w:pPr>
            <m:oMathPara>
              <m:oMath>
                <m:r>
                  <m:rPr/>
                  <w:rPr>
                    <w:rFonts w:hint="default" w:ascii="Cambria Math" w:hAnsi="Cambria Math" w:cstheme="minorBidi"/>
                    <w:kern w:val="2"/>
                    <w:sz w:val="24"/>
                    <w:szCs w:val="21"/>
                    <w:lang w:val="en-US" w:eastAsia="zh-CN" w:bidi="ar-SA"/>
                  </w:rPr>
                  <m:t>F(t)+G'(t)=rG(t)</m:t>
                </m:r>
                <m:d>
                  <m:dPr>
                    <m:begChr m:val="["/>
                    <m:endChr m:val="]"/>
                    <m:ctrlPr>
                      <w:rPr>
                        <w:rFonts w:hint="default" w:ascii="Cambria Math" w:hAnsi="Cambria Math" w:cstheme="minorBidi"/>
                        <w:i/>
                        <w:kern w:val="2"/>
                        <w:sz w:val="24"/>
                        <w:szCs w:val="21"/>
                        <w:lang w:val="en-US" w:eastAsia="zh-CN" w:bidi="ar-SA"/>
                      </w:rPr>
                    </m:ctrlPr>
                  </m:dPr>
                  <m:e>
                    <m:f>
                      <m:fPr>
                        <m:ctrlPr>
                          <w:rPr>
                            <w:rFonts w:hint="default" w:ascii="Cambria Math" w:hAnsi="Cambria Math" w:cstheme="minorBidi"/>
                            <w:i/>
                            <w:kern w:val="2"/>
                            <w:sz w:val="24"/>
                            <w:szCs w:val="21"/>
                            <w:lang w:val="en-US" w:eastAsia="zh-CN" w:bidi="ar-SA"/>
                          </w:rPr>
                        </m:ctrlPr>
                      </m:fPr>
                      <m:num>
                        <m:r>
                          <m:rPr/>
                          <w:rPr>
                            <w:rFonts w:hint="default" w:ascii="Cambria Math" w:hAnsi="Cambria Math" w:cstheme="minorBidi"/>
                            <w:kern w:val="2"/>
                            <w:sz w:val="24"/>
                            <w:szCs w:val="21"/>
                            <w:lang w:val="en-US" w:eastAsia="zh-CN" w:bidi="ar-SA"/>
                          </w:rPr>
                          <m:t>1</m:t>
                        </m:r>
                        <m:ctrlPr>
                          <w:rPr>
                            <w:rFonts w:hint="default" w:ascii="Cambria Math" w:hAnsi="Cambria Math" w:cstheme="minorBidi"/>
                            <w:i/>
                            <w:kern w:val="2"/>
                            <w:sz w:val="24"/>
                            <w:szCs w:val="21"/>
                            <w:lang w:val="en-US" w:eastAsia="zh-CN" w:bidi="ar-SA"/>
                          </w:rPr>
                        </m:ctrlPr>
                      </m:num>
                      <m:den>
                        <m:r>
                          <m:rPr/>
                          <w:rPr>
                            <w:rFonts w:hint="default" w:ascii="Cambria Math" w:hAnsi="Cambria Math" w:cstheme="minorBidi"/>
                            <w:kern w:val="2"/>
                            <w:sz w:val="24"/>
                            <w:szCs w:val="21"/>
                            <w:lang w:val="en-US" w:eastAsia="zh-CN" w:bidi="ar-SA"/>
                          </w:rPr>
                          <m:t>1−</m:t>
                        </m:r>
                        <m:sSup>
                          <m:sSupPr>
                            <m:ctrlPr>
                              <w:rPr>
                                <w:rFonts w:hint="default" w:ascii="Cambria Math" w:hAnsi="Cambria Math" w:cstheme="minorBidi"/>
                                <w:i/>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i/>
                                <w:kern w:val="2"/>
                                <w:sz w:val="24"/>
                                <w:szCs w:val="21"/>
                                <w:lang w:val="en-US" w:eastAsia="zh-CN" w:bidi="ar-SA"/>
                              </w:rPr>
                            </m:ctrlPr>
                          </m:e>
                          <m:sup>
                            <m:r>
                              <m:rPr/>
                              <w:rPr>
                                <w:rFonts w:hint="default" w:ascii="Cambria Math" w:hAnsi="Cambria Math" w:cstheme="minorBidi"/>
                                <w:kern w:val="2"/>
                                <w:sz w:val="24"/>
                                <w:szCs w:val="21"/>
                                <w:lang w:val="en-US" w:eastAsia="zh-CN" w:bidi="ar-SA"/>
                              </w:rPr>
                              <m:t>−rt</m:t>
                            </m:r>
                            <m:ctrlPr>
                              <w:rPr>
                                <w:rFonts w:hint="default" w:ascii="Cambria Math" w:hAnsi="Cambria Math" w:cstheme="minorBidi"/>
                                <w:i/>
                                <w:kern w:val="2"/>
                                <w:sz w:val="24"/>
                                <w:szCs w:val="21"/>
                                <w:lang w:val="en-US" w:eastAsia="zh-CN" w:bidi="ar-SA"/>
                              </w:rPr>
                            </m:ctrlPr>
                          </m:sup>
                        </m:sSup>
                        <m:ctrlPr>
                          <w:rPr>
                            <w:rFonts w:hint="default" w:ascii="Cambria Math" w:hAnsi="Cambria Math" w:cstheme="minorBidi"/>
                            <w:i/>
                            <w:kern w:val="2"/>
                            <w:sz w:val="24"/>
                            <w:szCs w:val="21"/>
                            <w:lang w:val="en-US" w:eastAsia="zh-CN" w:bidi="ar-SA"/>
                          </w:rPr>
                        </m:ctrlPr>
                      </m:den>
                    </m:f>
                    <m:r>
                      <m:rPr/>
                      <w:rPr>
                        <w:rFonts w:hint="default" w:ascii="Cambria Math" w:hAnsi="Cambria Math" w:cstheme="minorBidi"/>
                        <w:kern w:val="2"/>
                        <w:sz w:val="24"/>
                        <w:szCs w:val="21"/>
                        <w:lang w:val="en-US" w:eastAsia="zh-CN" w:bidi="ar-SA"/>
                      </w:rPr>
                      <m:t>+</m:t>
                    </m:r>
                    <m:f>
                      <m:fPr>
                        <m:ctrlPr>
                          <w:rPr>
                            <w:rFonts w:hint="default" w:ascii="Cambria Math" w:hAnsi="Cambria Math" w:cstheme="minorBidi"/>
                            <w:i/>
                            <w:kern w:val="2"/>
                            <w:sz w:val="24"/>
                            <w:szCs w:val="21"/>
                            <w:lang w:val="en-US" w:eastAsia="zh-CN" w:bidi="ar-SA"/>
                          </w:rPr>
                        </m:ctrlPr>
                      </m:fPr>
                      <m:num>
                        <m:nary>
                          <m:naryPr>
                            <m:limLoc m:val="subSup"/>
                            <m:ctrlPr>
                              <w:rPr>
                                <w:rFonts w:ascii="Cambria Math" w:hAnsi="Cambria Math"/>
                                <w:i/>
                                <w:iCs/>
                              </w:rPr>
                            </m:ctrlPr>
                          </m:naryPr>
                          <m:sub>
                            <m:r>
                              <m:rPr/>
                              <w:rPr>
                                <w:rFonts w:ascii="Cambria Math" w:hAnsi="Cambria Math"/>
                              </w:rPr>
                              <m:t>0</m:t>
                            </m:r>
                            <m:ctrlPr>
                              <w:rPr>
                                <w:rFonts w:ascii="Cambria Math" w:hAnsi="Cambria Math"/>
                                <w:i/>
                                <w:iCs/>
                              </w:rPr>
                            </m:ctrlPr>
                          </m:sub>
                          <m:sup>
                            <m:r>
                              <m:rPr/>
                              <w:rPr>
                                <w:rFonts w:ascii="Cambria Math" w:hAnsi="Cambria Math"/>
                              </w:rPr>
                              <m:t>t</m:t>
                            </m:r>
                            <m:ctrlPr>
                              <w:rPr>
                                <w:rFonts w:ascii="Cambria Math" w:hAnsi="Cambria Math"/>
                                <w:i/>
                                <w:iCs/>
                              </w:rPr>
                            </m:ctrlPr>
                          </m:sup>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−rx</m:t>
                                </m:r>
                                <m:ctrlPr>
                                  <w:rPr>
                                    <w:rFonts w:ascii="Cambria Math" w:hAnsi="Cambria Math"/>
                                    <w:i/>
                                    <w:iCs/>
                                  </w:rPr>
                                </m:ctrlPr>
                              </m:sup>
                            </m:sSup>
                            <m:r>
                              <m:rPr/>
                              <w:rPr>
                                <w:rFonts w:ascii="Cambria Math" w:hAnsi="Cambria Math"/>
                              </w:rPr>
                              <m:t>F(t)dx</m:t>
                            </m:r>
                            <m:ctrlPr>
                              <w:rPr>
                                <w:rFonts w:ascii="Cambria Math" w:hAnsi="Cambria Math"/>
                                <w:i/>
                                <w:iCs/>
                              </w:rPr>
                            </m:ctrlPr>
                          </m:e>
                        </m:nary>
                        <m:ctrlPr>
                          <w:rPr>
                            <w:rFonts w:hint="default" w:ascii="Cambria Math" w:hAnsi="Cambria Math" w:cstheme="minorBidi"/>
                            <w:i/>
                            <w:kern w:val="2"/>
                            <w:sz w:val="24"/>
                            <w:szCs w:val="21"/>
                            <w:lang w:val="en-US" w:eastAsia="zh-CN" w:bidi="ar-SA"/>
                          </w:rPr>
                        </m:ctrlPr>
                      </m:num>
                      <m:den>
                        <m:r>
                          <m:rPr/>
                          <w:rPr>
                            <w:rFonts w:hint="default" w:ascii="Cambria Math" w:hAnsi="Cambria Math" w:cstheme="minorBidi"/>
                            <w:kern w:val="2"/>
                            <w:sz w:val="24"/>
                            <w:szCs w:val="21"/>
                            <w:lang w:val="en-US" w:eastAsia="zh-CN" w:bidi="ar-SA"/>
                          </w:rPr>
                          <m:t>G(t)(1−</m:t>
                        </m:r>
                        <m:sSup>
                          <m:sSupPr>
                            <m:ctrlPr>
                              <w:rPr>
                                <w:rFonts w:hint="default" w:ascii="Cambria Math" w:hAnsi="Cambria Math" w:cstheme="minorBidi"/>
                                <w:i/>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i/>
                                <w:kern w:val="2"/>
                                <w:sz w:val="24"/>
                                <w:szCs w:val="21"/>
                                <w:lang w:val="en-US" w:eastAsia="zh-CN" w:bidi="ar-SA"/>
                              </w:rPr>
                            </m:ctrlPr>
                          </m:e>
                          <m:sup>
                            <m:r>
                              <m:rPr/>
                              <w:rPr>
                                <w:rFonts w:hint="default" w:ascii="Cambria Math" w:hAnsi="Cambria Math" w:cstheme="minorBidi"/>
                                <w:kern w:val="2"/>
                                <w:sz w:val="24"/>
                                <w:szCs w:val="21"/>
                                <w:lang w:val="en-US" w:eastAsia="zh-CN" w:bidi="ar-SA"/>
                              </w:rPr>
                              <m:t>−rt</m:t>
                            </m:r>
                            <m:ctrlPr>
                              <w:rPr>
                                <w:rFonts w:hint="default" w:ascii="Cambria Math" w:hAnsi="Cambria Math" w:cstheme="minorBidi"/>
                                <w:i/>
                                <w:kern w:val="2"/>
                                <w:sz w:val="24"/>
                                <w:szCs w:val="21"/>
                                <w:lang w:val="en-US" w:eastAsia="zh-CN" w:bidi="ar-SA"/>
                              </w:rPr>
                            </m:ctrlPr>
                          </m:sup>
                        </m:sSup>
                        <m:r>
                          <m:rPr/>
                          <w:rPr>
                            <w:rFonts w:hint="default" w:ascii="Cambria Math" w:hAnsi="Cambria Math" w:cstheme="minorBidi"/>
                            <w:kern w:val="2"/>
                            <w:sz w:val="24"/>
                            <w:szCs w:val="21"/>
                            <w:lang w:val="en-US" w:eastAsia="zh-CN" w:bidi="ar-SA"/>
                          </w:rPr>
                          <m:t>)</m:t>
                        </m:r>
                        <m:ctrlPr>
                          <w:rPr>
                            <w:rFonts w:hint="default" w:ascii="Cambria Math" w:hAnsi="Cambria Math" w:cstheme="minorBidi"/>
                            <w:i/>
                            <w:kern w:val="2"/>
                            <w:sz w:val="24"/>
                            <w:szCs w:val="21"/>
                            <w:lang w:val="en-US" w:eastAsia="zh-CN" w:bidi="ar-SA"/>
                          </w:rPr>
                        </m:ctrlPr>
                      </m:den>
                    </m:f>
                    <m:ctrlPr>
                      <w:rPr>
                        <w:rFonts w:hint="default" w:ascii="Cambria Math" w:hAnsi="Cambria Math" w:cstheme="minorBidi"/>
                        <w:i/>
                        <w:kern w:val="2"/>
                        <w:sz w:val="24"/>
                        <w:szCs w:val="21"/>
                        <w:lang w:val="en-US" w:eastAsia="zh-CN" w:bidi="ar-SA"/>
                      </w:rPr>
                    </m:ctrlPr>
                  </m:e>
                </m:d>
              </m:oMath>
            </m:oMathPara>
          </w:p>
        </w:tc>
        <w:tc>
          <w:tcPr>
            <w:tcW w:w="644" w:type="dxa"/>
            <w:vAlign w:val="center"/>
          </w:tcPr>
          <w:p>
            <w:pPr>
              <w:adjustRightInd w:val="0"/>
              <w:snapToGrid w:val="0"/>
              <w:ind w:firstLine="0" w:firstLineChars="0"/>
              <w:jc w:val="center"/>
            </w:pPr>
            <w:r>
              <w:t>(</w:t>
            </w:r>
            <w:r>
              <w:rPr>
                <w:rFonts w:hint="eastAsia"/>
              </w:rPr>
              <w:t>1</w:t>
            </w:r>
            <w:r>
              <w:rPr>
                <w:rFonts w:hint="eastAsia"/>
                <w:lang w:val="en-US" w:eastAsia="zh-CN"/>
              </w:rPr>
              <w:t>8</w:t>
            </w:r>
            <w:r>
              <w:t>)</w:t>
            </w:r>
          </w:p>
        </w:tc>
      </w:tr>
    </w:tbl>
    <w:p>
      <w:pPr>
        <w:rPr>
          <w:rFonts w:hint="eastAsia" w:hAnsi="Cambria Math" w:cstheme="minorBidi"/>
          <w:i w:val="0"/>
          <w:kern w:val="2"/>
          <w:sz w:val="24"/>
          <w:szCs w:val="21"/>
          <w:lang w:val="en-US" w:eastAsia="zh-CN" w:bidi="ar-SA"/>
        </w:rPr>
      </w:pPr>
      <w:r>
        <w:rPr>
          <w:rFonts w:hint="eastAsia" w:hAnsi="Cambria Math"/>
          <w:i w:val="0"/>
          <w:color w:val="auto"/>
          <w:lang w:val="en-US" w:eastAsia="zh-CN"/>
        </w:rPr>
        <w:t>通过对比式(17)和式(18)可知，考虑多轮轮伐的最优轮伐周期求解过程不会发生本质变化。式(18)中</w:t>
      </w:r>
      <m:oMath>
        <m:d>
          <m:dPr>
            <m:begChr m:val="["/>
            <m:endChr m:val="]"/>
            <m:ctrlPr>
              <w:rPr>
                <w:rFonts w:hint="default" w:ascii="Cambria Math" w:hAnsi="Cambria Math" w:cstheme="minorBidi"/>
                <w:i/>
                <w:kern w:val="2"/>
                <w:sz w:val="24"/>
                <w:szCs w:val="21"/>
                <w:lang w:val="en-US" w:eastAsia="zh-CN" w:bidi="ar-SA"/>
              </w:rPr>
            </m:ctrlPr>
          </m:dPr>
          <m:e>
            <m:f>
              <m:fPr>
                <m:ctrlPr>
                  <w:rPr>
                    <w:rFonts w:hint="default" w:ascii="Cambria Math" w:hAnsi="Cambria Math" w:cstheme="minorBidi"/>
                    <w:i/>
                    <w:kern w:val="2"/>
                    <w:sz w:val="24"/>
                    <w:szCs w:val="21"/>
                    <w:lang w:val="en-US" w:eastAsia="zh-CN" w:bidi="ar-SA"/>
                  </w:rPr>
                </m:ctrlPr>
              </m:fPr>
              <m:num>
                <m:r>
                  <m:rPr/>
                  <w:rPr>
                    <w:rFonts w:hint="default" w:ascii="Cambria Math" w:hAnsi="Cambria Math" w:cstheme="minorBidi"/>
                    <w:kern w:val="2"/>
                    <w:sz w:val="24"/>
                    <w:szCs w:val="21"/>
                    <w:lang w:val="en-US" w:eastAsia="zh-CN" w:bidi="ar-SA"/>
                  </w:rPr>
                  <m:t>1</m:t>
                </m:r>
                <m:ctrlPr>
                  <w:rPr>
                    <w:rFonts w:hint="default" w:ascii="Cambria Math" w:hAnsi="Cambria Math" w:cstheme="minorBidi"/>
                    <w:i/>
                    <w:kern w:val="2"/>
                    <w:sz w:val="24"/>
                    <w:szCs w:val="21"/>
                    <w:lang w:val="en-US" w:eastAsia="zh-CN" w:bidi="ar-SA"/>
                  </w:rPr>
                </m:ctrlPr>
              </m:num>
              <m:den>
                <m:r>
                  <m:rPr/>
                  <w:rPr>
                    <w:rFonts w:hint="default" w:ascii="Cambria Math" w:hAnsi="Cambria Math" w:cstheme="minorBidi"/>
                    <w:kern w:val="2"/>
                    <w:sz w:val="24"/>
                    <w:szCs w:val="21"/>
                    <w:lang w:val="en-US" w:eastAsia="zh-CN" w:bidi="ar-SA"/>
                  </w:rPr>
                  <m:t>1−</m:t>
                </m:r>
                <m:sSup>
                  <m:sSupPr>
                    <m:ctrlPr>
                      <w:rPr>
                        <w:rFonts w:hint="default" w:ascii="Cambria Math" w:hAnsi="Cambria Math" w:cstheme="minorBidi"/>
                        <w:i/>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i/>
                        <w:kern w:val="2"/>
                        <w:sz w:val="24"/>
                        <w:szCs w:val="21"/>
                        <w:lang w:val="en-US" w:eastAsia="zh-CN" w:bidi="ar-SA"/>
                      </w:rPr>
                    </m:ctrlPr>
                  </m:e>
                  <m:sup>
                    <m:r>
                      <m:rPr/>
                      <w:rPr>
                        <w:rFonts w:hint="default" w:ascii="Cambria Math" w:hAnsi="Cambria Math" w:cstheme="minorBidi"/>
                        <w:kern w:val="2"/>
                        <w:sz w:val="24"/>
                        <w:szCs w:val="21"/>
                        <w:lang w:val="en-US" w:eastAsia="zh-CN" w:bidi="ar-SA"/>
                      </w:rPr>
                      <m:t>−rt</m:t>
                    </m:r>
                    <m:ctrlPr>
                      <w:rPr>
                        <w:rFonts w:hint="default" w:ascii="Cambria Math" w:hAnsi="Cambria Math" w:cstheme="minorBidi"/>
                        <w:i/>
                        <w:kern w:val="2"/>
                        <w:sz w:val="24"/>
                        <w:szCs w:val="21"/>
                        <w:lang w:val="en-US" w:eastAsia="zh-CN" w:bidi="ar-SA"/>
                      </w:rPr>
                    </m:ctrlPr>
                  </m:sup>
                </m:sSup>
                <m:ctrlPr>
                  <w:rPr>
                    <w:rFonts w:hint="default" w:ascii="Cambria Math" w:hAnsi="Cambria Math" w:cstheme="minorBidi"/>
                    <w:i/>
                    <w:kern w:val="2"/>
                    <w:sz w:val="24"/>
                    <w:szCs w:val="21"/>
                    <w:lang w:val="en-US" w:eastAsia="zh-CN" w:bidi="ar-SA"/>
                  </w:rPr>
                </m:ctrlPr>
              </m:den>
            </m:f>
            <m:r>
              <m:rPr/>
              <w:rPr>
                <w:rFonts w:hint="default" w:ascii="Cambria Math" w:hAnsi="Cambria Math" w:cstheme="minorBidi"/>
                <w:kern w:val="2"/>
                <w:sz w:val="24"/>
                <w:szCs w:val="21"/>
                <w:lang w:val="en-US" w:eastAsia="zh-CN" w:bidi="ar-SA"/>
              </w:rPr>
              <m:t>+</m:t>
            </m:r>
            <m:f>
              <m:fPr>
                <m:ctrlPr>
                  <w:rPr>
                    <w:rFonts w:hint="default" w:ascii="Cambria Math" w:hAnsi="Cambria Math" w:cstheme="minorBidi"/>
                    <w:i/>
                    <w:kern w:val="2"/>
                    <w:sz w:val="24"/>
                    <w:szCs w:val="21"/>
                    <w:lang w:val="en-US" w:eastAsia="zh-CN" w:bidi="ar-SA"/>
                  </w:rPr>
                </m:ctrlPr>
              </m:fPr>
              <m:num>
                <m:nary>
                  <m:naryPr>
                    <m:limLoc m:val="subSup"/>
                    <m:ctrlPr>
                      <w:rPr>
                        <w:rFonts w:ascii="Cambria Math" w:hAnsi="Cambria Math"/>
                        <w:i/>
                        <w:iCs/>
                      </w:rPr>
                    </m:ctrlPr>
                  </m:naryPr>
                  <m:sub>
                    <m:r>
                      <m:rPr/>
                      <w:rPr>
                        <w:rFonts w:ascii="Cambria Math" w:hAnsi="Cambria Math"/>
                      </w:rPr>
                      <m:t>0</m:t>
                    </m:r>
                    <m:ctrlPr>
                      <w:rPr>
                        <w:rFonts w:ascii="Cambria Math" w:hAnsi="Cambria Math"/>
                        <w:i/>
                        <w:iCs/>
                      </w:rPr>
                    </m:ctrlPr>
                  </m:sub>
                  <m:sup>
                    <m:r>
                      <m:rPr/>
                      <w:rPr>
                        <w:rFonts w:ascii="Cambria Math" w:hAnsi="Cambria Math"/>
                      </w:rPr>
                      <m:t>t</m:t>
                    </m:r>
                    <m:ctrlPr>
                      <w:rPr>
                        <w:rFonts w:ascii="Cambria Math" w:hAnsi="Cambria Math"/>
                        <w:i/>
                        <w:iCs/>
                      </w:rPr>
                    </m:ctrlPr>
                  </m:sup>
                  <m:e>
                    <m:sSup>
                      <m:sSupPr>
                        <m:ctrlPr>
                          <w:rPr>
                            <w:rFonts w:ascii="Cambria Math" w:hAnsi="Cambria Math"/>
                            <w:i/>
                            <w:iCs/>
                          </w:rPr>
                        </m:ctrlPr>
                      </m:sSupPr>
                      <m:e>
                        <m:r>
                          <m:rPr/>
                          <w:rPr>
                            <w:rFonts w:ascii="Cambria Math" w:hAnsi="Cambria Math"/>
                          </w:rPr>
                          <m:t>e</m:t>
                        </m:r>
                        <m:ctrlPr>
                          <w:rPr>
                            <w:rFonts w:ascii="Cambria Math" w:hAnsi="Cambria Math"/>
                            <w:i/>
                            <w:iCs/>
                          </w:rPr>
                        </m:ctrlPr>
                      </m:e>
                      <m:sup>
                        <m:r>
                          <m:rPr/>
                          <w:rPr>
                            <w:rFonts w:ascii="Cambria Math" w:hAnsi="Cambria Math"/>
                          </w:rPr>
                          <m:t>−rx</m:t>
                        </m:r>
                        <m:ctrlPr>
                          <w:rPr>
                            <w:rFonts w:ascii="Cambria Math" w:hAnsi="Cambria Math"/>
                            <w:i/>
                            <w:iCs/>
                          </w:rPr>
                        </m:ctrlPr>
                      </m:sup>
                    </m:sSup>
                    <m:r>
                      <m:rPr/>
                      <w:rPr>
                        <w:rFonts w:ascii="Cambria Math" w:hAnsi="Cambria Math"/>
                      </w:rPr>
                      <m:t>F(t)dx</m:t>
                    </m:r>
                    <m:ctrlPr>
                      <w:rPr>
                        <w:rFonts w:ascii="Cambria Math" w:hAnsi="Cambria Math"/>
                        <w:i/>
                        <w:iCs/>
                      </w:rPr>
                    </m:ctrlPr>
                  </m:e>
                </m:nary>
                <m:ctrlPr>
                  <w:rPr>
                    <w:rFonts w:hint="default" w:ascii="Cambria Math" w:hAnsi="Cambria Math" w:cstheme="minorBidi"/>
                    <w:i/>
                    <w:kern w:val="2"/>
                    <w:sz w:val="24"/>
                    <w:szCs w:val="21"/>
                    <w:lang w:val="en-US" w:eastAsia="zh-CN" w:bidi="ar-SA"/>
                  </w:rPr>
                </m:ctrlPr>
              </m:num>
              <m:den>
                <m:r>
                  <m:rPr/>
                  <w:rPr>
                    <w:rFonts w:hint="default" w:ascii="Cambria Math" w:hAnsi="Cambria Math" w:cstheme="minorBidi"/>
                    <w:kern w:val="2"/>
                    <w:sz w:val="24"/>
                    <w:szCs w:val="21"/>
                    <w:lang w:val="en-US" w:eastAsia="zh-CN" w:bidi="ar-SA"/>
                  </w:rPr>
                  <m:t>G(t)(1−</m:t>
                </m:r>
                <m:sSup>
                  <m:sSupPr>
                    <m:ctrlPr>
                      <w:rPr>
                        <w:rFonts w:hint="default" w:ascii="Cambria Math" w:hAnsi="Cambria Math" w:cstheme="minorBidi"/>
                        <w:i/>
                        <w:kern w:val="2"/>
                        <w:sz w:val="24"/>
                        <w:szCs w:val="21"/>
                        <w:lang w:val="en-US" w:eastAsia="zh-CN" w:bidi="ar-SA"/>
                      </w:rPr>
                    </m:ctrlPr>
                  </m:sSupPr>
                  <m:e>
                    <m:r>
                      <m:rPr/>
                      <w:rPr>
                        <w:rFonts w:hint="default" w:ascii="Cambria Math" w:hAnsi="Cambria Math" w:cstheme="minorBidi"/>
                        <w:kern w:val="2"/>
                        <w:sz w:val="24"/>
                        <w:szCs w:val="21"/>
                        <w:lang w:val="en-US" w:eastAsia="zh-CN" w:bidi="ar-SA"/>
                      </w:rPr>
                      <m:t>e</m:t>
                    </m:r>
                    <m:ctrlPr>
                      <w:rPr>
                        <w:rFonts w:hint="default" w:ascii="Cambria Math" w:hAnsi="Cambria Math" w:cstheme="minorBidi"/>
                        <w:i/>
                        <w:kern w:val="2"/>
                        <w:sz w:val="24"/>
                        <w:szCs w:val="21"/>
                        <w:lang w:val="en-US" w:eastAsia="zh-CN" w:bidi="ar-SA"/>
                      </w:rPr>
                    </m:ctrlPr>
                  </m:e>
                  <m:sup>
                    <m:r>
                      <m:rPr/>
                      <w:rPr>
                        <w:rFonts w:hint="default" w:ascii="Cambria Math" w:hAnsi="Cambria Math" w:cstheme="minorBidi"/>
                        <w:kern w:val="2"/>
                        <w:sz w:val="24"/>
                        <w:szCs w:val="21"/>
                        <w:lang w:val="en-US" w:eastAsia="zh-CN" w:bidi="ar-SA"/>
                      </w:rPr>
                      <m:t>−rt</m:t>
                    </m:r>
                    <m:ctrlPr>
                      <w:rPr>
                        <w:rFonts w:hint="default" w:ascii="Cambria Math" w:hAnsi="Cambria Math" w:cstheme="minorBidi"/>
                        <w:i/>
                        <w:kern w:val="2"/>
                        <w:sz w:val="24"/>
                        <w:szCs w:val="21"/>
                        <w:lang w:val="en-US" w:eastAsia="zh-CN" w:bidi="ar-SA"/>
                      </w:rPr>
                    </m:ctrlPr>
                  </m:sup>
                </m:sSup>
                <m:r>
                  <m:rPr/>
                  <w:rPr>
                    <w:rFonts w:hint="default" w:ascii="Cambria Math" w:hAnsi="Cambria Math" w:cstheme="minorBidi"/>
                    <w:kern w:val="2"/>
                    <w:sz w:val="24"/>
                    <w:szCs w:val="21"/>
                    <w:lang w:val="en-US" w:eastAsia="zh-CN" w:bidi="ar-SA"/>
                  </w:rPr>
                  <m:t>)</m:t>
                </m:r>
                <m:ctrlPr>
                  <w:rPr>
                    <w:rFonts w:hint="default" w:ascii="Cambria Math" w:hAnsi="Cambria Math" w:cstheme="minorBidi"/>
                    <w:i/>
                    <w:kern w:val="2"/>
                    <w:sz w:val="24"/>
                    <w:szCs w:val="21"/>
                    <w:lang w:val="en-US" w:eastAsia="zh-CN" w:bidi="ar-SA"/>
                  </w:rPr>
                </m:ctrlPr>
              </m:den>
            </m:f>
            <m:ctrlPr>
              <w:rPr>
                <w:rFonts w:hint="default" w:ascii="Cambria Math" w:hAnsi="Cambria Math" w:cstheme="minorBidi"/>
                <w:i/>
                <w:kern w:val="2"/>
                <w:sz w:val="24"/>
                <w:szCs w:val="21"/>
                <w:lang w:val="en-US" w:eastAsia="zh-CN" w:bidi="ar-SA"/>
              </w:rPr>
            </m:ctrlPr>
          </m:e>
        </m:d>
      </m:oMath>
      <w:r>
        <w:rPr>
          <w:rFonts w:hint="eastAsia" w:hAnsi="Cambria Math" w:cstheme="minorBidi"/>
          <w:i w:val="0"/>
          <w:kern w:val="2"/>
          <w:sz w:val="24"/>
          <w:szCs w:val="21"/>
          <w:lang w:val="en-US" w:eastAsia="zh-CN" w:bidi="ar-SA"/>
        </w:rPr>
        <w:t>的数值显然大于1，所以当考虑多轮轮伐时，仍符合5.3.1中描述的三种结果，但由于等式右侧的数值变大，故考虑多轮轮伐的最佳轮伐周期</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相较于仅考虑一次轮伐的</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会偏小，总体更趋向与缩短轮伐周期。</w:t>
      </w:r>
    </w:p>
    <w:p>
      <w:pPr>
        <w:pStyle w:val="4"/>
        <w:bidi w:val="0"/>
        <w:rPr>
          <w:rFonts w:hint="default"/>
          <w:lang w:val="en-US" w:eastAsia="zh-CN"/>
        </w:rPr>
      </w:pPr>
      <w:r>
        <w:rPr>
          <w:rFonts w:hint="eastAsia"/>
          <w:lang w:val="en-US" w:eastAsia="zh-CN"/>
        </w:rPr>
        <w:t>过渡点(transition points)的讨论</w:t>
      </w:r>
    </w:p>
    <w:p>
      <w:pPr>
        <w:rPr>
          <w:rFonts w:hint="eastAsia" w:hAnsi="Cambria Math" w:cstheme="minorBidi"/>
          <w:i w:val="0"/>
          <w:kern w:val="2"/>
          <w:sz w:val="24"/>
          <w:szCs w:val="21"/>
          <w:lang w:val="en-US" w:eastAsia="zh-CN" w:bidi="ar-SA"/>
        </w:rPr>
      </w:pPr>
      <w:r>
        <w:rPr>
          <w:rFonts w:hint="eastAsia"/>
          <w:lang w:val="en-US" w:eastAsia="zh-CN"/>
        </w:rPr>
        <w:t>由上文论述可知，</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会出现三种不同的结果，我们将前两种结果统一定义为“需要收获”的管理方案，将最后一种结果定义为“永不收获”的管理方案。在此，我们定义这两种方案的过渡情况为过渡点(transition point)，并对其进行讨论。</w:t>
      </w:r>
    </w:p>
    <w:p>
      <w:pPr>
        <w:rPr>
          <w:rFonts w:hint="eastAsia" w:hAnsi="Cambria Math" w:cstheme="minorBidi"/>
          <w:i w:val="0"/>
          <w:kern w:val="2"/>
          <w:sz w:val="24"/>
          <w:szCs w:val="21"/>
          <w:lang w:val="en-US" w:eastAsia="zh-CN" w:bidi="ar-SA"/>
        </w:rPr>
      </w:pPr>
      <w:r>
        <w:rPr>
          <w:rFonts w:hint="eastAsia" w:hAnsi="Cambria Math" w:cstheme="minorBidi"/>
          <w:i w:val="0"/>
          <w:kern w:val="2"/>
          <w:sz w:val="24"/>
          <w:szCs w:val="21"/>
          <w:lang w:val="en-US" w:eastAsia="zh-CN" w:bidi="ar-SA"/>
        </w:rPr>
        <w:t>从几何角度分析，过渡点存在于由</w:t>
      </w:r>
      <w:r>
        <w:rPr>
          <w:rFonts w:hint="eastAsia" w:hAnsi="Cambria Math" w:cstheme="minorBidi"/>
          <w:i w:val="0"/>
          <w:color w:val="FF0000"/>
          <w:kern w:val="2"/>
          <w:sz w:val="24"/>
          <w:szCs w:val="21"/>
          <w:lang w:val="en-US" w:eastAsia="zh-CN" w:bidi="ar-SA"/>
        </w:rPr>
        <w:t>图x（5.3.1中图2）</w:t>
      </w:r>
      <w:r>
        <w:rPr>
          <w:rFonts w:hint="eastAsia" w:hAnsi="Cambria Math" w:cstheme="minorBidi"/>
          <w:i w:val="0"/>
          <w:color w:val="auto"/>
          <w:kern w:val="2"/>
          <w:sz w:val="24"/>
          <w:szCs w:val="21"/>
          <w:lang w:val="en-US" w:eastAsia="zh-CN" w:bidi="ar-SA"/>
        </w:rPr>
        <w:t>向</w:t>
      </w:r>
      <w:r>
        <w:rPr>
          <w:rFonts w:hint="eastAsia" w:hAnsi="Cambria Math" w:cstheme="minorBidi"/>
          <w:i w:val="0"/>
          <w:color w:val="FF0000"/>
          <w:kern w:val="2"/>
          <w:sz w:val="24"/>
          <w:szCs w:val="21"/>
          <w:lang w:val="en-US" w:eastAsia="zh-CN" w:bidi="ar-SA"/>
        </w:rPr>
        <w:t>图x+1</w:t>
      </w:r>
      <w:r>
        <w:rPr>
          <w:rFonts w:hint="eastAsia" w:hAnsi="Cambria Math" w:cstheme="minorBidi"/>
          <w:i w:val="0"/>
          <w:color w:val="auto"/>
          <w:kern w:val="2"/>
          <w:sz w:val="24"/>
          <w:szCs w:val="21"/>
          <w:lang w:val="en-US" w:eastAsia="zh-CN" w:bidi="ar-SA"/>
        </w:rPr>
        <w:t>的过程中，当两条曲线相切时，切点对应的横坐标即为过渡点对应的最优轮伐周期</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。当</w:t>
      </w:r>
      <m:oMath>
        <m:r>
          <m:rPr/>
          <w:rPr>
            <w:rFonts w:hint="default" w:ascii="Cambria Math" w:hAnsi="Cambria Math" w:cstheme="minorBidi"/>
            <w:kern w:val="2"/>
            <w:sz w:val="24"/>
            <w:szCs w:val="21"/>
            <w:lang w:val="en-US" w:eastAsia="zh-CN" w:bidi="ar-SA"/>
          </w:rPr>
          <m:t>F(t)/G(t)</m:t>
        </m:r>
      </m:oMath>
      <w:r>
        <w:rPr>
          <w:rFonts w:hint="eastAsia" w:hAnsi="Cambria Math" w:cstheme="minorBidi"/>
          <w:i w:val="0"/>
          <w:kern w:val="2"/>
          <w:sz w:val="24"/>
          <w:szCs w:val="21"/>
          <w:lang w:val="en-US" w:eastAsia="zh-CN" w:bidi="ar-SA"/>
        </w:rPr>
        <w:t>稍减少时，两条曲线便会有两个交点，并且</w:t>
      </w:r>
      <m:oMath>
        <m:sSup>
          <m:sSupPr>
            <m:ctrlPr>
              <w:rPr>
                <w:rFonts w:ascii="Cambria Math" w:hAnsi="Cambria Math" w:cstheme="minorBidi"/>
                <w:i/>
                <w:kern w:val="2"/>
                <w:sz w:val="24"/>
                <w:szCs w:val="21"/>
                <w:lang w:val="en-US" w:bidi="ar-SA"/>
              </w:rPr>
            </m:ctrlPr>
          </m:sSupPr>
          <m:e>
            <m:r>
              <m:rPr/>
              <w:rPr>
                <w:rFonts w:hint="default" w:ascii="Cambria Math" w:hAnsi="Cambria Math" w:cstheme="minorBidi"/>
                <w:kern w:val="2"/>
                <w:sz w:val="24"/>
                <w:szCs w:val="21"/>
                <w:lang w:val="en-US" w:eastAsia="zh-CN" w:bidi="ar-SA"/>
              </w:rPr>
              <m:t>t</m:t>
            </m:r>
            <m:ctrlPr>
              <w:rPr>
                <w:rFonts w:ascii="Cambria Math" w:hAnsi="Cambria Math" w:cstheme="minorBidi"/>
                <w:i/>
                <w:kern w:val="2"/>
                <w:sz w:val="24"/>
                <w:szCs w:val="21"/>
                <w:lang w:val="en-US" w:bidi="ar-SA"/>
              </w:rPr>
            </m:ctrlPr>
          </m:e>
          <m:sup>
            <m:r>
              <m:rPr/>
              <w:rPr>
                <w:rFonts w:hint="default" w:ascii="Cambria Math" w:hAnsi="Cambria Math" w:cstheme="minorBidi"/>
                <w:kern w:val="2"/>
                <w:sz w:val="24"/>
                <w:szCs w:val="21"/>
                <w:lang w:val="en-US" w:eastAsia="zh-CN" w:bidi="ar-SA"/>
              </w:rPr>
              <m:t>∗</m:t>
            </m:r>
            <m:ctrlPr>
              <w:rPr>
                <w:rFonts w:ascii="Cambria Math" w:hAnsi="Cambria Math" w:cstheme="minorBidi"/>
                <w:i/>
                <w:kern w:val="2"/>
                <w:sz w:val="24"/>
                <w:szCs w:val="21"/>
                <w:lang w:val="en-US" w:bidi="ar-SA"/>
              </w:rPr>
            </m:ctrlPr>
          </m:sup>
        </m:sSup>
      </m:oMath>
      <w:r>
        <w:rPr>
          <w:rFonts w:hint="eastAsia" w:hAnsi="Cambria Math" w:cstheme="minorBidi"/>
          <w:i w:val="0"/>
          <w:kern w:val="2"/>
          <w:sz w:val="24"/>
          <w:szCs w:val="21"/>
          <w:lang w:val="en-US" w:eastAsia="zh-CN" w:bidi="ar-SA"/>
        </w:rPr>
        <w:t>较小，对应“需要收获”的管理方案；当</w:t>
      </w:r>
      <m:oMath>
        <m:r>
          <m:rPr/>
          <w:rPr>
            <w:rFonts w:hint="default" w:ascii="Cambria Math" w:hAnsi="Cambria Math" w:cstheme="minorBidi"/>
            <w:kern w:val="2"/>
            <w:sz w:val="24"/>
            <w:szCs w:val="21"/>
            <w:lang w:val="en-US" w:eastAsia="zh-CN" w:bidi="ar-SA"/>
          </w:rPr>
          <m:t>F(t)/G(t)</m:t>
        </m:r>
      </m:oMath>
      <w:r>
        <w:rPr>
          <w:rFonts w:hint="eastAsia" w:hAnsi="Cambria Math" w:cstheme="minorBidi"/>
          <w:i w:val="0"/>
          <w:kern w:val="2"/>
          <w:sz w:val="24"/>
          <w:szCs w:val="21"/>
          <w:lang w:val="en-US" w:eastAsia="zh-CN" w:bidi="ar-SA"/>
        </w:rPr>
        <w:t>稍增大时，两条曲线便会分离，此时不存在交点，对应“永不收获”的管理方案。</w:t>
      </w:r>
    </w:p>
    <w:p>
      <w:pPr>
        <w:rPr>
          <w:rFonts w:hint="eastAsia" w:hAnsi="Cambria Math" w:cstheme="minorBidi"/>
          <w:i w:val="0"/>
          <w:kern w:val="2"/>
          <w:sz w:val="24"/>
          <w:szCs w:val="21"/>
          <w:lang w:val="en-US" w:eastAsia="zh-CN" w:bidi="ar-SA"/>
        </w:rPr>
      </w:pPr>
      <w:r>
        <w:rPr>
          <w:rFonts w:hint="eastAsia" w:hAnsi="Cambria Math" w:cstheme="minorBidi"/>
          <w:i w:val="0"/>
          <w:kern w:val="2"/>
          <w:sz w:val="24"/>
          <w:szCs w:val="21"/>
          <w:lang w:val="en-US" w:eastAsia="zh-CN" w:bidi="ar-SA"/>
        </w:rPr>
        <w:t>已知两条曲线相切，通过简单的数学计算便可得到过渡点的具体位置，求解方程组基于式(17)如下所示：</w:t>
      </w:r>
    </w:p>
    <w:p>
      <w:pPr>
        <w:rPr>
          <w:rFonts w:hint="default" w:hAnsi="Cambria Math" w:cstheme="minorBidi"/>
          <w:i w:val="0"/>
          <w:kern w:val="2"/>
          <w:sz w:val="24"/>
          <w:szCs w:val="21"/>
          <w:lang w:val="en-US" w:eastAsia="zh-CN" w:bidi="ar-SA"/>
        </w:rPr>
      </w:pPr>
      <m:oMathPara>
        <m:oMath>
          <m:d>
            <m:dPr>
              <m:begChr m:val="{"/>
              <m:endChr m:val=""/>
              <m:ctrlPr>
                <w:rPr>
                  <w:rFonts w:hint="default" w:ascii="Cambria Math" w:hAnsi="Cambria Math" w:cstheme="minorBidi"/>
                  <w:i/>
                  <w:iCs/>
                  <w:kern w:val="2"/>
                  <w:sz w:val="24"/>
                  <w:szCs w:val="21"/>
                  <w:lang w:val="en-US" w:eastAsia="zh-CN" w:bidi="ar-SA"/>
                </w:rPr>
              </m:ctrlPr>
            </m:dPr>
            <m:e>
              <m:eqArr>
                <m:eqArrPr>
                  <m:ctrlPr>
                    <w:rPr>
                      <w:rFonts w:hint="default" w:ascii="Cambria Math" w:hAnsi="Cambria Math" w:cstheme="minorBidi"/>
                      <w:i/>
                      <w:kern w:val="2"/>
                      <w:sz w:val="24"/>
                      <w:szCs w:val="21"/>
                      <w:lang w:val="en-US" w:eastAsia="zh-CN" w:bidi="ar-SA"/>
                    </w:rPr>
                  </m:ctrlPr>
                </m:eqArrPr>
                <m:e>
                  <m:r>
                    <m:rPr/>
                    <w:rPr>
                      <w:rFonts w:hint="default" w:ascii="Cambria Math" w:hAnsi="Cambria Math" w:cstheme="minorBidi"/>
                      <w:kern w:val="2"/>
                      <w:sz w:val="24"/>
                      <w:szCs w:val="21"/>
                      <w:lang w:val="en-US" w:eastAsia="zh-CN" w:bidi="ar-SA"/>
                    </w:rPr>
                    <m:t>F(t)+G'(t)=rG(t)</m:t>
                  </m:r>
                  <m:ctrlPr>
                    <w:rPr>
                      <w:rFonts w:hint="default" w:ascii="Cambria Math" w:hAnsi="Cambria Math" w:cstheme="minorBidi"/>
                      <w:i/>
                      <w:kern w:val="2"/>
                      <w:sz w:val="24"/>
                      <w:szCs w:val="21"/>
                      <w:lang w:val="en-US" w:eastAsia="zh-CN" w:bidi="ar-SA"/>
                    </w:rPr>
                  </m:ctrlPr>
                </m:e>
                <m:e>
                  <m:r>
                    <m:rPr/>
                    <w:rPr>
                      <w:rFonts w:hint="default" w:ascii="Cambria Math" w:hAnsi="Cambria Math" w:cstheme="minorBidi"/>
                      <w:kern w:val="2"/>
                      <w:sz w:val="24"/>
                      <w:szCs w:val="21"/>
                      <w:lang w:val="en-US" w:eastAsia="zh-CN" w:bidi="ar-SA"/>
                    </w:rPr>
                    <m:t>F'(t)+G''(t)&lt;rG'(t)</m:t>
                  </m:r>
                  <m:ctrlPr>
                    <w:rPr>
                      <w:rFonts w:hint="default" w:ascii="Cambria Math" w:hAnsi="Cambria Math" w:cstheme="minorBidi"/>
                      <w:i/>
                      <w:iCs/>
                      <w:kern w:val="2"/>
                      <w:sz w:val="24"/>
                      <w:szCs w:val="21"/>
                      <w:lang w:val="en-US" w:eastAsia="zh-CN" w:bidi="ar-SA"/>
                    </w:rPr>
                  </m:ctrlPr>
                </m:e>
              </m:eqArr>
              <m:ctrlPr>
                <w:rPr>
                  <w:rFonts w:hint="default" w:ascii="Cambria Math" w:hAnsi="Cambria Math" w:cstheme="minorBidi"/>
                  <w:i/>
                  <w:kern w:val="2"/>
                  <w:sz w:val="24"/>
                  <w:szCs w:val="21"/>
                  <w:lang w:val="en-US" w:eastAsia="zh-CN" w:bidi="ar-SA"/>
                </w:rPr>
              </m:ctrlPr>
            </m:e>
          </m:d>
        </m:oMath>
      </m:oMathPara>
    </w:p>
    <w:p>
      <w:pPr>
        <w:rPr>
          <w:rFonts w:hint="eastAsia" w:hAnsi="Cambria Math" w:cstheme="minorBidi"/>
          <w:i w:val="0"/>
          <w:kern w:val="2"/>
          <w:sz w:val="24"/>
          <w:szCs w:val="21"/>
          <w:lang w:val="en-US" w:eastAsia="zh-CN" w:bidi="ar-SA"/>
        </w:rPr>
      </w:pPr>
      <w:r>
        <w:rPr>
          <w:rFonts w:hint="eastAsia" w:hAnsi="Cambria Math" w:cstheme="minorBidi"/>
          <w:i w:val="0"/>
          <w:kern w:val="2"/>
          <w:sz w:val="24"/>
          <w:szCs w:val="21"/>
          <w:lang w:val="en-US" w:eastAsia="zh-CN" w:bidi="ar-SA"/>
        </w:rPr>
        <w:t>当考虑多轮轮伐时，仅需求解式(18)以及式(18)两边同时求导得到的方程，便同样可得到过渡点的具体位置。</w:t>
      </w:r>
    </w:p>
    <w:p>
      <w:pPr>
        <w:pStyle w:val="3"/>
        <w:bidi w:val="0"/>
        <w:rPr>
          <w:rFonts w:hint="default"/>
          <w:lang w:val="en-US" w:eastAsia="zh-CN"/>
        </w:rPr>
      </w:pPr>
      <w:r>
        <w:rPr>
          <w:rFonts w:hint="eastAsia"/>
          <w:lang w:val="en-US" w:eastAsia="zh-CN"/>
        </w:rPr>
        <w:t>基于货币价值(monetary value)的动态权重变化</w:t>
      </w:r>
    </w:p>
    <w:p>
      <w:pPr>
        <w:rPr>
          <w:rFonts w:hint="eastAsia"/>
          <w:lang w:val="en-US" w:eastAsia="zh-CN"/>
        </w:rPr>
      </w:pPr>
      <w:r>
        <w:rPr>
          <w:rFonts w:hint="eastAsia"/>
          <w:lang w:val="en-US" w:eastAsia="zh-CN"/>
        </w:rPr>
        <w:t>在评估森林多方面价值时，我们并未设定额外的加权模型。从表面上看，加权模型的“缺失”会导致我们的评价体系无法适用于不同类型的森林，更不必说根据特定森林的特征和所在区域对过渡点进行确定。</w:t>
      </w:r>
    </w:p>
    <w:p>
      <w:pPr>
        <w:rPr>
          <w:rFonts w:hint="eastAsia" w:hAnsi="Cambria Math" w:cstheme="minorBidi"/>
          <w:i w:val="0"/>
          <w:kern w:val="2"/>
          <w:sz w:val="24"/>
          <w:szCs w:val="21"/>
          <w:lang w:val="en-US" w:eastAsia="zh-CN" w:bidi="ar-SA"/>
        </w:rPr>
      </w:pPr>
      <w:r>
        <w:rPr>
          <w:rFonts w:hint="eastAsia"/>
          <w:lang w:val="en-US" w:eastAsia="zh-CN"/>
        </w:rPr>
        <w:t>但实际上，我们将</w:t>
      </w:r>
      <m:oMath>
        <m:r>
          <m:rPr/>
          <w:rPr>
            <w:rFonts w:hint="default" w:ascii="Cambria Math" w:hAnsi="Cambria Math" w:cstheme="minorBidi"/>
            <w:kern w:val="2"/>
            <w:sz w:val="24"/>
            <w:szCs w:val="21"/>
            <w:lang w:val="en-US" w:eastAsia="zh-CN" w:bidi="ar-SA"/>
          </w:rPr>
          <m:t>F(t)</m:t>
        </m:r>
      </m:oMath>
      <w:r>
        <w:rPr>
          <w:rFonts w:hint="eastAsia" w:hAnsi="Cambria Math" w:cstheme="minorBidi"/>
          <w:i w:val="0"/>
          <w:kern w:val="2"/>
          <w:sz w:val="24"/>
          <w:szCs w:val="21"/>
          <w:lang w:val="en-US" w:eastAsia="zh-CN" w:bidi="ar-SA"/>
        </w:rPr>
        <w:t>和</w:t>
      </w:r>
      <m:oMath>
        <m:r>
          <m:rPr/>
          <w:rPr>
            <w:rFonts w:hint="default" w:ascii="Cambria Math" w:hAnsi="Cambria Math" w:cstheme="minorBidi"/>
            <w:kern w:val="2"/>
            <w:sz w:val="24"/>
            <w:szCs w:val="21"/>
            <w:lang w:val="en-US" w:eastAsia="zh-CN" w:bidi="ar-SA"/>
          </w:rPr>
          <m:t>G(t)</m:t>
        </m:r>
      </m:oMath>
      <w:r>
        <w:rPr>
          <w:rFonts w:hint="eastAsia" w:hAnsi="Cambria Math" w:cstheme="minorBidi"/>
          <w:i w:val="0"/>
          <w:kern w:val="2"/>
          <w:sz w:val="24"/>
          <w:szCs w:val="21"/>
          <w:lang w:val="en-US" w:eastAsia="zh-CN" w:bidi="ar-SA"/>
        </w:rPr>
        <w:t>中包含的所有评价指标统一使用货币价值进行衡量，各指标的数值均与森林的特征，如树木寿命、木材价格，以及所在区域的特异性，如碳市场中碳价、旅游市场的成熟程度，密切相关。并且，不同指标之间的重要程度也可通过货币价值直接得到显现。因而，我们通过现实数据得到的</w:t>
      </w:r>
      <m:oMath>
        <m:r>
          <m:rPr/>
          <w:rPr>
            <w:rFonts w:hint="default" w:ascii="Cambria Math" w:hAnsi="Cambria Math" w:cstheme="minorBidi"/>
            <w:kern w:val="2"/>
            <w:sz w:val="24"/>
            <w:szCs w:val="21"/>
            <w:lang w:val="en-US" w:eastAsia="zh-CN" w:bidi="ar-SA"/>
          </w:rPr>
          <m:t>F(t)</m:t>
        </m:r>
      </m:oMath>
      <w:r>
        <w:rPr>
          <w:rFonts w:hint="eastAsia" w:hAnsi="Cambria Math" w:cstheme="minorBidi"/>
          <w:i w:val="0"/>
          <w:kern w:val="2"/>
          <w:sz w:val="24"/>
          <w:szCs w:val="21"/>
          <w:lang w:val="en-US" w:eastAsia="zh-CN" w:bidi="ar-SA"/>
        </w:rPr>
        <w:t>和</w:t>
      </w:r>
      <m:oMath>
        <m:r>
          <m:rPr/>
          <w:rPr>
            <w:rFonts w:hint="default" w:ascii="Cambria Math" w:hAnsi="Cambria Math" w:cstheme="minorBidi"/>
            <w:kern w:val="2"/>
            <w:sz w:val="24"/>
            <w:szCs w:val="21"/>
            <w:lang w:val="en-US" w:eastAsia="zh-CN" w:bidi="ar-SA"/>
          </w:rPr>
          <m:t>G(t)</m:t>
        </m:r>
      </m:oMath>
      <w:r>
        <w:rPr>
          <w:rFonts w:hint="eastAsia" w:hAnsi="Cambria Math" w:cstheme="minorBidi"/>
          <w:i w:val="0"/>
          <w:kern w:val="2"/>
          <w:sz w:val="24"/>
          <w:szCs w:val="21"/>
          <w:lang w:val="en-US" w:eastAsia="zh-CN" w:bidi="ar-SA"/>
        </w:rPr>
        <w:t>本身便是“内在加权”处理后的结果。</w:t>
      </w:r>
    </w:p>
    <w:p>
      <w:pPr>
        <w:rPr>
          <w:rFonts w:hint="eastAsia" w:hAnsi="Cambria Math" w:cstheme="minorBidi"/>
          <w:i w:val="0"/>
          <w:iCs/>
          <w:kern w:val="2"/>
          <w:sz w:val="24"/>
          <w:szCs w:val="21"/>
          <w:lang w:val="en-US" w:eastAsia="zh-CN" w:bidi="ar-SA"/>
        </w:rPr>
      </w:pPr>
      <w:r>
        <w:rPr>
          <w:rFonts w:hint="eastAsia" w:hAnsi="Cambria Math" w:cstheme="minorBidi"/>
          <w:i w:val="0"/>
          <w:kern w:val="2"/>
          <w:sz w:val="24"/>
          <w:szCs w:val="21"/>
          <w:lang w:val="en-US" w:eastAsia="zh-CN" w:bidi="ar-SA"/>
        </w:rPr>
        <w:t>相较于将所有指标标准化处理后，通过</w:t>
      </w:r>
      <m:oMath>
        <m:r>
          <m:rPr/>
          <w:rPr>
            <w:rFonts w:hint="default" w:ascii="Cambria Math" w:hAnsi="Cambria Math" w:cstheme="minorBidi"/>
            <w:kern w:val="2"/>
            <w:sz w:val="24"/>
            <w:szCs w:val="21"/>
            <w:lang w:val="en-US" w:eastAsia="zh-CN" w:bidi="ar-SA"/>
          </w:rPr>
          <m:t>AHP</m:t>
        </m:r>
      </m:oMath>
      <w:r>
        <w:rPr>
          <w:rFonts w:hint="eastAsia" w:hAnsi="Cambria Math" w:cstheme="minorBidi"/>
          <w:i w:val="0"/>
          <w:kern w:val="2"/>
          <w:sz w:val="24"/>
          <w:szCs w:val="21"/>
          <w:lang w:val="en-US" w:eastAsia="zh-CN" w:bidi="ar-SA"/>
        </w:rPr>
        <w:t>或</w:t>
      </w:r>
      <m:oMath>
        <m:r>
          <m:rPr/>
          <w:rPr>
            <w:rFonts w:hint="default" w:ascii="Cambria Math" w:hAnsi="Cambria Math" w:cstheme="minorBidi"/>
            <w:kern w:val="2"/>
            <w:sz w:val="24"/>
            <w:szCs w:val="21"/>
            <w:lang w:val="en-US" w:eastAsia="zh-CN" w:bidi="ar-SA"/>
          </w:rPr>
          <m:t>EWM</m:t>
        </m:r>
      </m:oMath>
      <w:r>
        <w:rPr>
          <w:rFonts w:hint="eastAsia" w:hAnsi="Cambria Math" w:cstheme="minorBidi"/>
          <w:i w:val="0"/>
          <w:iCs/>
          <w:kern w:val="2"/>
          <w:sz w:val="24"/>
          <w:szCs w:val="21"/>
          <w:lang w:val="en-US" w:eastAsia="zh-CN" w:bidi="ar-SA"/>
        </w:rPr>
        <w:t>进行额外加权。我们模型中基于货币价值的内在加权方法显然更具有现实意义，因而结果理论上更为精确。除此之外，通过寻常加权方法得到的权值较为固定，而我们的权值则会依据现实因素，动态地、潜在地发生改变，因而模型的灵活性更好，适用范围更加全面。</w:t>
      </w:r>
    </w:p>
    <w:p>
      <w:pPr>
        <w:rPr>
          <w:rFonts w:hint="eastAsia" w:hAnsi="Cambria Math" w:cstheme="minorBidi"/>
          <w:i w:val="0"/>
          <w:kern w:val="2"/>
          <w:sz w:val="24"/>
          <w:szCs w:val="21"/>
          <w:lang w:val="en-US" w:eastAsia="zh-CN" w:bidi="ar-SA"/>
        </w:rPr>
      </w:pPr>
      <w:r>
        <w:rPr>
          <w:rFonts w:hint="eastAsia" w:hAnsi="Cambria Math" w:cstheme="minorBidi"/>
          <w:i w:val="0"/>
          <w:iCs/>
          <w:kern w:val="2"/>
          <w:sz w:val="24"/>
          <w:szCs w:val="21"/>
          <w:lang w:val="en-US" w:eastAsia="zh-CN" w:bidi="ar-SA"/>
        </w:rPr>
        <w:t>定性地进行举例，如果某片森林所在区域的碳价极高，这会使得森林固定二氧化碳的收益增加，从而使得</w:t>
      </w:r>
      <m:oMath>
        <m:r>
          <m:rPr/>
          <w:rPr>
            <w:rFonts w:hint="default" w:ascii="Cambria Math" w:hAnsi="Cambria Math"/>
            <w:color w:val="auto"/>
            <w:lang w:val="en-US" w:eastAsia="zh-CN"/>
          </w:rPr>
          <m:t>O</m:t>
        </m:r>
        <m:r>
          <m:rPr/>
          <w:rPr>
            <w:rFonts w:hint="default" w:ascii="Cambria Math" w:hAnsi="Cambria Math" w:cstheme="minorBidi"/>
            <w:color w:val="auto"/>
            <w:kern w:val="2"/>
            <w:sz w:val="24"/>
            <w:szCs w:val="21"/>
            <w:lang w:val="en-US" w:bidi="ar-SA"/>
          </w:rPr>
          <m:t>V</m:t>
        </m:r>
      </m:oMath>
      <w:r>
        <w:rPr>
          <w:rFonts w:hint="eastAsia" w:hAnsi="Cambria Math" w:cstheme="minorBidi"/>
          <w:i w:val="0"/>
          <w:color w:val="auto"/>
          <w:kern w:val="2"/>
          <w:sz w:val="24"/>
          <w:szCs w:val="21"/>
          <w:lang w:val="en-US" w:eastAsia="zh-CN" w:bidi="ar-SA"/>
        </w:rPr>
        <w:t>指标的数值提升，</w:t>
      </w:r>
      <w:r>
        <w:rPr>
          <w:rFonts w:hint="eastAsia" w:hAnsi="Cambria Math" w:cstheme="minorBidi"/>
          <w:i w:val="0"/>
          <w:iCs/>
          <w:kern w:val="2"/>
          <w:sz w:val="24"/>
          <w:szCs w:val="21"/>
          <w:lang w:val="en-US" w:eastAsia="zh-CN" w:bidi="ar-SA"/>
        </w:rPr>
        <w:t>那么很可能</w:t>
      </w:r>
      <m:oMath>
        <m:r>
          <m:rPr/>
          <w:rPr>
            <w:rFonts w:hint="default" w:ascii="Cambria Math" w:hAnsi="Cambria Math" w:cstheme="minorBidi"/>
            <w:kern w:val="2"/>
            <w:sz w:val="24"/>
            <w:szCs w:val="21"/>
            <w:lang w:val="en-US" w:eastAsia="zh-CN" w:bidi="ar-SA"/>
          </w:rPr>
          <m:t>F(t)</m:t>
        </m:r>
      </m:oMath>
      <w:r>
        <w:rPr>
          <w:rFonts w:hint="eastAsia" w:hAnsi="Cambria Math" w:cstheme="minorBidi"/>
          <w:i w:val="0"/>
          <w:kern w:val="2"/>
          <w:sz w:val="24"/>
          <w:szCs w:val="21"/>
          <w:lang w:val="en-US" w:eastAsia="zh-CN" w:bidi="ar-SA"/>
        </w:rPr>
        <w:t>会显著大于</w:t>
      </w:r>
      <m:oMath>
        <m:r>
          <m:rPr/>
          <w:rPr>
            <w:rFonts w:hint="default" w:ascii="Cambria Math" w:hAnsi="Cambria Math" w:cstheme="minorBidi"/>
            <w:kern w:val="2"/>
            <w:sz w:val="24"/>
            <w:szCs w:val="21"/>
            <w:lang w:val="en-US" w:eastAsia="zh-CN" w:bidi="ar-SA"/>
          </w:rPr>
          <m:t>G(t)</m:t>
        </m:r>
      </m:oMath>
      <w:r>
        <w:rPr>
          <w:rFonts w:hint="eastAsia" w:hAnsi="Cambria Math" w:cstheme="minorBidi"/>
          <w:i w:val="0"/>
          <w:kern w:val="2"/>
          <w:sz w:val="24"/>
          <w:szCs w:val="21"/>
          <w:lang w:val="en-US" w:eastAsia="zh-CN" w:bidi="ar-SA"/>
        </w:rPr>
        <w:t>，促使最优的森林管理方案倾向于“永不收获”；如果另一片森林所在区域的碳价较低，则</w:t>
      </w:r>
      <m:oMath>
        <m:r>
          <m:rPr/>
          <w:rPr>
            <w:rFonts w:hint="default" w:ascii="Cambria Math" w:hAnsi="Cambria Math" w:cstheme="minorBidi"/>
            <w:kern w:val="2"/>
            <w:sz w:val="24"/>
            <w:szCs w:val="21"/>
            <w:lang w:val="en-US" w:eastAsia="zh-CN" w:bidi="ar-SA"/>
          </w:rPr>
          <m:t>F(t)</m:t>
        </m:r>
      </m:oMath>
      <w:r>
        <w:rPr>
          <w:rFonts w:hint="eastAsia" w:hAnsi="Cambria Math" w:cstheme="minorBidi"/>
          <w:i w:val="0"/>
          <w:kern w:val="2"/>
          <w:sz w:val="24"/>
          <w:szCs w:val="21"/>
          <w:lang w:val="en-US" w:eastAsia="zh-CN" w:bidi="ar-SA"/>
        </w:rPr>
        <w:t>相较于</w:t>
      </w:r>
      <m:oMath>
        <m:r>
          <m:rPr/>
          <w:rPr>
            <w:rFonts w:hint="default" w:ascii="Cambria Math" w:hAnsi="Cambria Math" w:cstheme="minorBidi"/>
            <w:kern w:val="2"/>
            <w:sz w:val="24"/>
            <w:szCs w:val="21"/>
            <w:lang w:val="en-US" w:eastAsia="zh-CN" w:bidi="ar-SA"/>
          </w:rPr>
          <m:t>G(t)</m:t>
        </m:r>
      </m:oMath>
      <w:r>
        <w:rPr>
          <w:rFonts w:hint="eastAsia" w:hAnsi="Cambria Math" w:cstheme="minorBidi"/>
          <w:i w:val="0"/>
          <w:kern w:val="2"/>
          <w:sz w:val="24"/>
          <w:szCs w:val="21"/>
          <w:lang w:val="en-US" w:eastAsia="zh-CN" w:bidi="ar-SA"/>
        </w:rPr>
        <w:t>较小或</w:t>
      </w:r>
      <m:oMath>
        <m:r>
          <m:rPr/>
          <w:rPr>
            <w:rFonts w:hint="default" w:ascii="Cambria Math" w:hAnsi="Cambria Math" w:cstheme="minorBidi"/>
            <w:kern w:val="2"/>
            <w:sz w:val="24"/>
            <w:szCs w:val="21"/>
            <w:lang w:val="en-US" w:eastAsia="zh-CN" w:bidi="ar-SA"/>
          </w:rPr>
          <m:t>F(t)</m:t>
        </m:r>
      </m:oMath>
      <w:r>
        <w:rPr>
          <w:rFonts w:hint="eastAsia" w:hAnsi="Cambria Math" w:cstheme="minorBidi"/>
          <w:i w:val="0"/>
          <w:kern w:val="2"/>
          <w:sz w:val="24"/>
          <w:szCs w:val="21"/>
          <w:lang w:val="en-US" w:eastAsia="zh-CN" w:bidi="ar-SA"/>
        </w:rPr>
        <w:t>与</w:t>
      </w:r>
      <m:oMath>
        <m:r>
          <m:rPr/>
          <w:rPr>
            <w:rFonts w:hint="default" w:ascii="Cambria Math" w:hAnsi="Cambria Math" w:cstheme="minorBidi"/>
            <w:kern w:val="2"/>
            <w:sz w:val="24"/>
            <w:szCs w:val="21"/>
            <w:lang w:val="en-US" w:eastAsia="zh-CN" w:bidi="ar-SA"/>
          </w:rPr>
          <m:t>G(t)</m:t>
        </m:r>
      </m:oMath>
      <w:r>
        <w:rPr>
          <w:rFonts w:hint="eastAsia" w:hAnsi="Cambria Math" w:cstheme="minorBidi"/>
          <w:i w:val="0"/>
          <w:kern w:val="2"/>
          <w:sz w:val="24"/>
          <w:szCs w:val="21"/>
          <w:lang w:val="en-US" w:eastAsia="zh-CN" w:bidi="ar-SA"/>
        </w:rPr>
        <w:t>处于同一量级，那么森林管理者的最优管理方案则倾向于定期进行轮伐。由此可以看出，在我们的模型中，森林的特征与所在区域通过影响指标中参数的值，从而改变了内在权值，因而确定了过渡点的具体位置。</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Apply your models to various forests. Identify a forest that your decision model would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suggest the inclusion of harvesting in its management plan. </w:t>
      </w:r>
    </w:p>
    <w:p>
      <w:pPr>
        <w:keepNext w:val="0"/>
        <w:keepLines w:val="0"/>
        <w:widowControl/>
        <w:suppressLineNumbers w:val="0"/>
        <w:jc w:val="left"/>
      </w:pPr>
      <w:r>
        <w:rPr>
          <w:rFonts w:ascii="Symbol" w:hAnsi="Symbol" w:eastAsia="宋体" w:cs="Symbol"/>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How much carbon dioxide will this forest and its products sequester over 100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years? </w:t>
      </w:r>
    </w:p>
    <w:p>
      <w:pPr>
        <w:keepNext w:val="0"/>
        <w:keepLines w:val="0"/>
        <w:widowControl/>
        <w:suppressLineNumbers w:val="0"/>
        <w:jc w:val="left"/>
      </w:pPr>
      <w:r>
        <w:rPr>
          <w:rFonts w:hint="default" w:ascii="Symbol" w:hAnsi="Symbol" w:eastAsia="宋体" w:cs="Symbol"/>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What forest management plan should be used for this forest? Why is this the best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approach? </w:t>
      </w:r>
    </w:p>
    <w:p>
      <w:pPr>
        <w:keepNext w:val="0"/>
        <w:keepLines w:val="0"/>
        <w:widowControl/>
        <w:suppressLineNumbers w:val="0"/>
        <w:jc w:val="left"/>
      </w:pPr>
      <w:r>
        <w:rPr>
          <w:rFonts w:hint="default" w:ascii="Symbol" w:hAnsi="Symbol" w:eastAsia="宋体" w:cs="Symbol"/>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Suppose the best management plan includes a time between harvests that is 10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years longer than current practices in the forest. Discuss a strategy for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transitioning from the existing timeline to the new timeline in a way that is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sensitive to the needs of forest managers and all who use the forest. </w:t>
      </w:r>
    </w:p>
    <w:p>
      <w:pPr>
        <w:rPr>
          <w:rFonts w:hint="eastAsia" w:hAnsi="Cambria Math" w:cstheme="minorBidi"/>
          <w:i w:val="0"/>
          <w:kern w:val="2"/>
          <w:sz w:val="24"/>
          <w:szCs w:val="21"/>
          <w:lang w:val="en-US" w:eastAsia="zh-CN" w:bidi="ar-SA"/>
        </w:rPr>
      </w:pPr>
    </w:p>
    <w:p>
      <w:pPr>
        <w:pStyle w:val="2"/>
        <w:bidi w:val="0"/>
        <w:rPr>
          <w:rFonts w:hint="default"/>
          <w:lang w:val="en-US" w:eastAsia="zh-CN"/>
        </w:rPr>
      </w:pPr>
      <w:r>
        <w:rPr>
          <w:rFonts w:hint="eastAsia"/>
          <w:lang w:val="en-US" w:eastAsia="zh-CN"/>
        </w:rPr>
        <w:t>An Application of our models to 中国四川林业</w:t>
      </w:r>
    </w:p>
    <w:p>
      <w:pPr>
        <w:bidi w:val="0"/>
        <w:rPr>
          <w:rFonts w:hint="eastAsia"/>
          <w:lang w:val="en-US" w:eastAsia="zh-CN"/>
        </w:rPr>
      </w:pPr>
      <w:r>
        <w:rPr>
          <w:rFonts w:hint="eastAsia"/>
          <w:lang w:val="en-US" w:eastAsia="zh-CN"/>
        </w:rPr>
        <w:t>我们将模型分别运用在若干地区的森林，并对模型给出的结果分别进行了分析。在此过程中，我们发现中国四川省的条件较为适合进行研究。考虑到地域因素，中国四川省的森林总面积较为适中，并且四川省不在过高或过低维度地区，温度与地质条件均较为温和，因而避免了因特异性极端情况可能出现的异常结果。除此之外，中国四川省森林主要以杉木为主，杉木作为一种主要的经济木种，其成长周期较短，这无疑缩短了我们研究的时间跨度，并且提高了“改变轮伐周期”这一管理方案的灵敏度。因此，我们最终选取了中国四川省的森林进行进一步的分析。</w:t>
      </w:r>
    </w:p>
    <w:p>
      <w:pPr>
        <w:bidi w:val="0"/>
        <w:rPr>
          <w:rFonts w:hint="eastAsia"/>
          <w:lang w:val="en-US" w:eastAsia="zh-CN"/>
        </w:rPr>
      </w:pP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Apply your models to various forests. Identify a forest that your decision model would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suggest the inclusion of harvesting in its management plan. </w:t>
      </w:r>
    </w:p>
    <w:p>
      <w:pPr>
        <w:keepNext w:val="0"/>
        <w:keepLines w:val="0"/>
        <w:widowControl/>
        <w:suppressLineNumbers w:val="0"/>
        <w:jc w:val="left"/>
      </w:pPr>
      <w:r>
        <w:rPr>
          <w:rFonts w:ascii="Symbol" w:hAnsi="Symbol" w:eastAsia="宋体" w:cs="Symbol"/>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How much carbon dioxide will this forest and its products sequester over 100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years? </w:t>
      </w:r>
    </w:p>
    <w:p>
      <w:pPr>
        <w:keepNext w:val="0"/>
        <w:keepLines w:val="0"/>
        <w:widowControl/>
        <w:suppressLineNumbers w:val="0"/>
        <w:jc w:val="left"/>
      </w:pPr>
      <w:r>
        <w:rPr>
          <w:rFonts w:hint="default" w:ascii="Symbol" w:hAnsi="Symbol" w:eastAsia="宋体" w:cs="Symbol"/>
          <w:color w:val="000000"/>
          <w:kern w:val="0"/>
          <w:sz w:val="24"/>
          <w:szCs w:val="24"/>
          <w:lang w:val="en-US" w:eastAsia="zh-CN" w:bidi="ar"/>
        </w:rPr>
        <w:t xml:space="preserve">• </w:t>
      </w:r>
      <w:r>
        <w:rPr>
          <w:rFonts w:hint="default" w:ascii="Times New Roman" w:hAnsi="Times New Roman" w:eastAsia="宋体" w:cs="Times New Roman"/>
          <w:color w:val="000000"/>
          <w:kern w:val="0"/>
          <w:sz w:val="24"/>
          <w:szCs w:val="24"/>
          <w:lang w:val="en-US" w:eastAsia="zh-CN" w:bidi="ar"/>
        </w:rPr>
        <w:t xml:space="preserve">What forest management plan should be used for this forest? Why is this the best </w:t>
      </w:r>
    </w:p>
    <w:p>
      <w:pPr>
        <w:keepNext w:val="0"/>
        <w:keepLines w:val="0"/>
        <w:widowControl/>
        <w:suppressLineNumbers w:val="0"/>
        <w:jc w:val="left"/>
      </w:pPr>
      <w:r>
        <w:rPr>
          <w:rFonts w:hint="default" w:ascii="Times New Roman" w:hAnsi="Times New Roman" w:eastAsia="宋体" w:cs="Times New Roman"/>
          <w:color w:val="000000"/>
          <w:kern w:val="0"/>
          <w:sz w:val="24"/>
          <w:szCs w:val="24"/>
          <w:lang w:val="en-US" w:eastAsia="zh-CN" w:bidi="ar"/>
        </w:rPr>
        <w:t xml:space="preserve">approach? </w:t>
      </w:r>
    </w:p>
    <w:p>
      <w:pPr>
        <w:bidi w:val="0"/>
        <w:rPr>
          <w:rFonts w:hint="eastAsia"/>
          <w:lang w:val="en-US" w:eastAsia="zh-CN"/>
        </w:rPr>
      </w:pPr>
    </w:p>
    <w:p>
      <w:pPr>
        <w:pStyle w:val="3"/>
        <w:bidi w:val="0"/>
        <w:rPr>
          <w:rFonts w:hint="default"/>
          <w:lang w:val="en-US" w:eastAsia="zh-CN"/>
        </w:rPr>
      </w:pPr>
      <w:r>
        <w:rPr>
          <w:rFonts w:hint="eastAsia"/>
          <w:lang w:val="en-US" w:eastAsia="zh-CN"/>
        </w:rPr>
        <w:t>二氧化碳封存量计算</w:t>
      </w:r>
    </w:p>
    <w:p>
      <w:pPr>
        <w:bidi w:val="0"/>
        <w:rPr>
          <w:rFonts w:hint="eastAsia"/>
          <w:lang w:val="en-US" w:eastAsia="zh-CN"/>
        </w:rPr>
      </w:pPr>
      <w:r>
        <w:rPr>
          <w:rFonts w:hint="eastAsia"/>
          <w:lang w:val="en-US" w:eastAsia="zh-CN"/>
        </w:rPr>
        <w:t>由于我们需要将模型应用于现实中存在的森林，因而我们对于森林价值的评估必须是多维度且具有现实意义的。出于该原因，我们选择使用5中基于森林多方面价值模型的目标函数和决策变量，并通过4中构建的二氧化碳封存量计算模型对中国四川省森林及其木制品在100内的二氧化碳封存量进行计算。计算结果如</w:t>
      </w:r>
      <w:r>
        <w:rPr>
          <w:rFonts w:hint="eastAsia"/>
          <w:color w:val="FF0000"/>
          <w:lang w:val="en-US" w:eastAsia="zh-CN"/>
        </w:rPr>
        <w:t>图x</w:t>
      </w:r>
      <w:r>
        <w:rPr>
          <w:rFonts w:hint="eastAsia"/>
          <w:lang w:val="en-US" w:eastAsia="zh-CN"/>
        </w:rPr>
        <w:t>所示：</w:t>
      </w:r>
    </w:p>
    <w:p>
      <w:pPr>
        <w:bidi w:val="0"/>
        <w:jc w:val="center"/>
        <w:rPr>
          <w:rFonts w:hint="default"/>
          <w:color w:val="FF0000"/>
          <w:lang w:val="en-US" w:eastAsia="zh-CN"/>
        </w:rPr>
      </w:pPr>
      <w:r>
        <w:rPr>
          <w:rFonts w:hint="default"/>
          <w:color w:val="FF0000"/>
          <w:lang w:val="en-US" w:eastAsia="zh-CN"/>
        </w:rPr>
        <w:drawing>
          <wp:inline distT="0" distB="0" distL="114300" distR="114300">
            <wp:extent cx="2827020" cy="2214880"/>
            <wp:effectExtent l="0" t="0" r="5080" b="7620"/>
            <wp:docPr id="6" name="图片 6" descr="堆叠象形柱图-副本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堆叠象形柱图-副本 (2)"/>
                    <pic:cNvPicPr>
                      <a:picLocks noChangeAspect="1"/>
                    </pic:cNvPicPr>
                  </pic:nvPicPr>
                  <pic:blipFill>
                    <a:blip r:embed="rId15"/>
                    <a:stretch>
                      <a:fillRect/>
                    </a:stretch>
                  </pic:blipFill>
                  <pic:spPr>
                    <a:xfrm>
                      <a:off x="0" y="0"/>
                      <a:ext cx="2827020" cy="2214880"/>
                    </a:xfrm>
                    <a:prstGeom prst="rect">
                      <a:avLst/>
                    </a:prstGeom>
                  </pic:spPr>
                </pic:pic>
              </a:graphicData>
            </a:graphic>
          </wp:inline>
        </w:drawing>
      </w:r>
    </w:p>
    <w:p>
      <w:pPr>
        <w:pStyle w:val="5"/>
        <w:bidi w:val="0"/>
        <w:jc w:val="center"/>
        <w:rPr>
          <w:rFonts w:hint="eastAsia" w:eastAsia="宋体"/>
          <w:color w:val="FF0000"/>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w:t>
      </w:r>
    </w:p>
    <w:p>
      <w:pPr>
        <w:bidi w:val="0"/>
        <w:jc w:val="both"/>
        <w:rPr>
          <w:rFonts w:hint="eastAsia"/>
          <w:color w:val="auto"/>
          <w:lang w:val="en-US" w:eastAsia="zh-CN"/>
        </w:rPr>
      </w:pPr>
      <w:r>
        <w:rPr>
          <w:rFonts w:hint="eastAsia"/>
          <w:color w:val="auto"/>
          <w:lang w:val="en-US" w:eastAsia="zh-CN"/>
        </w:rPr>
        <w:t>我们分别将“使用最优轮伐方案”，以及“令森林自然发展不进行收获”这两种策略应用于中国四川省的森林，并计算两者在100年内的二氧化碳总封存量。</w:t>
      </w:r>
    </w:p>
    <w:p>
      <w:pPr>
        <w:bidi w:val="0"/>
        <w:jc w:val="both"/>
        <w:rPr>
          <w:rFonts w:hint="eastAsia"/>
          <w:color w:val="auto"/>
          <w:lang w:val="en-US" w:eastAsia="zh-CN"/>
        </w:rPr>
      </w:pPr>
      <w:r>
        <w:rPr>
          <w:rFonts w:hint="eastAsia"/>
          <w:color w:val="auto"/>
          <w:lang w:val="en-US" w:eastAsia="zh-CN"/>
        </w:rPr>
        <w:t>在不做任何管理方案，令森林自由发展的情况下，森林及其木制品在100年内总共封存了</w:t>
      </w:r>
      <w:r>
        <w:rPr>
          <w:rFonts w:hint="eastAsia" w:ascii="Arial" w:hAnsi="Arial" w:eastAsia="宋体" w:cs="Arial"/>
          <w:b/>
          <w:bCs/>
          <w:i w:val="0"/>
          <w:iCs w:val="0"/>
          <w:color w:val="auto"/>
          <w:sz w:val="20"/>
          <w:szCs w:val="20"/>
          <w:u w:val="none"/>
          <w:lang w:val="en-US" w:eastAsia="zh-CN"/>
        </w:rPr>
        <w:t>4.70E+09</w:t>
      </w:r>
      <w:r>
        <w:rPr>
          <w:rFonts w:hint="eastAsia"/>
          <w:color w:val="auto"/>
          <w:lang w:val="en-US" w:eastAsia="zh-CN"/>
        </w:rPr>
        <w:t>吨二氧化碳；而若将我们模型中所得到的最优轮伐方案应用于森林时，森林及其木制品在100年内则可封存</w:t>
      </w:r>
      <w:r>
        <w:rPr>
          <w:rFonts w:ascii="Arial" w:hAnsi="Arial" w:eastAsia="宋体" w:cs="Arial"/>
          <w:b/>
          <w:bCs/>
          <w:i w:val="0"/>
          <w:iCs w:val="0"/>
          <w:color w:val="auto"/>
          <w:sz w:val="20"/>
          <w:szCs w:val="20"/>
          <w:u w:val="none"/>
          <w:bdr w:val="none" w:color="auto" w:sz="0" w:space="0"/>
        </w:rPr>
        <w:t>6.23E+09</w:t>
      </w:r>
      <w:r>
        <w:rPr>
          <w:rFonts w:hint="eastAsia"/>
          <w:color w:val="auto"/>
          <w:lang w:val="en-US" w:eastAsia="zh-CN"/>
        </w:rPr>
        <w:t>吨二氧化碳，相较于前者提升了32.5%。</w:t>
      </w:r>
    </w:p>
    <w:p>
      <w:pPr>
        <w:bidi w:val="0"/>
        <w:jc w:val="both"/>
        <w:rPr>
          <w:rFonts w:hint="eastAsia"/>
          <w:color w:val="auto"/>
          <w:lang w:val="en-US" w:eastAsia="zh-CN"/>
        </w:rPr>
      </w:pPr>
      <w:r>
        <w:rPr>
          <w:rFonts w:hint="eastAsia"/>
          <w:color w:val="auto"/>
          <w:lang w:val="en-US" w:eastAsia="zh-CN"/>
        </w:rPr>
        <w:t>除此之外，通过观察二氧化碳封存总量的构成，我们发现相较于传统意义上更被大众接受的完全不砍伐树木的管理方式，在合理规划下砍伐树木并将其制成木制品的管理策略能在一定时间范围内起到更好的二氧化碳封存效果。</w:t>
      </w:r>
    </w:p>
    <w:p>
      <w:pPr>
        <w:pStyle w:val="3"/>
        <w:bidi w:val="0"/>
        <w:rPr>
          <w:rFonts w:hint="default"/>
          <w:lang w:val="en-US" w:eastAsia="zh-CN"/>
        </w:rPr>
      </w:pPr>
      <w:r>
        <w:rPr>
          <w:rFonts w:hint="eastAsia"/>
          <w:lang w:val="en-US" w:eastAsia="zh-CN"/>
        </w:rPr>
        <w:t>最优的森林管理策略</w:t>
      </w:r>
    </w:p>
    <w:p>
      <w:pPr>
        <w:bidi w:val="0"/>
        <w:rPr>
          <w:rFonts w:hint="eastAsia" w:hAnsi="Cambria Math" w:cstheme="minorBidi"/>
          <w:i w:val="0"/>
          <w:iCs/>
          <w:kern w:val="2"/>
          <w:sz w:val="24"/>
          <w:szCs w:val="21"/>
          <w:lang w:val="en-US" w:eastAsia="zh-CN" w:bidi="ar-SA"/>
        </w:rPr>
      </w:pPr>
      <w:r>
        <w:rPr>
          <w:rFonts w:hint="eastAsia"/>
          <w:lang w:val="en-US" w:eastAsia="zh-CN"/>
        </w:rPr>
        <w:t>我们将中国四川省的相关数据带入到5中建立的</w:t>
      </w:r>
      <w:r>
        <w:rPr>
          <w:rFonts w:hint="eastAsia"/>
        </w:rPr>
        <w:t>基于森林多方面价值的森林管理决策模型</w:t>
      </w:r>
      <w:r>
        <w:rPr>
          <w:rFonts w:hint="eastAsia"/>
          <w:lang w:val="en-US" w:eastAsia="zh-CN"/>
        </w:rPr>
        <w:t>中，由此得到了</w:t>
      </w:r>
      <m:oMath>
        <m:r>
          <w:rPr>
            <w:rFonts w:hint="default" w:ascii="Cambria Math" w:hAnsi="Cambria Math" w:cstheme="minorBidi"/>
            <w:kern w:val="2"/>
            <w:sz w:val="24"/>
            <w:szCs w:val="21"/>
            <w:lang w:val="en-US" w:eastAsia="zh-CN" w:bidi="ar-SA"/>
          </w:rPr>
          <m:t>F(t)</m:t>
        </m:r>
      </m:oMath>
      <w:r>
        <w:rPr>
          <w:rFonts w:hint="eastAsia" w:hAnsi="Cambria Math" w:cstheme="minorBidi"/>
          <w:i w:val="0"/>
          <w:iCs/>
          <w:kern w:val="2"/>
          <w:sz w:val="24"/>
          <w:szCs w:val="21"/>
          <w:lang w:val="en-US" w:eastAsia="zh-CN" w:bidi="ar-SA"/>
        </w:rPr>
        <w:t>、</w:t>
      </w:r>
      <m:oMath>
        <m:r>
          <w:rPr>
            <w:rFonts w:hint="default" w:ascii="Cambria Math" w:hAnsi="Cambria Math" w:cstheme="minorBidi"/>
            <w:kern w:val="2"/>
            <w:sz w:val="24"/>
            <w:szCs w:val="21"/>
            <w:lang w:val="en-US" w:eastAsia="zh-CN" w:bidi="ar-SA"/>
          </w:rPr>
          <m:t>G(t)</m:t>
        </m:r>
      </m:oMath>
      <w:r>
        <w:rPr>
          <w:rFonts w:hint="eastAsia" w:hAnsi="Cambria Math" w:cstheme="minorBidi"/>
          <w:i w:val="0"/>
          <w:iCs w:val="0"/>
          <w:kern w:val="2"/>
          <w:sz w:val="24"/>
          <w:szCs w:val="21"/>
          <w:lang w:val="en-US" w:eastAsia="zh-CN" w:bidi="ar-SA"/>
        </w:rPr>
        <w:t>的具体表达式，并最终计算出目标函数</w:t>
      </w:r>
      <m:oMath>
        <m:r>
          <w:rPr>
            <w:rFonts w:hint="default" w:ascii="Cambria Math" w:hAnsi="Cambria Math" w:cstheme="minorBidi"/>
            <w:kern w:val="2"/>
            <w:sz w:val="24"/>
            <w:szCs w:val="21"/>
            <w:lang w:val="en-US" w:eastAsia="zh-CN" w:bidi="ar-SA"/>
          </w:rPr>
          <m:t>LEV(t)</m:t>
        </m:r>
      </m:oMath>
      <w:r>
        <w:rPr>
          <w:rFonts w:hint="eastAsia" w:hAnsi="Cambria Math" w:cstheme="minorBidi"/>
          <w:i w:val="0"/>
          <w:iCs/>
          <w:kern w:val="2"/>
          <w:sz w:val="24"/>
          <w:szCs w:val="21"/>
          <w:lang w:val="en-US" w:eastAsia="zh-CN" w:bidi="ar-SA"/>
        </w:rPr>
        <w:t>的数值。其数值大小与轮伐周期的关系图如下所示：</w:t>
      </w:r>
    </w:p>
    <w:p>
      <w:pPr>
        <w:bidi w:val="0"/>
        <w:jc w:val="center"/>
        <w:rPr>
          <w:rFonts w:hint="default" w:hAnsi="Cambria Math" w:cstheme="minorBidi"/>
          <w:i w:val="0"/>
          <w:iCs/>
          <w:kern w:val="2"/>
          <w:sz w:val="24"/>
          <w:szCs w:val="21"/>
          <w:lang w:val="en-US" w:eastAsia="zh-CN" w:bidi="ar-SA"/>
        </w:rPr>
      </w:pPr>
      <w:r>
        <w:rPr>
          <w:rFonts w:hint="default" w:hAnsi="Cambria Math" w:cstheme="minorBidi"/>
          <w:i w:val="0"/>
          <w:iCs/>
          <w:kern w:val="2"/>
          <w:sz w:val="24"/>
          <w:szCs w:val="21"/>
          <w:lang w:val="en-US" w:eastAsia="zh-CN" w:bidi="ar-SA"/>
        </w:rPr>
        <w:drawing>
          <wp:inline distT="0" distB="0" distL="114300" distR="114300">
            <wp:extent cx="3045460" cy="2284730"/>
            <wp:effectExtent l="0" t="0" r="2540" b="1270"/>
            <wp:docPr id="7" name="图片 7" descr="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otation"/>
                    <pic:cNvPicPr>
                      <a:picLocks noChangeAspect="1"/>
                    </pic:cNvPicPr>
                  </pic:nvPicPr>
                  <pic:blipFill>
                    <a:blip r:embed="rId16"/>
                    <a:stretch>
                      <a:fillRect/>
                    </a:stretch>
                  </pic:blipFill>
                  <pic:spPr>
                    <a:xfrm>
                      <a:off x="0" y="0"/>
                      <a:ext cx="3045460" cy="2284730"/>
                    </a:xfrm>
                    <a:prstGeom prst="rect">
                      <a:avLst/>
                    </a:prstGeom>
                  </pic:spPr>
                </pic:pic>
              </a:graphicData>
            </a:graphic>
          </wp:inline>
        </w:drawing>
      </w:r>
    </w:p>
    <w:p>
      <w:pPr>
        <w:bidi w:val="0"/>
        <w:rPr>
          <w:rFonts w:hint="default"/>
          <w:lang w:val="en-US" w:eastAsia="zh-CN"/>
        </w:rPr>
      </w:pPr>
      <w:r>
        <w:rPr>
          <w:rFonts w:hint="eastAsia"/>
          <w:lang w:val="en-US" w:eastAsia="zh-CN"/>
        </w:rPr>
        <w:t>根据该曲线，我们得到最优的轮伐周期为15年。</w:t>
      </w:r>
      <w:bookmarkStart w:id="38" w:name="_GoBack"/>
      <w:bookmarkEnd w:id="38"/>
    </w:p>
    <w:p>
      <w:pPr>
        <w:bidi w:val="0"/>
        <w:rPr>
          <w:rFonts w:hint="default"/>
          <w:lang w:val="en-US" w:eastAsia="zh-CN"/>
        </w:rPr>
      </w:pPr>
    </w:p>
    <w:bookmarkEnd w:id="19"/>
    <w:bookmarkEnd w:id="20"/>
    <w:p>
      <w:pPr>
        <w:pStyle w:val="2"/>
      </w:pPr>
      <w:bookmarkStart w:id="21" w:name="_Toc58786706"/>
      <w:bookmarkStart w:id="22" w:name="_Toc58505782"/>
      <w:bookmarkStart w:id="23" w:name="_Hlk58269852"/>
      <w:r>
        <w:t>Sensitivity Analysis</w:t>
      </w:r>
      <w:bookmarkEnd w:id="21"/>
      <w:bookmarkEnd w:id="22"/>
    </w:p>
    <w:bookmarkEnd w:id="23"/>
    <w:p>
      <w:pPr>
        <w:ind w:firstLine="420" w:firstLineChars="0"/>
        <w:rPr>
          <w:rFonts w:hint="eastAsia"/>
          <w:color w:val="4472C4" w:themeColor="accent1"/>
          <w14:textFill>
            <w14:solidFill>
              <w14:schemeClr w14:val="accent1"/>
            </w14:solidFill>
          </w14:textFill>
        </w:rPr>
      </w:pPr>
      <w:r>
        <w:rPr>
          <w:rFonts w:hint="eastAsia"/>
          <w:color w:val="auto"/>
        </w:rPr>
        <w:t>我们对森林管理决策模型中的贴现率</w:t>
      </w:r>
      <m:oMath>
        <m:r>
          <m:rPr/>
          <w:rPr>
            <w:rFonts w:hint="default" w:ascii="Cambria Math" w:hAnsi="Cambria Math" w:cstheme="minorBidi"/>
            <w:color w:val="auto"/>
            <w:kern w:val="2"/>
            <w:sz w:val="24"/>
            <w:szCs w:val="21"/>
            <w:lang w:val="en-US" w:bidi="ar-SA"/>
          </w:rPr>
          <m:t>r</m:t>
        </m:r>
      </m:oMath>
      <w:r>
        <w:rPr>
          <w:rFonts w:hint="eastAsia"/>
          <w:color w:val="auto"/>
        </w:rPr>
        <w:t>（</w:t>
      </w:r>
      <w:r>
        <w:rPr>
          <w:color w:val="auto"/>
        </w:rPr>
        <w:t>discount rate</w:t>
      </w:r>
      <w:r>
        <w:rPr>
          <w:rFonts w:hint="eastAsia"/>
          <w:color w:val="auto"/>
        </w:rPr>
        <w:t>）和木材利润</w:t>
      </w:r>
      <m:oMath>
        <m:r>
          <m:rPr/>
          <w:rPr>
            <w:rFonts w:hint="default" w:ascii="Cambria Math" w:hAnsi="Cambria Math" w:cstheme="minorBidi"/>
            <w:color w:val="auto"/>
            <w:kern w:val="2"/>
            <w:sz w:val="24"/>
            <w:szCs w:val="21"/>
            <w:lang w:val="en-US" w:bidi="ar-SA"/>
          </w:rPr>
          <m:t>Pr</m:t>
        </m:r>
      </m:oMath>
      <w:r>
        <w:rPr>
          <w:rFonts w:hint="eastAsia"/>
          <w:color w:val="auto"/>
        </w:rPr>
        <w:t>进行灵敏度分析，将问题三中所取的r和Pr分别增大、减小5%与10%，代入修正的H</w:t>
      </w:r>
      <w:r>
        <w:rPr>
          <w:color w:val="auto"/>
        </w:rPr>
        <w:t>artman</w:t>
      </w:r>
      <w:r>
        <w:rPr>
          <w:rFonts w:hint="eastAsia"/>
          <w:color w:val="auto"/>
        </w:rPr>
        <w:t>模型进行计算得到L</w:t>
      </w:r>
      <w:r>
        <w:rPr>
          <w:color w:val="auto"/>
        </w:rPr>
        <w:t>EV</w:t>
      </w:r>
      <w:r>
        <w:rPr>
          <w:rFonts w:hint="eastAsia"/>
          <w:color w:val="auto"/>
        </w:rPr>
        <w:t>-rotation</w:t>
      </w:r>
      <w:r>
        <w:rPr>
          <w:color w:val="auto"/>
        </w:rPr>
        <w:t xml:space="preserve"> </w:t>
      </w:r>
      <w:r>
        <w:rPr>
          <w:rFonts w:hint="eastAsia"/>
          <w:color w:val="auto"/>
        </w:rPr>
        <w:t>age曲线，如图 。分析曲线我们可以得到，r，Pr在所取值的一定范围内变动对曲线和最优轮伐周期的影响不大，模型的稳定性较高；且随着r的增大，最优轮伐周期有变短的趋势，比较符合预期。</w:t>
      </w:r>
    </w:p>
    <w:p>
      <w:pPr>
        <w:ind w:firstLine="0" w:firstLineChars="0"/>
        <w:rPr>
          <w:rFonts w:hint="eastAsia"/>
          <w:color w:val="4472C4" w:themeColor="accent1"/>
          <w14:textFill>
            <w14:solidFill>
              <w14:schemeClr w14:val="accent1"/>
            </w14:solidFill>
          </w14:textFill>
        </w:rPr>
      </w:pPr>
      <w:r>
        <w:rPr>
          <w:rFonts w:hint="eastAsia"/>
          <w:color w:val="4472C4" w:themeColor="accent1"/>
          <w:lang w:val="zh-CN"/>
          <w14:textFill>
            <w14:solidFill>
              <w14:schemeClr w14:val="accent1"/>
            </w14:solidFill>
          </w14:textFill>
        </w:rPr>
        <w:drawing>
          <wp:anchor distT="0" distB="0" distL="114300" distR="114300" simplePos="0" relativeHeight="251660288" behindDoc="0" locked="0" layoutInCell="1" allowOverlap="1">
            <wp:simplePos x="0" y="0"/>
            <wp:positionH relativeFrom="margin">
              <wp:posOffset>2997200</wp:posOffset>
            </wp:positionH>
            <wp:positionV relativeFrom="paragraph">
              <wp:posOffset>386080</wp:posOffset>
            </wp:positionV>
            <wp:extent cx="2672080" cy="200406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2080" cy="2004060"/>
                    </a:xfrm>
                    <a:prstGeom prst="rect">
                      <a:avLst/>
                    </a:prstGeom>
                  </pic:spPr>
                </pic:pic>
              </a:graphicData>
            </a:graphic>
          </wp:anchor>
        </w:drawing>
      </w:r>
      <w:r>
        <w:rPr>
          <w:rFonts w:hint="eastAsia"/>
          <w:color w:val="4472C4" w:themeColor="accent1"/>
          <w14:textFill>
            <w14:solidFill>
              <w14:schemeClr w14:val="accent1"/>
            </w14:solidFill>
          </w14:textFill>
        </w:rPr>
        <w:drawing>
          <wp:anchor distT="0" distB="0" distL="114300" distR="114300" simplePos="0" relativeHeight="251659264" behindDoc="0" locked="0" layoutInCell="1" allowOverlap="1">
            <wp:simplePos x="0" y="0"/>
            <wp:positionH relativeFrom="margin">
              <wp:posOffset>-195580</wp:posOffset>
            </wp:positionH>
            <wp:positionV relativeFrom="paragraph">
              <wp:posOffset>288290</wp:posOffset>
            </wp:positionV>
            <wp:extent cx="2773680" cy="2080260"/>
            <wp:effectExtent l="0" t="0" r="762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73680" cy="2080260"/>
                    </a:xfrm>
                    <a:prstGeom prst="rect">
                      <a:avLst/>
                    </a:prstGeom>
                  </pic:spPr>
                </pic:pic>
              </a:graphicData>
            </a:graphic>
          </wp:anchor>
        </w:drawing>
      </w:r>
    </w:p>
    <w:p>
      <w:pPr>
        <w:pStyle w:val="2"/>
      </w:pPr>
      <w:bookmarkStart w:id="24" w:name="_Toc58786707"/>
      <w:bookmarkStart w:id="25" w:name="_Toc58505783"/>
      <w:r>
        <w:t xml:space="preserve">Model Evaluation </w:t>
      </w:r>
      <w:r>
        <w:rPr>
          <w:rFonts w:hint="eastAsia"/>
        </w:rPr>
        <w:t>and</w:t>
      </w:r>
      <w:r>
        <w:t xml:space="preserve"> Further Discussion</w:t>
      </w:r>
      <w:bookmarkEnd w:id="24"/>
      <w:bookmarkEnd w:id="25"/>
    </w:p>
    <w:p>
      <w:pPr>
        <w:ind w:firstLine="480"/>
        <w:rPr>
          <w:color w:val="FF0000"/>
        </w:rPr>
      </w:pPr>
      <w:r>
        <w:rPr>
          <w:rFonts w:hint="eastAsia"/>
          <w:color w:val="FF0000"/>
        </w:rPr>
        <w:t>注：本部分的标题需要根据你的内容进行调整，例如：如果你没有写进一步讨论的话，就直接把标题写成模型的评价。（优缺点一定要写）</w:t>
      </w:r>
    </w:p>
    <w:p>
      <w:pPr>
        <w:ind w:firstLine="480"/>
      </w:pPr>
    </w:p>
    <w:p>
      <w:pPr>
        <w:pStyle w:val="3"/>
        <w:spacing w:after="163"/>
      </w:pPr>
      <w:bookmarkStart w:id="26" w:name="_Toc58505784"/>
      <w:bookmarkStart w:id="27" w:name="_Toc58786708"/>
      <w:r>
        <w:t>Strengths</w:t>
      </w:r>
      <w:bookmarkEnd w:id="26"/>
      <w:bookmarkEnd w:id="27"/>
    </w:p>
    <w:p>
      <w:pPr>
        <w:ind w:firstLine="480"/>
      </w:pPr>
      <w:r>
        <w:rPr>
          <w:rFonts w:hint="eastAsia"/>
          <w:color w:val="FF0000"/>
        </w:rPr>
        <w:t>这里写论文或者模型的优点</w:t>
      </w:r>
    </w:p>
    <w:p>
      <w:pPr>
        <w:pStyle w:val="3"/>
        <w:spacing w:after="163"/>
      </w:pPr>
      <w:bookmarkStart w:id="28" w:name="_Toc58505785"/>
      <w:bookmarkStart w:id="29" w:name="_Toc58786709"/>
      <w:r>
        <w:t>Weakness</w:t>
      </w:r>
      <w:bookmarkEnd w:id="28"/>
      <w:r>
        <w:rPr>
          <w:rFonts w:hint="eastAsia"/>
        </w:rPr>
        <w:t>es</w:t>
      </w:r>
      <w:bookmarkEnd w:id="29"/>
    </w:p>
    <w:p>
      <w:pPr>
        <w:ind w:firstLine="480"/>
        <w:rPr>
          <w:color w:val="FF0000"/>
        </w:rPr>
      </w:pPr>
      <w:r>
        <w:rPr>
          <w:rFonts w:hint="eastAsia"/>
          <w:color w:val="FF0000"/>
        </w:rPr>
        <w:t>这里写缺点：缺点写的个数一般要比优点少</w:t>
      </w:r>
    </w:p>
    <w:p>
      <w:pPr>
        <w:ind w:left="312" w:leftChars="130" w:firstLine="480"/>
        <w:rPr>
          <w:bCs/>
        </w:rPr>
      </w:pPr>
    </w:p>
    <w:p>
      <w:pPr>
        <w:pStyle w:val="3"/>
        <w:spacing w:after="163"/>
      </w:pPr>
      <w:bookmarkStart w:id="30" w:name="_Toc58786710"/>
      <w:bookmarkStart w:id="31" w:name="_Toc58505786"/>
      <w:r>
        <w:t>Further Discussion</w:t>
      </w:r>
      <w:bookmarkEnd w:id="30"/>
      <w:bookmarkEnd w:id="31"/>
    </w:p>
    <w:p>
      <w:pPr>
        <w:ind w:firstLine="480"/>
        <w:rPr>
          <w:color w:val="FF0000"/>
        </w:rPr>
      </w:pPr>
      <w:r>
        <w:rPr>
          <w:rFonts w:hint="eastAsia"/>
          <w:color w:val="FF0000"/>
        </w:rPr>
        <w:t>进行进一步的讨论，这里可以写模型的改进和拓展：</w:t>
      </w:r>
    </w:p>
    <w:p>
      <w:pPr>
        <w:ind w:firstLine="480"/>
        <w:rPr>
          <w:color w:val="FF0000"/>
        </w:rPr>
      </w:pPr>
      <w:r>
        <w:rPr>
          <w:rFonts w:hint="eastAsia"/>
          <w:color w:val="FF0000"/>
        </w:rPr>
        <w:t>模型的改进：主要是针对模型中缺点有哪些可以改进的地方；</w:t>
      </w:r>
    </w:p>
    <w:p>
      <w:pPr>
        <w:ind w:firstLine="480"/>
        <w:rPr>
          <w:color w:val="FF0000"/>
        </w:rPr>
      </w:pPr>
      <w:r>
        <w:rPr>
          <w:rFonts w:hint="eastAsia"/>
          <w:color w:val="FF0000"/>
        </w:rPr>
        <w:t>模型的拓展：将原题的要求进行扩展，进一步讨论模型的实用性和可行性。</w:t>
      </w:r>
    </w:p>
    <w:p>
      <w:pPr>
        <w:pStyle w:val="2"/>
      </w:pPr>
      <w:bookmarkStart w:id="32" w:name="_Toc58786711"/>
      <w:bookmarkStart w:id="33" w:name="_Toc58505787"/>
      <w:r>
        <w:t>Conclusion</w:t>
      </w:r>
      <w:bookmarkEnd w:id="32"/>
      <w:bookmarkEnd w:id="33"/>
    </w:p>
    <w:p>
      <w:pPr>
        <w:ind w:firstLine="480"/>
        <w:rPr>
          <w:color w:val="FF0000"/>
        </w:rPr>
      </w:pPr>
      <w:r>
        <w:rPr>
          <w:rFonts w:hint="eastAsia"/>
          <w:color w:val="FF0000"/>
        </w:rPr>
        <w:t>结论部分，这个部分在国赛论文很少见到，但在美赛中出现的频率很高。</w:t>
      </w:r>
    </w:p>
    <w:p>
      <w:pPr>
        <w:ind w:firstLine="480"/>
        <w:rPr>
          <w:color w:val="FF0000"/>
        </w:rPr>
      </w:pPr>
      <w:r>
        <w:rPr>
          <w:rFonts w:hint="eastAsia"/>
          <w:color w:val="FF0000"/>
        </w:rPr>
        <w:t>这个部分可以是论文中心思想的重申、研究结果或主要观点的归纳，也可以是某些启示性的解释或考虑。</w:t>
      </w:r>
    </w:p>
    <w:p>
      <w:pPr>
        <w:ind w:firstLine="480"/>
        <w:rPr>
          <w:color w:val="FF0000"/>
        </w:rPr>
      </w:pPr>
      <w:r>
        <w:rPr>
          <w:rFonts w:hint="eastAsia"/>
          <w:color w:val="FF0000"/>
        </w:rPr>
        <w:t>有些论文把“</w:t>
      </w:r>
      <w:r>
        <w:rPr>
          <w:color w:val="FF0000"/>
        </w:rPr>
        <w:t>Model Evaluation and Further Discussion</w:t>
      </w:r>
      <w:r>
        <w:rPr>
          <w:rFonts w:hint="eastAsia"/>
          <w:color w:val="FF0000"/>
        </w:rPr>
        <w:t>”的内容放到了结论部分，这也是可以的，大家可以灵活调整。</w:t>
      </w:r>
    </w:p>
    <w:p>
      <w:pPr>
        <w:ind w:firstLine="480"/>
      </w:pPr>
    </w:p>
    <w:p>
      <w:pPr>
        <w:ind w:firstLine="480"/>
      </w:pPr>
    </w:p>
    <w:p>
      <w:pPr>
        <w:widowControl/>
        <w:ind w:firstLine="0" w:firstLineChars="0"/>
        <w:jc w:val="left"/>
      </w:pPr>
    </w:p>
    <w:p>
      <w:pPr>
        <w:widowControl/>
        <w:ind w:firstLine="0" w:firstLineChars="0"/>
        <w:jc w:val="left"/>
      </w:pPr>
      <w:r>
        <w:br w:type="page"/>
      </w:r>
    </w:p>
    <w:p>
      <w:pPr>
        <w:pStyle w:val="2"/>
        <w:numPr>
          <w:ilvl w:val="0"/>
          <w:numId w:val="0"/>
        </w:numPr>
      </w:pPr>
      <w:bookmarkStart w:id="34" w:name="_Toc58505788"/>
      <w:bookmarkStart w:id="35" w:name="_Toc58786712"/>
      <w:r>
        <w:t>References</w:t>
      </w:r>
      <w:bookmarkEnd w:id="34"/>
      <w:bookmarkEnd w:id="35"/>
    </w:p>
    <w:p>
      <w:pPr>
        <w:ind w:firstLine="480"/>
        <w:rPr>
          <w:color w:val="FF0000"/>
          <w:lang w:val="zh-CN"/>
        </w:rPr>
      </w:pPr>
      <w:r>
        <w:rPr>
          <w:rFonts w:hint="eastAsia"/>
          <w:color w:val="FF0000"/>
          <w:lang w:val="zh-CN"/>
        </w:rPr>
        <w:t>参考文献：所有引用他人或公开资料(包括网上资料)的成果必须按照科技论文的规范列出参考文献，并在正文引用处予以标注。</w:t>
      </w:r>
    </w:p>
    <w:p>
      <w:pPr>
        <w:ind w:firstLine="480"/>
        <w:rPr>
          <w:color w:val="FF0000"/>
          <w:lang w:val="zh-CN"/>
        </w:rPr>
      </w:pPr>
      <w:r>
        <w:rPr>
          <w:rFonts w:hint="eastAsia"/>
          <w:color w:val="FF0000"/>
          <w:lang w:val="zh-CN"/>
        </w:rPr>
        <w:t>一般新起一页列出参考文献，如果上一个部分的下面有很多空白，那么就不用新起一页了。</w:t>
      </w:r>
    </w:p>
    <w:p>
      <w:pPr>
        <w:ind w:firstLine="480"/>
        <w:rPr>
          <w:color w:val="FF0000"/>
        </w:rPr>
      </w:pPr>
      <w:r>
        <w:rPr>
          <w:rFonts w:hint="eastAsia"/>
          <w:color w:val="FF0000"/>
        </w:rPr>
        <w:t>美赛中不要出现中文，如果引用中文文献请翻译过来。</w:t>
      </w:r>
    </w:p>
    <w:p>
      <w:pPr>
        <w:ind w:firstLine="199" w:firstLineChars="83"/>
        <w:rPr>
          <w:color w:val="FF0000"/>
        </w:rPr>
      </w:pPr>
      <w:r>
        <w:rPr>
          <w:color w:val="FF0000"/>
        </w:rPr>
        <w:drawing>
          <wp:inline distT="0" distB="0" distL="0" distR="0">
            <wp:extent cx="5731510" cy="33978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5731510" cy="3397885"/>
                    </a:xfrm>
                    <a:prstGeom prst="rect">
                      <a:avLst/>
                    </a:prstGeom>
                  </pic:spPr>
                </pic:pic>
              </a:graphicData>
            </a:graphic>
          </wp:inline>
        </w:drawing>
      </w:r>
    </w:p>
    <w:p>
      <w:pPr>
        <w:ind w:firstLine="0" w:firstLineChars="0"/>
      </w:pPr>
    </w:p>
    <w:p>
      <w:pPr>
        <w:widowControl/>
        <w:ind w:firstLine="0" w:firstLineChars="0"/>
        <w:jc w:val="left"/>
      </w:pPr>
      <w:r>
        <w:br w:type="page"/>
      </w:r>
    </w:p>
    <w:p>
      <w:pPr>
        <w:pStyle w:val="2"/>
        <w:numPr>
          <w:ilvl w:val="0"/>
          <w:numId w:val="0"/>
        </w:numPr>
      </w:pPr>
      <w:bookmarkStart w:id="36" w:name="_Toc58505789"/>
      <w:bookmarkStart w:id="37" w:name="_Toc58786713"/>
      <w:r>
        <w:t>Appendices</w:t>
      </w:r>
      <w:bookmarkEnd w:id="36"/>
      <w:bookmarkEnd w:id="37"/>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20"/>
              <w:jc w:val="left"/>
            </w:pPr>
            <w:r>
              <w:t xml:space="preserve">Appendix </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lang w:val="zh-CN"/>
              </w:rPr>
            </w:pPr>
            <w:r>
              <w:t>Introduce</w:t>
            </w:r>
            <w:r>
              <w:rPr>
                <w:rFonts w:hint="eastAsia"/>
              </w:rPr>
              <w:t>:</w:t>
            </w:r>
            <w:r>
              <w:t xml:space="preserve"> </w:t>
            </w:r>
            <w:r>
              <w:rPr>
                <w:rFonts w:hint="eastAsia"/>
                <w:highlight w:val="yellow"/>
              </w:rPr>
              <w:t>这里放上附录1的介绍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ind w:firstLine="0" w:firstLineChars="0"/>
            </w:pPr>
          </w:p>
          <w:p>
            <w:pPr>
              <w:ind w:firstLine="0" w:firstLineChars="0"/>
            </w:pPr>
          </w:p>
          <w:p>
            <w:pPr>
              <w:ind w:firstLine="0" w:firstLineChars="0"/>
            </w:pPr>
          </w:p>
          <w:p>
            <w:pPr>
              <w:ind w:firstLine="0" w:firstLineChars="0"/>
            </w:pPr>
          </w:p>
          <w:p>
            <w:pPr>
              <w:ind w:firstLine="0" w:firstLineChars="0"/>
            </w:pPr>
          </w:p>
        </w:tc>
      </w:tr>
    </w:tbl>
    <w:p>
      <w:pPr>
        <w:ind w:firstLine="0" w:firstLineChars="0"/>
      </w:pPr>
    </w:p>
    <w:p>
      <w:pPr>
        <w:ind w:firstLine="0" w:firstLineChars="0"/>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20"/>
              <w:jc w:val="left"/>
            </w:pPr>
            <w:r>
              <w:t>Appendix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lang w:val="zh-CN"/>
              </w:rPr>
            </w:pPr>
            <w:r>
              <w:t>Introduce</w:t>
            </w:r>
            <w:r>
              <w:rPr>
                <w:rFonts w:hint="eastAsia"/>
              </w:rPr>
              <w:t>:</w:t>
            </w:r>
            <w:r>
              <w:t xml:space="preserve"> </w:t>
            </w:r>
            <w:r>
              <w:rPr>
                <w:rFonts w:hint="eastAsia"/>
                <w:highlight w:val="yellow"/>
              </w:rPr>
              <w:t>这里放上附录</w:t>
            </w:r>
            <w:r>
              <w:rPr>
                <w:highlight w:val="yellow"/>
              </w:rPr>
              <w:t>2</w:t>
            </w:r>
            <w:r>
              <w:rPr>
                <w:rFonts w:hint="eastAsia"/>
                <w:highlight w:val="yellow"/>
              </w:rPr>
              <w:t>的介绍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ind w:firstLine="0" w:firstLineChars="0"/>
            </w:pPr>
          </w:p>
          <w:p>
            <w:pPr>
              <w:ind w:firstLine="0" w:firstLineChars="0"/>
            </w:pPr>
          </w:p>
          <w:p>
            <w:pPr>
              <w:ind w:firstLine="0" w:firstLineChars="0"/>
            </w:pPr>
          </w:p>
          <w:p>
            <w:pPr>
              <w:ind w:firstLine="0" w:firstLineChars="0"/>
            </w:pPr>
          </w:p>
          <w:p>
            <w:pPr>
              <w:ind w:firstLine="0" w:firstLineChars="0"/>
            </w:pPr>
          </w:p>
        </w:tc>
      </w:tr>
    </w:tbl>
    <w:p>
      <w:pPr>
        <w:ind w:firstLine="0" w:firstLineChars="0"/>
        <w:rPr>
          <w:lang w:val="zh-CN"/>
        </w:rPr>
      </w:pPr>
    </w:p>
    <w:p>
      <w:pPr>
        <w:ind w:firstLine="480"/>
        <w:rPr>
          <w:color w:val="FF0000"/>
        </w:rPr>
      </w:pPr>
      <w:r>
        <w:rPr>
          <w:rFonts w:hint="eastAsia"/>
          <w:color w:val="FF0000"/>
        </w:rPr>
        <w:t>本部分是附录部分，美赛对于附录不是特别看重，今年还限制了论文的页数（从第二页开始编号，不能超过2</w:t>
      </w:r>
      <w:r>
        <w:rPr>
          <w:color w:val="FF0000"/>
        </w:rPr>
        <w:t>5</w:t>
      </w:r>
      <w:r>
        <w:rPr>
          <w:rFonts w:hint="eastAsia"/>
          <w:color w:val="FF0000"/>
        </w:rPr>
        <w:t>页）。</w:t>
      </w:r>
    </w:p>
    <w:p>
      <w:pPr>
        <w:ind w:firstLine="480"/>
        <w:rPr>
          <w:color w:val="FF0000"/>
          <w:lang w:val="zh-CN"/>
        </w:rPr>
      </w:pPr>
      <w:r>
        <w:rPr>
          <w:rFonts w:hint="eastAsia"/>
          <w:color w:val="FF0000"/>
          <w:lang w:val="zh-CN"/>
        </w:rPr>
        <w:t>一般新起一页列出附录。</w:t>
      </w:r>
    </w:p>
    <w:p>
      <w:pPr>
        <w:ind w:firstLine="480"/>
        <w:rPr>
          <w:color w:val="FF0000"/>
        </w:rPr>
      </w:pPr>
      <w:r>
        <w:rPr>
          <w:rFonts w:hint="eastAsia"/>
          <w:color w:val="FF0000"/>
        </w:rPr>
        <w:t>在不超过页数限制的条件下，附录中可以包括下面内容：</w:t>
      </w:r>
    </w:p>
    <w:p>
      <w:pPr>
        <w:pStyle w:val="19"/>
        <w:numPr>
          <w:ilvl w:val="0"/>
          <w:numId w:val="16"/>
        </w:numPr>
        <w:ind w:firstLineChars="0"/>
        <w:rPr>
          <w:color w:val="FF0000"/>
        </w:rPr>
      </w:pPr>
      <w:r>
        <w:rPr>
          <w:rFonts w:hint="eastAsia"/>
          <w:color w:val="FF0000"/>
        </w:rPr>
        <w:t>你们写的代码；</w:t>
      </w:r>
    </w:p>
    <w:p>
      <w:pPr>
        <w:pStyle w:val="19"/>
        <w:numPr>
          <w:ilvl w:val="0"/>
          <w:numId w:val="16"/>
        </w:numPr>
        <w:ind w:firstLineChars="0"/>
        <w:rPr>
          <w:color w:val="FF0000"/>
        </w:rPr>
      </w:pPr>
      <w:r>
        <w:rPr>
          <w:rFonts w:hint="eastAsia"/>
          <w:color w:val="FF0000"/>
        </w:rPr>
        <w:t>某一问题的详细证明或求解过程；</w:t>
      </w:r>
    </w:p>
    <w:p>
      <w:pPr>
        <w:pStyle w:val="19"/>
        <w:numPr>
          <w:ilvl w:val="0"/>
          <w:numId w:val="16"/>
        </w:numPr>
        <w:ind w:firstLineChars="0"/>
        <w:rPr>
          <w:color w:val="FF0000"/>
        </w:rPr>
      </w:pPr>
      <w:r>
        <w:rPr>
          <w:rFonts w:hint="eastAsia"/>
          <w:color w:val="FF0000"/>
        </w:rPr>
        <w:t>自己在网上找到的数据；</w:t>
      </w:r>
    </w:p>
    <w:p>
      <w:pPr>
        <w:pStyle w:val="19"/>
        <w:numPr>
          <w:ilvl w:val="0"/>
          <w:numId w:val="16"/>
        </w:numPr>
        <w:ind w:firstLineChars="0"/>
        <w:rPr>
          <w:color w:val="FF0000"/>
        </w:rPr>
      </w:pPr>
      <w:r>
        <w:rPr>
          <w:rFonts w:hint="eastAsia"/>
          <w:color w:val="FF0000"/>
        </w:rPr>
        <w:t>比较大的流程图；</w:t>
      </w:r>
    </w:p>
    <w:p>
      <w:pPr>
        <w:pStyle w:val="19"/>
        <w:numPr>
          <w:ilvl w:val="0"/>
          <w:numId w:val="16"/>
        </w:numPr>
        <w:ind w:firstLineChars="0"/>
        <w:rPr>
          <w:color w:val="FF0000"/>
        </w:rPr>
      </w:pPr>
      <w:r>
        <w:rPr>
          <w:rFonts w:hint="eastAsia"/>
          <w:color w:val="FF0000"/>
        </w:rPr>
        <w:t>较繁杂的图表或计算结果。</w:t>
      </w:r>
    </w:p>
    <w:sectPr>
      <w:headerReference r:id="rId11" w:type="first"/>
      <w:pgSz w:w="11906" w:h="16838"/>
      <w:pgMar w:top="1440" w:right="1440" w:bottom="1440" w:left="1440" w:header="851" w:footer="992" w:gutter="0"/>
      <w:cols w:space="425" w:num="1"/>
      <w:titlePg/>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TimesNewRomanPSMT">
    <w:altName w:val="Times New Roman"/>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Team # 2213398</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17</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1318336367"/>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17</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17</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ind w:firstLine="0" w:firstLineChars="0"/>
      <w:jc w:val="distribute"/>
      <w:rPr>
        <w:rFonts w:ascii="Consolas" w:hAnsi="Consolas" w:cs="Arial"/>
        <w:spacing w:val="-10"/>
        <w:sz w:val="22"/>
        <w:szCs w:val="22"/>
      </w:rPr>
    </w:pPr>
    <w:r>
      <w:rPr>
        <w:rFonts w:ascii="Consolas" w:hAnsi="Consolas" w:cs="Arial"/>
        <w:spacing w:val="-10"/>
        <w:sz w:val="22"/>
        <w:szCs w:val="22"/>
      </w:rPr>
      <w:t>Team # 2213398</w:t>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3</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Page</w:t>
    </w:r>
    <w:sdt>
      <w:sdtPr>
        <w:rPr>
          <w:rFonts w:ascii="Consolas" w:hAnsi="Consolas" w:cs="Arial"/>
          <w:spacing w:val="-10"/>
          <w:sz w:val="22"/>
          <w:szCs w:val="22"/>
        </w:rPr>
        <w:id w:val="884914075"/>
      </w:sdtPr>
      <w:sdtEndPr>
        <w:rPr>
          <w:rFonts w:ascii="Consolas" w:hAnsi="Consolas" w:cs="Arial"/>
          <w:spacing w:val="-10"/>
          <w:sz w:val="22"/>
          <w:szCs w:val="22"/>
        </w:rPr>
      </w:sdtEndPr>
      <w:sdtContent>
        <w:r>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Pr>
            <w:rFonts w:ascii="Consolas" w:hAnsi="Consolas" w:cs="Arial"/>
            <w:spacing w:val="-10"/>
            <w:sz w:val="22"/>
            <w:szCs w:val="22"/>
          </w:rPr>
          <w:instrText xml:space="preserve">3</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Pr>
            <w:rFonts w:ascii="Consolas" w:hAnsi="Consolas" w:cs="Arial"/>
            <w:spacing w:val="-10"/>
            <w:sz w:val="22"/>
            <w:szCs w:val="22"/>
          </w:rPr>
          <w:t>3</w:t>
        </w:r>
        <w:r>
          <w:rPr>
            <w:rFonts w:ascii="Consolas" w:hAnsi="Consolas" w:cs="Arial"/>
            <w:spacing w:val="-10"/>
            <w:sz w:val="22"/>
            <w:szCs w:val="22"/>
          </w:rPr>
          <w:fldChar w:fldCharType="end"/>
        </w:r>
        <w:r>
          <w:rPr>
            <w:rFonts w:ascii="Consolas" w:hAnsi="Consolas" w:cs="Arial"/>
            <w:spacing w:val="-10"/>
            <w:sz w:val="22"/>
            <w:szCs w:val="22"/>
          </w:rPr>
          <w:t xml:space="preserve"> of </w:t>
        </w:r>
      </w:sdtContent>
    </w:sdt>
    <w:r>
      <w:rPr>
        <w:rFonts w:ascii="Consolas" w:hAnsi="Consolas" w:cs="Arial"/>
        <w:spacing w:val="-10"/>
        <w:sz w:val="22"/>
        <w:szCs w:val="22"/>
      </w:rPr>
      <w:fldChar w:fldCharType="begin"/>
    </w:r>
    <w:r>
      <w:rPr>
        <w:rFonts w:ascii="Consolas" w:hAnsi="Consolas" w:cs="Arial"/>
        <w:spacing w:val="-10"/>
        <w:sz w:val="22"/>
        <w:szCs w:val="22"/>
      </w:rPr>
      <w:instrText xml:space="preserve">NUMPAGES</w:instrText>
    </w:r>
    <w:r>
      <w:rPr>
        <w:rFonts w:ascii="Consolas" w:hAnsi="Consolas" w:cs="Arial"/>
        <w:spacing w:val="-10"/>
        <w:sz w:val="22"/>
        <w:szCs w:val="22"/>
      </w:rPr>
      <w:fldChar w:fldCharType="separate"/>
    </w:r>
    <w:r>
      <w:rPr>
        <w:rFonts w:ascii="Consolas" w:hAnsi="Consolas" w:cs="Arial"/>
        <w:spacing w:val="-10"/>
        <w:sz w:val="22"/>
        <w:szCs w:val="22"/>
      </w:rPr>
      <w:t>11</w:t>
    </w:r>
    <w:r>
      <w:rPr>
        <w:rFonts w:ascii="Consolas" w:hAnsi="Consolas" w:cs="Arial"/>
        <w:spacing w:val="-1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2273D8"/>
    <w:multiLevelType w:val="singleLevel"/>
    <w:tmpl w:val="872273D8"/>
    <w:lvl w:ilvl="0" w:tentative="0">
      <w:start w:val="1"/>
      <w:numFmt w:val="bullet"/>
      <w:lvlText w:val=""/>
      <w:lvlJc w:val="left"/>
      <w:pPr>
        <w:ind w:left="660" w:hanging="420"/>
      </w:pPr>
      <w:rPr>
        <w:rFonts w:hint="default" w:ascii="Wingdings" w:hAnsi="Wingdings"/>
      </w:rPr>
    </w:lvl>
  </w:abstractNum>
  <w:abstractNum w:abstractNumId="1">
    <w:nsid w:val="8A2C641F"/>
    <w:multiLevelType w:val="multilevel"/>
    <w:tmpl w:val="8A2C641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DCD969F3"/>
    <w:multiLevelType w:val="singleLevel"/>
    <w:tmpl w:val="DCD969F3"/>
    <w:lvl w:ilvl="0" w:tentative="0">
      <w:start w:val="1"/>
      <w:numFmt w:val="bullet"/>
      <w:lvlText w:val=""/>
      <w:lvlJc w:val="left"/>
      <w:pPr>
        <w:ind w:left="420" w:hanging="420"/>
      </w:pPr>
      <w:rPr>
        <w:rFonts w:hint="default" w:ascii="Wingdings" w:hAnsi="Wingdings"/>
        <w:color w:val="auto"/>
      </w:rPr>
    </w:lvl>
  </w:abstractNum>
  <w:abstractNum w:abstractNumId="3">
    <w:nsid w:val="04D918D0"/>
    <w:multiLevelType w:val="multilevel"/>
    <w:tmpl w:val="04D918D0"/>
    <w:lvl w:ilvl="0" w:tentative="0">
      <w:start w:val="1"/>
      <w:numFmt w:val="bullet"/>
      <w:lvlText w:val=""/>
      <w:lvlJc w:val="left"/>
      <w:pPr>
        <w:ind w:left="619" w:hanging="420"/>
      </w:pPr>
      <w:rPr>
        <w:rFonts w:hint="default" w:ascii="Wingdings" w:hAnsi="Wingdings"/>
      </w:rPr>
    </w:lvl>
    <w:lvl w:ilvl="1" w:tentative="0">
      <w:start w:val="1"/>
      <w:numFmt w:val="bullet"/>
      <w:lvlText w:val=""/>
      <w:lvlJc w:val="left"/>
      <w:pPr>
        <w:ind w:left="1039" w:hanging="420"/>
      </w:pPr>
      <w:rPr>
        <w:rFonts w:hint="default" w:ascii="Wingdings" w:hAnsi="Wingdings"/>
      </w:rPr>
    </w:lvl>
    <w:lvl w:ilvl="2" w:tentative="0">
      <w:start w:val="1"/>
      <w:numFmt w:val="bullet"/>
      <w:lvlText w:val=""/>
      <w:lvlJc w:val="left"/>
      <w:pPr>
        <w:ind w:left="1459" w:hanging="420"/>
      </w:pPr>
      <w:rPr>
        <w:rFonts w:hint="default" w:ascii="Wingdings" w:hAnsi="Wingdings"/>
      </w:rPr>
    </w:lvl>
    <w:lvl w:ilvl="3" w:tentative="0">
      <w:start w:val="1"/>
      <w:numFmt w:val="bullet"/>
      <w:lvlText w:val=""/>
      <w:lvlJc w:val="left"/>
      <w:pPr>
        <w:ind w:left="1879" w:hanging="420"/>
      </w:pPr>
      <w:rPr>
        <w:rFonts w:hint="default" w:ascii="Wingdings" w:hAnsi="Wingdings"/>
      </w:rPr>
    </w:lvl>
    <w:lvl w:ilvl="4" w:tentative="0">
      <w:start w:val="1"/>
      <w:numFmt w:val="bullet"/>
      <w:lvlText w:val=""/>
      <w:lvlJc w:val="left"/>
      <w:pPr>
        <w:ind w:left="2299" w:hanging="420"/>
      </w:pPr>
      <w:rPr>
        <w:rFonts w:hint="default" w:ascii="Wingdings" w:hAnsi="Wingdings"/>
      </w:rPr>
    </w:lvl>
    <w:lvl w:ilvl="5" w:tentative="0">
      <w:start w:val="1"/>
      <w:numFmt w:val="bullet"/>
      <w:lvlText w:val=""/>
      <w:lvlJc w:val="left"/>
      <w:pPr>
        <w:ind w:left="2719" w:hanging="420"/>
      </w:pPr>
      <w:rPr>
        <w:rFonts w:hint="default" w:ascii="Wingdings" w:hAnsi="Wingdings"/>
      </w:rPr>
    </w:lvl>
    <w:lvl w:ilvl="6" w:tentative="0">
      <w:start w:val="1"/>
      <w:numFmt w:val="bullet"/>
      <w:lvlText w:val=""/>
      <w:lvlJc w:val="left"/>
      <w:pPr>
        <w:ind w:left="3139" w:hanging="420"/>
      </w:pPr>
      <w:rPr>
        <w:rFonts w:hint="default" w:ascii="Wingdings" w:hAnsi="Wingdings"/>
      </w:rPr>
    </w:lvl>
    <w:lvl w:ilvl="7" w:tentative="0">
      <w:start w:val="1"/>
      <w:numFmt w:val="bullet"/>
      <w:lvlText w:val=""/>
      <w:lvlJc w:val="left"/>
      <w:pPr>
        <w:ind w:left="3559" w:hanging="420"/>
      </w:pPr>
      <w:rPr>
        <w:rFonts w:hint="default" w:ascii="Wingdings" w:hAnsi="Wingdings"/>
      </w:rPr>
    </w:lvl>
    <w:lvl w:ilvl="8" w:tentative="0">
      <w:start w:val="1"/>
      <w:numFmt w:val="bullet"/>
      <w:lvlText w:val=""/>
      <w:lvlJc w:val="left"/>
      <w:pPr>
        <w:ind w:left="3979" w:hanging="420"/>
      </w:pPr>
      <w:rPr>
        <w:rFonts w:hint="default" w:ascii="Wingdings" w:hAnsi="Wingdings"/>
      </w:rPr>
    </w:lvl>
  </w:abstractNum>
  <w:abstractNum w:abstractNumId="4">
    <w:nsid w:val="20F6434F"/>
    <w:multiLevelType w:val="multilevel"/>
    <w:tmpl w:val="20F6434F"/>
    <w:lvl w:ilvl="0" w:tentative="0">
      <w:start w:val="1"/>
      <w:numFmt w:val="bullet"/>
      <w:lvlText w:val=""/>
      <w:lvlJc w:val="left"/>
      <w:pPr>
        <w:ind w:left="420" w:hanging="420"/>
      </w:pPr>
      <w:rPr>
        <w:rFonts w:hint="default" w:ascii="Wingdings" w:hAnsi="Wingdings"/>
        <w:color w:val="auto"/>
      </w:rPr>
    </w:lvl>
    <w:lvl w:ilvl="1" w:tentative="0">
      <w:start w:val="1"/>
      <w:numFmt w:val="bullet"/>
      <w:lvlText w:val=""/>
      <w:lvlJc w:val="left"/>
      <w:pPr>
        <w:ind w:left="611" w:hanging="420"/>
      </w:pPr>
      <w:rPr>
        <w:rFonts w:hint="default" w:ascii="Wingdings" w:hAnsi="Wingdings"/>
      </w:rPr>
    </w:lvl>
    <w:lvl w:ilvl="2" w:tentative="0">
      <w:start w:val="1"/>
      <w:numFmt w:val="bullet"/>
      <w:lvlText w:val=""/>
      <w:lvlJc w:val="left"/>
      <w:pPr>
        <w:ind w:left="1031" w:hanging="420"/>
      </w:pPr>
      <w:rPr>
        <w:rFonts w:hint="default" w:ascii="Wingdings" w:hAnsi="Wingdings"/>
      </w:rPr>
    </w:lvl>
    <w:lvl w:ilvl="3" w:tentative="0">
      <w:start w:val="1"/>
      <w:numFmt w:val="bullet"/>
      <w:lvlText w:val=""/>
      <w:lvlJc w:val="left"/>
      <w:pPr>
        <w:ind w:left="1451" w:hanging="420"/>
      </w:pPr>
      <w:rPr>
        <w:rFonts w:hint="default" w:ascii="Wingdings" w:hAnsi="Wingdings"/>
      </w:rPr>
    </w:lvl>
    <w:lvl w:ilvl="4" w:tentative="0">
      <w:start w:val="1"/>
      <w:numFmt w:val="bullet"/>
      <w:lvlText w:val=""/>
      <w:lvlJc w:val="left"/>
      <w:pPr>
        <w:ind w:left="1871" w:hanging="420"/>
      </w:pPr>
      <w:rPr>
        <w:rFonts w:hint="default" w:ascii="Wingdings" w:hAnsi="Wingdings"/>
      </w:rPr>
    </w:lvl>
    <w:lvl w:ilvl="5" w:tentative="0">
      <w:start w:val="1"/>
      <w:numFmt w:val="bullet"/>
      <w:lvlText w:val=""/>
      <w:lvlJc w:val="left"/>
      <w:pPr>
        <w:ind w:left="2291" w:hanging="420"/>
      </w:pPr>
      <w:rPr>
        <w:rFonts w:hint="default" w:ascii="Wingdings" w:hAnsi="Wingdings"/>
      </w:rPr>
    </w:lvl>
    <w:lvl w:ilvl="6" w:tentative="0">
      <w:start w:val="1"/>
      <w:numFmt w:val="bullet"/>
      <w:lvlText w:val=""/>
      <w:lvlJc w:val="left"/>
      <w:pPr>
        <w:ind w:left="2711" w:hanging="420"/>
      </w:pPr>
      <w:rPr>
        <w:rFonts w:hint="default" w:ascii="Wingdings" w:hAnsi="Wingdings"/>
      </w:rPr>
    </w:lvl>
    <w:lvl w:ilvl="7" w:tentative="0">
      <w:start w:val="1"/>
      <w:numFmt w:val="bullet"/>
      <w:lvlText w:val=""/>
      <w:lvlJc w:val="left"/>
      <w:pPr>
        <w:ind w:left="3131" w:hanging="420"/>
      </w:pPr>
      <w:rPr>
        <w:rFonts w:hint="default" w:ascii="Wingdings" w:hAnsi="Wingdings"/>
      </w:rPr>
    </w:lvl>
    <w:lvl w:ilvl="8" w:tentative="0">
      <w:start w:val="1"/>
      <w:numFmt w:val="bullet"/>
      <w:lvlText w:val=""/>
      <w:lvlJc w:val="left"/>
      <w:pPr>
        <w:ind w:left="3551" w:hanging="420"/>
      </w:pPr>
      <w:rPr>
        <w:rFonts w:hint="default" w:ascii="Wingdings" w:hAnsi="Wingdings"/>
      </w:rPr>
    </w:lvl>
  </w:abstractNum>
  <w:abstractNum w:abstractNumId="5">
    <w:nsid w:val="2E928037"/>
    <w:multiLevelType w:val="singleLevel"/>
    <w:tmpl w:val="2E928037"/>
    <w:lvl w:ilvl="0" w:tentative="0">
      <w:start w:val="1"/>
      <w:numFmt w:val="bullet"/>
      <w:lvlText w:val=""/>
      <w:lvlJc w:val="left"/>
      <w:pPr>
        <w:ind w:left="420" w:hanging="420"/>
      </w:pPr>
      <w:rPr>
        <w:rFonts w:hint="default" w:ascii="Wingdings" w:hAnsi="Wingdings"/>
      </w:rPr>
    </w:lvl>
  </w:abstractNum>
  <w:abstractNum w:abstractNumId="6">
    <w:nsid w:val="35B54356"/>
    <w:multiLevelType w:val="singleLevel"/>
    <w:tmpl w:val="35B54356"/>
    <w:lvl w:ilvl="0" w:tentative="0">
      <w:start w:val="1"/>
      <w:numFmt w:val="decimal"/>
      <w:lvlText w:val="%1."/>
      <w:lvlJc w:val="left"/>
      <w:pPr>
        <w:ind w:left="425" w:hanging="425"/>
      </w:pPr>
      <w:rPr>
        <w:rFonts w:hint="default"/>
        <w:strike w:val="0"/>
        <w:dstrike w:val="0"/>
      </w:rPr>
    </w:lvl>
  </w:abstractNum>
  <w:abstractNum w:abstractNumId="7">
    <w:nsid w:val="46032639"/>
    <w:multiLevelType w:val="multilevel"/>
    <w:tmpl w:val="4603263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488718C9"/>
    <w:multiLevelType w:val="multilevel"/>
    <w:tmpl w:val="488718C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4B9F0E36"/>
    <w:multiLevelType w:val="singleLevel"/>
    <w:tmpl w:val="4B9F0E36"/>
    <w:lvl w:ilvl="0" w:tentative="0">
      <w:start w:val="1"/>
      <w:numFmt w:val="bullet"/>
      <w:lvlText w:val=""/>
      <w:lvlJc w:val="left"/>
      <w:pPr>
        <w:ind w:left="420" w:hanging="420"/>
      </w:pPr>
      <w:rPr>
        <w:rFonts w:hint="default" w:ascii="Wingdings" w:hAnsi="Wingdings"/>
        <w:color w:val="auto"/>
      </w:rPr>
    </w:lvl>
  </w:abstractNum>
  <w:abstractNum w:abstractNumId="10">
    <w:nsid w:val="5B825727"/>
    <w:multiLevelType w:val="multilevel"/>
    <w:tmpl w:val="5B82572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1">
    <w:nsid w:val="5FAD4000"/>
    <w:multiLevelType w:val="multilevel"/>
    <w:tmpl w:val="5FAD4000"/>
    <w:lvl w:ilvl="0" w:tentative="0">
      <w:start w:val="1"/>
      <w:numFmt w:val="bullet"/>
      <w:lvlText w:val=""/>
      <w:lvlJc w:val="left"/>
      <w:pPr>
        <w:ind w:left="619" w:hanging="420"/>
      </w:pPr>
      <w:rPr>
        <w:rFonts w:hint="default" w:ascii="Wingdings" w:hAnsi="Wingdings"/>
      </w:rPr>
    </w:lvl>
    <w:lvl w:ilvl="1" w:tentative="0">
      <w:start w:val="1"/>
      <w:numFmt w:val="bullet"/>
      <w:lvlText w:val=""/>
      <w:lvlJc w:val="left"/>
      <w:pPr>
        <w:ind w:left="1039" w:hanging="420"/>
      </w:pPr>
      <w:rPr>
        <w:rFonts w:hint="default" w:ascii="Wingdings" w:hAnsi="Wingdings"/>
      </w:rPr>
    </w:lvl>
    <w:lvl w:ilvl="2" w:tentative="0">
      <w:start w:val="1"/>
      <w:numFmt w:val="bullet"/>
      <w:lvlText w:val=""/>
      <w:lvlJc w:val="left"/>
      <w:pPr>
        <w:ind w:left="1459" w:hanging="420"/>
      </w:pPr>
      <w:rPr>
        <w:rFonts w:hint="default" w:ascii="Wingdings" w:hAnsi="Wingdings"/>
      </w:rPr>
    </w:lvl>
    <w:lvl w:ilvl="3" w:tentative="0">
      <w:start w:val="1"/>
      <w:numFmt w:val="bullet"/>
      <w:lvlText w:val=""/>
      <w:lvlJc w:val="left"/>
      <w:pPr>
        <w:ind w:left="1879" w:hanging="420"/>
      </w:pPr>
      <w:rPr>
        <w:rFonts w:hint="default" w:ascii="Wingdings" w:hAnsi="Wingdings"/>
      </w:rPr>
    </w:lvl>
    <w:lvl w:ilvl="4" w:tentative="0">
      <w:start w:val="1"/>
      <w:numFmt w:val="bullet"/>
      <w:lvlText w:val=""/>
      <w:lvlJc w:val="left"/>
      <w:pPr>
        <w:ind w:left="2299" w:hanging="420"/>
      </w:pPr>
      <w:rPr>
        <w:rFonts w:hint="default" w:ascii="Wingdings" w:hAnsi="Wingdings"/>
      </w:rPr>
    </w:lvl>
    <w:lvl w:ilvl="5" w:tentative="0">
      <w:start w:val="1"/>
      <w:numFmt w:val="bullet"/>
      <w:lvlText w:val=""/>
      <w:lvlJc w:val="left"/>
      <w:pPr>
        <w:ind w:left="2719" w:hanging="420"/>
      </w:pPr>
      <w:rPr>
        <w:rFonts w:hint="default" w:ascii="Wingdings" w:hAnsi="Wingdings"/>
      </w:rPr>
    </w:lvl>
    <w:lvl w:ilvl="6" w:tentative="0">
      <w:start w:val="1"/>
      <w:numFmt w:val="bullet"/>
      <w:lvlText w:val=""/>
      <w:lvlJc w:val="left"/>
      <w:pPr>
        <w:ind w:left="3139" w:hanging="420"/>
      </w:pPr>
      <w:rPr>
        <w:rFonts w:hint="default" w:ascii="Wingdings" w:hAnsi="Wingdings"/>
      </w:rPr>
    </w:lvl>
    <w:lvl w:ilvl="7" w:tentative="0">
      <w:start w:val="1"/>
      <w:numFmt w:val="bullet"/>
      <w:lvlText w:val=""/>
      <w:lvlJc w:val="left"/>
      <w:pPr>
        <w:ind w:left="3559" w:hanging="420"/>
      </w:pPr>
      <w:rPr>
        <w:rFonts w:hint="default" w:ascii="Wingdings" w:hAnsi="Wingdings"/>
      </w:rPr>
    </w:lvl>
    <w:lvl w:ilvl="8" w:tentative="0">
      <w:start w:val="1"/>
      <w:numFmt w:val="bullet"/>
      <w:lvlText w:val=""/>
      <w:lvlJc w:val="left"/>
      <w:pPr>
        <w:ind w:left="3979" w:hanging="420"/>
      </w:pPr>
      <w:rPr>
        <w:rFonts w:hint="default" w:ascii="Wingdings" w:hAnsi="Wingdings"/>
      </w:rPr>
    </w:lvl>
  </w:abstractNum>
  <w:abstractNum w:abstractNumId="12">
    <w:nsid w:val="6A4E06BA"/>
    <w:multiLevelType w:val="multilevel"/>
    <w:tmpl w:val="6A4E06BA"/>
    <w:lvl w:ilvl="0" w:tentative="0">
      <w:start w:val="1"/>
      <w:numFmt w:val="bullet"/>
      <w:lvlText w:val=""/>
      <w:lvlJc w:val="left"/>
      <w:pPr>
        <w:ind w:left="420" w:hanging="420"/>
      </w:pPr>
      <w:rPr>
        <w:rFonts w:hint="default" w:ascii="Wingdings" w:hAnsi="Wingdings"/>
        <w:color w:val="auto"/>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6E303767"/>
    <w:multiLevelType w:val="singleLevel"/>
    <w:tmpl w:val="6E303767"/>
    <w:lvl w:ilvl="0" w:tentative="0">
      <w:start w:val="1"/>
      <w:numFmt w:val="bullet"/>
      <w:lvlText w:val=""/>
      <w:lvlJc w:val="left"/>
      <w:pPr>
        <w:ind w:left="660" w:hanging="420"/>
      </w:pPr>
      <w:rPr>
        <w:rFonts w:hint="default" w:ascii="Wingdings" w:hAnsi="Wingdings"/>
      </w:rPr>
    </w:lvl>
  </w:abstractNum>
  <w:abstractNum w:abstractNumId="14">
    <w:nsid w:val="73CD4293"/>
    <w:multiLevelType w:val="multilevel"/>
    <w:tmpl w:val="73CD4293"/>
    <w:lvl w:ilvl="0" w:tentative="0">
      <w:start w:val="1"/>
      <w:numFmt w:val="chineseCountingThousand"/>
      <w:pStyle w:val="2"/>
      <w:isLgl/>
      <w:suff w:val="space"/>
      <w:lvlText w:val="%1"/>
      <w:lvlJc w:val="left"/>
      <w:pPr>
        <w:ind w:left="3543" w:hanging="425"/>
      </w:pPr>
      <w:rPr>
        <w:rFonts w:hint="default" w:ascii="Times New Roman" w:hAnsi="Times New Roman" w:eastAsia="黑体"/>
        <w:b/>
        <w:i w:val="0"/>
        <w:sz w:val="32"/>
      </w:rPr>
    </w:lvl>
    <w:lvl w:ilvl="1" w:tentative="0">
      <w:start w:val="1"/>
      <w:numFmt w:val="decimal"/>
      <w:pStyle w:val="3"/>
      <w:isLgl/>
      <w:suff w:val="space"/>
      <w:lvlText w:val="%1.%2"/>
      <w:lvlJc w:val="left"/>
      <w:pPr>
        <w:ind w:left="992" w:hanging="567"/>
      </w:pPr>
      <w:rPr>
        <w:rFonts w:hint="default" w:ascii="Times New Roman" w:hAnsi="Times New Roman" w:eastAsia="黑体"/>
        <w:b/>
        <w:i w:val="0"/>
        <w:color w:val="auto"/>
        <w:sz w:val="28"/>
      </w:rPr>
    </w:lvl>
    <w:lvl w:ilvl="2" w:tentative="0">
      <w:start w:val="1"/>
      <w:numFmt w:val="decimal"/>
      <w:pStyle w:val="4"/>
      <w:isLgl/>
      <w:suff w:val="space"/>
      <w:lvlText w:val="%1.%2.%3"/>
      <w:lvlJc w:val="left"/>
      <w:pPr>
        <w:ind w:left="1418" w:hanging="567"/>
      </w:pPr>
      <w:rPr>
        <w:rFonts w:hint="default" w:ascii="Times New Roman" w:hAnsi="Times New Roman" w:eastAsia="黑体"/>
        <w:b/>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5">
    <w:nsid w:val="7CFA6312"/>
    <w:multiLevelType w:val="multilevel"/>
    <w:tmpl w:val="7CFA63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4"/>
  </w:num>
  <w:num w:numId="2">
    <w:abstractNumId w:val="15"/>
  </w:num>
  <w:num w:numId="3">
    <w:abstractNumId w:val="7"/>
  </w:num>
  <w:num w:numId="4">
    <w:abstractNumId w:val="8"/>
  </w:num>
  <w:num w:numId="5">
    <w:abstractNumId w:val="3"/>
  </w:num>
  <w:num w:numId="6">
    <w:abstractNumId w:val="11"/>
  </w:num>
  <w:num w:numId="7">
    <w:abstractNumId w:val="0"/>
  </w:num>
  <w:num w:numId="8">
    <w:abstractNumId w:val="13"/>
  </w:num>
  <w:num w:numId="9">
    <w:abstractNumId w:val="6"/>
  </w:num>
  <w:num w:numId="10">
    <w:abstractNumId w:val="4"/>
  </w:num>
  <w:num w:numId="11">
    <w:abstractNumId w:val="1"/>
  </w:num>
  <w:num w:numId="12">
    <w:abstractNumId w:val="5"/>
  </w:num>
  <w:num w:numId="13">
    <w:abstractNumId w:val="9"/>
  </w:num>
  <w:num w:numId="14">
    <w:abstractNumId w:val="12"/>
  </w:num>
  <w:num w:numId="15">
    <w:abstractNumId w:val="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93C"/>
    <w:rsid w:val="000166B3"/>
    <w:rsid w:val="000209E8"/>
    <w:rsid w:val="0002276A"/>
    <w:rsid w:val="000D0478"/>
    <w:rsid w:val="001224BE"/>
    <w:rsid w:val="00146227"/>
    <w:rsid w:val="00146874"/>
    <w:rsid w:val="00150817"/>
    <w:rsid w:val="001771F1"/>
    <w:rsid w:val="00191679"/>
    <w:rsid w:val="001C0BC9"/>
    <w:rsid w:val="001E7179"/>
    <w:rsid w:val="002466BB"/>
    <w:rsid w:val="00251B0B"/>
    <w:rsid w:val="002940A3"/>
    <w:rsid w:val="002D5907"/>
    <w:rsid w:val="002F522B"/>
    <w:rsid w:val="002F798F"/>
    <w:rsid w:val="003030E4"/>
    <w:rsid w:val="003366AA"/>
    <w:rsid w:val="00383CBB"/>
    <w:rsid w:val="00386E25"/>
    <w:rsid w:val="003E59F3"/>
    <w:rsid w:val="0040520D"/>
    <w:rsid w:val="00424DF9"/>
    <w:rsid w:val="00485658"/>
    <w:rsid w:val="004D592D"/>
    <w:rsid w:val="00505677"/>
    <w:rsid w:val="0056145A"/>
    <w:rsid w:val="00563088"/>
    <w:rsid w:val="00580DAC"/>
    <w:rsid w:val="0059369C"/>
    <w:rsid w:val="005C56E2"/>
    <w:rsid w:val="005C6AD8"/>
    <w:rsid w:val="005D138F"/>
    <w:rsid w:val="0064432F"/>
    <w:rsid w:val="00644392"/>
    <w:rsid w:val="00667B96"/>
    <w:rsid w:val="00671F5E"/>
    <w:rsid w:val="006B657C"/>
    <w:rsid w:val="00710CC7"/>
    <w:rsid w:val="0071511F"/>
    <w:rsid w:val="0071546F"/>
    <w:rsid w:val="00792D45"/>
    <w:rsid w:val="007E32B6"/>
    <w:rsid w:val="00823144"/>
    <w:rsid w:val="008332ED"/>
    <w:rsid w:val="00850A8A"/>
    <w:rsid w:val="00852E32"/>
    <w:rsid w:val="0085593C"/>
    <w:rsid w:val="008E3268"/>
    <w:rsid w:val="00960C80"/>
    <w:rsid w:val="00965F8A"/>
    <w:rsid w:val="009F551E"/>
    <w:rsid w:val="00A07289"/>
    <w:rsid w:val="00A111BE"/>
    <w:rsid w:val="00A23FD4"/>
    <w:rsid w:val="00A456D4"/>
    <w:rsid w:val="00A675DB"/>
    <w:rsid w:val="00A73A09"/>
    <w:rsid w:val="00AA18BD"/>
    <w:rsid w:val="00AB0D16"/>
    <w:rsid w:val="00B324EA"/>
    <w:rsid w:val="00B7496A"/>
    <w:rsid w:val="00BA3F04"/>
    <w:rsid w:val="00C049DF"/>
    <w:rsid w:val="00C063C0"/>
    <w:rsid w:val="00C17A3C"/>
    <w:rsid w:val="00C54D77"/>
    <w:rsid w:val="00CD28CD"/>
    <w:rsid w:val="00CE2745"/>
    <w:rsid w:val="00D84718"/>
    <w:rsid w:val="00D91BAD"/>
    <w:rsid w:val="00DA6E91"/>
    <w:rsid w:val="00DA7FFA"/>
    <w:rsid w:val="00DB323A"/>
    <w:rsid w:val="00DC3432"/>
    <w:rsid w:val="00E02E1B"/>
    <w:rsid w:val="00E209D3"/>
    <w:rsid w:val="00EE3761"/>
    <w:rsid w:val="00EF1F58"/>
    <w:rsid w:val="00F51B4E"/>
    <w:rsid w:val="00FB17FF"/>
    <w:rsid w:val="02DE79B6"/>
    <w:rsid w:val="052F5E15"/>
    <w:rsid w:val="057B4000"/>
    <w:rsid w:val="05D128E4"/>
    <w:rsid w:val="0683143F"/>
    <w:rsid w:val="0829035D"/>
    <w:rsid w:val="0B694E67"/>
    <w:rsid w:val="0B7C5311"/>
    <w:rsid w:val="0D2D6B66"/>
    <w:rsid w:val="0E710348"/>
    <w:rsid w:val="0F024FC3"/>
    <w:rsid w:val="122F1218"/>
    <w:rsid w:val="15502B4A"/>
    <w:rsid w:val="15842905"/>
    <w:rsid w:val="1627052C"/>
    <w:rsid w:val="16E10728"/>
    <w:rsid w:val="17D872F9"/>
    <w:rsid w:val="1BDD4B1E"/>
    <w:rsid w:val="1E071A25"/>
    <w:rsid w:val="1F7B5925"/>
    <w:rsid w:val="21EE5593"/>
    <w:rsid w:val="223F3975"/>
    <w:rsid w:val="23AC15F3"/>
    <w:rsid w:val="25576BDC"/>
    <w:rsid w:val="26167E48"/>
    <w:rsid w:val="26F62FE4"/>
    <w:rsid w:val="27980ECE"/>
    <w:rsid w:val="27BA7A62"/>
    <w:rsid w:val="294F4252"/>
    <w:rsid w:val="29E44AEC"/>
    <w:rsid w:val="2C0C36D5"/>
    <w:rsid w:val="2E381ED1"/>
    <w:rsid w:val="31A603A2"/>
    <w:rsid w:val="32DC41CD"/>
    <w:rsid w:val="3C324B99"/>
    <w:rsid w:val="44512829"/>
    <w:rsid w:val="449459B9"/>
    <w:rsid w:val="475D455E"/>
    <w:rsid w:val="477B035A"/>
    <w:rsid w:val="48E64C90"/>
    <w:rsid w:val="4A0F5DCA"/>
    <w:rsid w:val="4B7D6ED4"/>
    <w:rsid w:val="4D9D1FC1"/>
    <w:rsid w:val="4E237D58"/>
    <w:rsid w:val="4E5D3117"/>
    <w:rsid w:val="4E8E1D41"/>
    <w:rsid w:val="4F771868"/>
    <w:rsid w:val="4FCF536F"/>
    <w:rsid w:val="4FE40FDB"/>
    <w:rsid w:val="508571B2"/>
    <w:rsid w:val="5217598C"/>
    <w:rsid w:val="52F753E1"/>
    <w:rsid w:val="53721D2E"/>
    <w:rsid w:val="54AA25F7"/>
    <w:rsid w:val="574E5942"/>
    <w:rsid w:val="59EA58AA"/>
    <w:rsid w:val="5B3A2990"/>
    <w:rsid w:val="649E0992"/>
    <w:rsid w:val="668F1B3D"/>
    <w:rsid w:val="66EE037F"/>
    <w:rsid w:val="678179C3"/>
    <w:rsid w:val="679F6637"/>
    <w:rsid w:val="690612BF"/>
    <w:rsid w:val="6A2937CB"/>
    <w:rsid w:val="6A8A4C1B"/>
    <w:rsid w:val="6B154986"/>
    <w:rsid w:val="6C314069"/>
    <w:rsid w:val="6C5C7D67"/>
    <w:rsid w:val="6F6E31AE"/>
    <w:rsid w:val="6FD11597"/>
    <w:rsid w:val="6FFA1AB7"/>
    <w:rsid w:val="72C866BA"/>
    <w:rsid w:val="75047B9A"/>
    <w:rsid w:val="753E28BA"/>
    <w:rsid w:val="75EF59F3"/>
    <w:rsid w:val="7C883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14"/>
    <w:qFormat/>
    <w:uiPriority w:val="9"/>
    <w:pPr>
      <w:keepNext/>
      <w:keepLines/>
      <w:numPr>
        <w:ilvl w:val="0"/>
        <w:numId w:val="1"/>
      </w:numPr>
      <w:spacing w:before="120" w:after="120"/>
      <w:ind w:left="0" w:firstLine="0" w:firstLineChars="0"/>
      <w:jc w:val="left"/>
      <w:outlineLvl w:val="0"/>
    </w:pPr>
    <w:rPr>
      <w:rFonts w:eastAsia="黑体"/>
      <w:b/>
      <w:bCs/>
      <w:kern w:val="44"/>
      <w:sz w:val="32"/>
      <w:szCs w:val="44"/>
    </w:rPr>
  </w:style>
  <w:style w:type="paragraph" w:styleId="3">
    <w:name w:val="heading 2"/>
    <w:basedOn w:val="1"/>
    <w:next w:val="1"/>
    <w:link w:val="15"/>
    <w:unhideWhenUsed/>
    <w:qFormat/>
    <w:uiPriority w:val="9"/>
    <w:pPr>
      <w:keepNext/>
      <w:keepLines/>
      <w:numPr>
        <w:ilvl w:val="1"/>
        <w:numId w:val="1"/>
      </w:numPr>
      <w:spacing w:after="50" w:afterLines="50"/>
      <w:ind w:left="0" w:firstLine="0" w:firstLineChars="0"/>
      <w:jc w:val="left"/>
      <w:outlineLvl w:val="1"/>
    </w:pPr>
    <w:rPr>
      <w:rFonts w:eastAsia="黑体" w:cstheme="majorBidi"/>
      <w:b/>
      <w:bCs/>
      <w:sz w:val="28"/>
      <w:szCs w:val="32"/>
    </w:rPr>
  </w:style>
  <w:style w:type="paragraph" w:styleId="4">
    <w:name w:val="heading 3"/>
    <w:basedOn w:val="1"/>
    <w:next w:val="1"/>
    <w:link w:val="16"/>
    <w:unhideWhenUsed/>
    <w:qFormat/>
    <w:uiPriority w:val="9"/>
    <w:pPr>
      <w:keepNext/>
      <w:keepLines/>
      <w:numPr>
        <w:ilvl w:val="2"/>
        <w:numId w:val="1"/>
      </w:numPr>
      <w:ind w:left="0" w:firstLine="0" w:firstLineChars="0"/>
      <w:jc w:val="left"/>
      <w:outlineLvl w:val="2"/>
    </w:pPr>
    <w:rPr>
      <w:rFonts w:eastAsia="黑体"/>
      <w:b/>
      <w:bCs/>
      <w:szCs w:val="32"/>
    </w:rPr>
  </w:style>
  <w:style w:type="character" w:default="1" w:styleId="12">
    <w:name w:val="Default Paragraph Font"/>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footer"/>
    <w:basedOn w:val="1"/>
    <w:link w:val="18"/>
    <w:unhideWhenUsed/>
    <w:qFormat/>
    <w:uiPriority w:val="99"/>
    <w:pPr>
      <w:tabs>
        <w:tab w:val="center" w:pos="4153"/>
        <w:tab w:val="right" w:pos="8306"/>
      </w:tabs>
      <w:snapToGrid w:val="0"/>
      <w:jc w:val="left"/>
    </w:pPr>
    <w:rPr>
      <w:sz w:val="18"/>
      <w:szCs w:val="18"/>
    </w:rPr>
  </w:style>
  <w:style w:type="paragraph" w:styleId="7">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pPr>
      <w:spacing w:before="120"/>
      <w:ind w:firstLine="0" w:firstLineChars="0"/>
      <w:jc w:val="left"/>
    </w:pPr>
    <w:rPr>
      <w:rFonts w:eastAsiaTheme="minorHAnsi"/>
      <w:b/>
      <w:bCs/>
      <w:iCs/>
      <w:sz w:val="28"/>
      <w:szCs w:val="24"/>
    </w:rPr>
  </w:style>
  <w:style w:type="paragraph" w:styleId="9">
    <w:name w:val="toc 2"/>
    <w:basedOn w:val="1"/>
    <w:next w:val="1"/>
    <w:unhideWhenUsed/>
    <w:qFormat/>
    <w:uiPriority w:val="39"/>
    <w:pPr>
      <w:tabs>
        <w:tab w:val="right" w:leader="dot" w:pos="9016"/>
      </w:tabs>
      <w:spacing w:before="60"/>
      <w:ind w:left="238" w:firstLine="0" w:firstLineChars="0"/>
      <w:jc w:val="left"/>
    </w:pPr>
    <w:rPr>
      <w:rFonts w:eastAsiaTheme="minorHAnsi"/>
      <w:bCs/>
      <w:szCs w:val="22"/>
    </w:rPr>
  </w:style>
  <w:style w:type="table" w:styleId="11">
    <w:name w:val="Table Grid"/>
    <w:basedOn w:val="10"/>
    <w:qFormat/>
    <w:uiPriority w:val="5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character" w:customStyle="1" w:styleId="14">
    <w:name w:val="标题 1 字符"/>
    <w:basedOn w:val="12"/>
    <w:link w:val="2"/>
    <w:qFormat/>
    <w:uiPriority w:val="9"/>
    <w:rPr>
      <w:rFonts w:ascii="Times New Roman" w:hAnsi="Times New Roman" w:eastAsia="黑体"/>
      <w:b/>
      <w:bCs/>
      <w:kern w:val="44"/>
      <w:sz w:val="32"/>
      <w:szCs w:val="44"/>
    </w:rPr>
  </w:style>
  <w:style w:type="character" w:customStyle="1" w:styleId="15">
    <w:name w:val="标题 2 字符"/>
    <w:basedOn w:val="12"/>
    <w:link w:val="3"/>
    <w:qFormat/>
    <w:uiPriority w:val="9"/>
    <w:rPr>
      <w:rFonts w:ascii="Times New Roman" w:hAnsi="Times New Roman" w:eastAsia="黑体" w:cstheme="majorBidi"/>
      <w:b/>
      <w:bCs/>
      <w:sz w:val="28"/>
      <w:szCs w:val="32"/>
    </w:rPr>
  </w:style>
  <w:style w:type="character" w:customStyle="1" w:styleId="16">
    <w:name w:val="标题 3 字符"/>
    <w:basedOn w:val="12"/>
    <w:link w:val="4"/>
    <w:qFormat/>
    <w:uiPriority w:val="9"/>
    <w:rPr>
      <w:rFonts w:ascii="Times New Roman" w:hAnsi="Times New Roman" w:eastAsia="黑体"/>
      <w:b/>
      <w:bCs/>
      <w:sz w:val="24"/>
      <w:szCs w:val="32"/>
    </w:rPr>
  </w:style>
  <w:style w:type="character" w:customStyle="1" w:styleId="17">
    <w:name w:val="页眉 字符"/>
    <w:basedOn w:val="12"/>
    <w:link w:val="7"/>
    <w:qFormat/>
    <w:uiPriority w:val="99"/>
    <w:rPr>
      <w:rFonts w:ascii="Times New Roman" w:hAnsi="Times New Roman" w:eastAsia="宋体"/>
      <w:sz w:val="18"/>
      <w:szCs w:val="18"/>
    </w:rPr>
  </w:style>
  <w:style w:type="character" w:customStyle="1" w:styleId="18">
    <w:name w:val="页脚 字符"/>
    <w:basedOn w:val="12"/>
    <w:link w:val="6"/>
    <w:qFormat/>
    <w:uiPriority w:val="99"/>
    <w:rPr>
      <w:rFonts w:ascii="Times New Roman" w:hAnsi="Times New Roman" w:eastAsia="宋体"/>
      <w:sz w:val="18"/>
      <w:szCs w:val="18"/>
    </w:rPr>
  </w:style>
  <w:style w:type="paragraph" w:styleId="19">
    <w:name w:val="List Paragraph"/>
    <w:basedOn w:val="1"/>
    <w:qFormat/>
    <w:uiPriority w:val="34"/>
    <w:pPr>
      <w:ind w:firstLine="420"/>
    </w:pPr>
  </w:style>
  <w:style w:type="paragraph" w:customStyle="1" w:styleId="20">
    <w:name w:val="图表标题"/>
    <w:basedOn w:val="1"/>
    <w:next w:val="1"/>
    <w:qFormat/>
    <w:uiPriority w:val="0"/>
    <w:pPr>
      <w:ind w:firstLine="0" w:firstLineChars="0"/>
      <w:jc w:val="center"/>
    </w:pPr>
    <w:rPr>
      <w:b/>
    </w:rPr>
  </w:style>
  <w:style w:type="table" w:customStyle="1" w:styleId="21">
    <w:name w:val="三线表"/>
    <w:basedOn w:val="10"/>
    <w:qFormat/>
    <w:uiPriority w:val="99"/>
    <w:pPr>
      <w:jc w:val="center"/>
    </w:pPr>
    <w:rPr>
      <w:szCs w:val="21"/>
    </w:r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customStyle="1" w:styleId="22">
    <w:name w:val="正文文本 (3)_"/>
    <w:basedOn w:val="12"/>
    <w:link w:val="23"/>
    <w:qFormat/>
    <w:uiPriority w:val="0"/>
    <w:rPr>
      <w:rFonts w:ascii="Times New Roman" w:hAnsi="Times New Roman" w:eastAsia="Times New Roman" w:cs="Times New Roman"/>
      <w:sz w:val="22"/>
    </w:rPr>
  </w:style>
  <w:style w:type="paragraph" w:customStyle="1" w:styleId="23">
    <w:name w:val="正文文本 (3)"/>
    <w:basedOn w:val="1"/>
    <w:link w:val="22"/>
    <w:qFormat/>
    <w:uiPriority w:val="0"/>
    <w:pPr>
      <w:spacing w:line="276" w:lineRule="auto"/>
      <w:ind w:firstLine="380" w:firstLineChars="0"/>
      <w:jc w:val="left"/>
    </w:pPr>
    <w:rPr>
      <w:rFonts w:eastAsia="Times New Roman" w:cs="Times New Roman"/>
      <w:sz w:val="22"/>
      <w:szCs w:val="22"/>
    </w:rPr>
  </w:style>
  <w:style w:type="character" w:customStyle="1" w:styleId="24">
    <w:name w:val="未处理的提及1"/>
    <w:basedOn w:val="12"/>
    <w:semiHidden/>
    <w:unhideWhenUsed/>
    <w:qFormat/>
    <w:uiPriority w:val="99"/>
    <w:rPr>
      <w:color w:val="605E5C"/>
      <w:shd w:val="clear" w:color="auto" w:fill="E1DFDD"/>
    </w:rPr>
  </w:style>
  <w:style w:type="character" w:styleId="25">
    <w:name w:val="Placeholder Text"/>
    <w:basedOn w:val="12"/>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jpe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2911</Words>
  <Characters>16596</Characters>
  <Lines>138</Lines>
  <Paragraphs>38</Paragraphs>
  <TotalTime>2</TotalTime>
  <ScaleCrop>false</ScaleCrop>
  <LinksUpToDate>false</LinksUpToDate>
  <CharactersWithSpaces>19469</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2022-02-21T02:09:00Z</dcterms:created>
  <dc:creator>王 佳琪</dc:creator>
  <cp:lastModifiedBy>MrJesus</cp:lastModifiedBy>
  <dcterms:modified xsi:type="dcterms:W3CDTF">2022-02-21T14:52:25Z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8FF30865498044808941EE201B541724</vt:lpwstr>
  </property>
</Properties>
</file>