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2"/>
        <w:spacing w:after="260" w:line="240" w:lineRule="auto"/>
        <w:ind w:firstLine="0"/>
        <w:rPr>
          <w:b/>
          <w:bCs/>
          <w:color w:val="000000"/>
          <w:sz w:val="24"/>
          <w:szCs w:val="24"/>
        </w:rPr>
      </w:pPr>
    </w:p>
    <w:p>
      <w:pPr>
        <w:pStyle w:val="22"/>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b/>
          <w:bCs/>
          <w:color w:val="000000"/>
        </w:rPr>
      </w:pPr>
    </w:p>
    <w:p>
      <w:pPr>
        <w:pStyle w:val="22"/>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2"/>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2"/>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2"/>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inally</w:t>
      </w:r>
    </w:p>
    <w:p>
      <w:pPr>
        <w:pStyle w:val="22"/>
        <w:spacing w:after="260" w:line="240" w:lineRule="auto"/>
        <w:ind w:firstLine="0"/>
        <w:jc w:val="both"/>
        <w:rPr>
          <w:rFonts w:eastAsiaTheme="minorEastAsia"/>
          <w:b/>
          <w:bCs/>
          <w:color w:val="000000"/>
        </w:rPr>
      </w:pPr>
    </w:p>
    <w:p>
      <w:pPr>
        <w:pStyle w:val="22"/>
        <w:spacing w:after="260" w:line="240" w:lineRule="auto"/>
        <w:ind w:firstLine="0"/>
        <w:jc w:val="both"/>
        <w:rPr>
          <w:rFonts w:eastAsiaTheme="minorEastAsia"/>
          <w:b/>
          <w:bCs/>
          <w:color w:val="000000"/>
        </w:rPr>
      </w:pPr>
      <w:r>
        <w:rPr>
          <w:rFonts w:hint="eastAsia" w:eastAsiaTheme="minorEastAsia"/>
          <w:b/>
          <w:bCs/>
          <w:color w:val="000000"/>
        </w:rPr>
        <w:t>我们解决什么问题+我们使用了什么方法+我们得到了什么结论</w:t>
      </w:r>
    </w:p>
    <w:p>
      <w:pPr>
        <w:pStyle w:val="22"/>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2"/>
        <w:spacing w:after="260" w:line="240" w:lineRule="auto"/>
        <w:ind w:firstLine="0"/>
        <w:jc w:val="both"/>
        <w:rPr>
          <w:rFonts w:eastAsiaTheme="minorEastAsia"/>
          <w:color w:val="000000"/>
          <w:sz w:val="24"/>
        </w:rPr>
      </w:pPr>
    </w:p>
    <w:p>
      <w:pPr>
        <w:pStyle w:val="22"/>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19"/>
            <w:rPr>
              <w:sz w:val="32"/>
              <w:szCs w:val="24"/>
            </w:rPr>
          </w:pPr>
          <w:r>
            <w:rPr>
              <w:sz w:val="32"/>
              <w:szCs w:val="24"/>
            </w:rPr>
            <w:t>Table of Contents</w:t>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2"/>
            </w:rPr>
            <w:t>1 Introduction</w:t>
          </w:r>
          <w:r>
            <w:tab/>
          </w:r>
          <w:r>
            <w:fldChar w:fldCharType="begin"/>
          </w:r>
          <w:r>
            <w:instrText xml:space="preserve"> PAGEREF _Toc58786693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"_Toc58786694" </w:instrText>
          </w:r>
          <w:r>
            <w:fldChar w:fldCharType="separate"/>
          </w:r>
          <w:r>
            <w:rPr>
              <w:rStyle w:val="12"/>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"_Toc58786695" </w:instrText>
          </w:r>
          <w:r>
            <w:fldChar w:fldCharType="separate"/>
          </w:r>
          <w:r>
            <w:rPr>
              <w:rStyle w:val="12"/>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"_Toc58786696" </w:instrText>
          </w:r>
          <w:r>
            <w:fldChar w:fldCharType="separate"/>
          </w:r>
          <w:r>
            <w:rPr>
              <w:rStyle w:val="12"/>
            </w:rPr>
            <w:t>1.3 Literature Review</w:t>
          </w:r>
          <w:r>
            <w:tab/>
          </w:r>
          <w:r>
            <w:fldChar w:fldCharType="begin"/>
          </w:r>
          <w:r>
            <w:instrText xml:space="preserve"> PAGEREF _Toc58786696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"_Toc58786697" </w:instrText>
          </w:r>
          <w:r>
            <w:fldChar w:fldCharType="separate"/>
          </w:r>
          <w:r>
            <w:rPr>
              <w:rStyle w:val="12"/>
            </w:rPr>
            <w:t>1.4 Our Work</w:t>
          </w:r>
          <w:r>
            <w:tab/>
          </w:r>
          <w:r>
            <w:fldChar w:fldCharType="begin"/>
          </w:r>
          <w:r>
            <w:instrText xml:space="preserve"> PAGEREF _Toc58786697 \h </w:instrText>
          </w:r>
          <w:r>
            <w:fldChar w:fldCharType="separate"/>
          </w:r>
          <w:r>
            <w:t>4</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2"/>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2"/>
            </w:rPr>
            <w:t>3 Notations</w:t>
          </w:r>
          <w:r>
            <w:tab/>
          </w:r>
          <w:r>
            <w:fldChar w:fldCharType="begin"/>
          </w:r>
          <w:r>
            <w:instrText xml:space="preserve"> PAGEREF _Toc58786699 \h </w:instrText>
          </w:r>
          <w:r>
            <w:fldChar w:fldCharType="separate"/>
          </w:r>
          <w:r>
            <w:t>6</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2"/>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"_Toc58786701" </w:instrText>
          </w:r>
          <w:r>
            <w:fldChar w:fldCharType="separate"/>
          </w:r>
          <w:r>
            <w:rPr>
              <w:rStyle w:val="12"/>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"_Toc58786702" </w:instrText>
          </w:r>
          <w:r>
            <w:fldChar w:fldCharType="separate"/>
          </w:r>
          <w:r>
            <w:rPr>
              <w:rStyle w:val="12"/>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"_Toc58786703" </w:instrText>
          </w:r>
          <w:r>
            <w:fldChar w:fldCharType="separate"/>
          </w:r>
          <w:r>
            <w:rPr>
              <w:rStyle w:val="12"/>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2"/>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2"/>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2"/>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2"/>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"_Toc58786708" </w:instrText>
          </w:r>
          <w:r>
            <w:fldChar w:fldCharType="separate"/>
          </w:r>
          <w:r>
            <w:rPr>
              <w:rStyle w:val="12"/>
            </w:rPr>
            <w:t>8.1 Strengths</w:t>
          </w:r>
          <w:r>
            <w:tab/>
          </w:r>
          <w:r>
            <w:fldChar w:fldCharType="begin"/>
          </w:r>
          <w:r>
            <w:instrText xml:space="preserve"> PAGEREF _Toc58786708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"_Toc58786709" </w:instrText>
          </w:r>
          <w:r>
            <w:fldChar w:fldCharType="separate"/>
          </w:r>
          <w:r>
            <w:rPr>
              <w:rStyle w:val="12"/>
            </w:rPr>
            <w:t>8.2 Weaknesses</w:t>
          </w:r>
          <w:r>
            <w:tab/>
          </w:r>
          <w:r>
            <w:fldChar w:fldCharType="begin"/>
          </w:r>
          <w:r>
            <w:instrText xml:space="preserve"> PAGEREF _Toc58786709 \h </w:instrText>
          </w:r>
          <w:r>
            <w:fldChar w:fldCharType="separate"/>
          </w:r>
          <w:r>
            <w:t>9</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"_Toc58786710" </w:instrText>
          </w:r>
          <w:r>
            <w:fldChar w:fldCharType="separate"/>
          </w:r>
          <w:r>
            <w:rPr>
              <w:rStyle w:val="12"/>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2"/>
            </w:rPr>
            <w:t>9 Conclusion</w:t>
          </w:r>
          <w:r>
            <w:tab/>
          </w:r>
          <w:r>
            <w:fldChar w:fldCharType="begin"/>
          </w:r>
          <w:r>
            <w:instrText xml:space="preserve"> PAGEREF _Toc58786711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2"/>
            </w:rPr>
            <w:t>References</w:t>
          </w:r>
          <w:r>
            <w:tab/>
          </w:r>
          <w:r>
            <w:fldChar w:fldCharType="begin"/>
          </w:r>
          <w:r>
            <w:instrText xml:space="preserve"> PAGEREF _Toc58786712 \h </w:instrText>
          </w:r>
          <w:r>
            <w:fldChar w:fldCharType="separate"/>
          </w:r>
          <w:r>
            <w:t>10</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2"/>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_Toc58505769"/>
      <w:bookmarkStart w:id="2" w:name="_Toc58786693"/>
      <w:bookmarkStart w:id="3" w:name="bookmark57"/>
      <w:bookmarkStart w:id="4" w:name="bookmark54"/>
      <w:bookmarkStart w:id="5" w:name="bookmark55"/>
      <w:r>
        <w:t>Introduction</w:t>
      </w:r>
      <w:bookmarkEnd w:id="1"/>
      <w:bookmarkEnd w:id="2"/>
      <w:bookmarkEnd w:id="3"/>
      <w:bookmarkEnd w:id="4"/>
      <w:bookmarkEnd w:id="5"/>
    </w:p>
    <w:p>
      <w:pPr>
        <w:pStyle w:val="3"/>
        <w:spacing w:after="163"/>
      </w:pPr>
      <w:bookmarkStart w:id="6" w:name="_Toc58786694"/>
      <w:bookmarkStart w:id="7" w:name="_Toc58505770"/>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337439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86500" cy="286723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786695"/>
      <w:bookmarkStart w:id="9" w:name="_Toc58505771"/>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8"/>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8"/>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8"/>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8"/>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8"/>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505773"/>
      <w:bookmarkStart w:id="13" w:name="_Toc58786697"/>
      <w:r>
        <w:rPr>
          <w:rFonts w:hint="eastAsia"/>
        </w:rPr>
        <w:t>O</w:t>
      </w:r>
      <w:r>
        <w:t>ur Work</w:t>
      </w:r>
      <w:bookmarkEnd w:id="12"/>
      <w:bookmarkEnd w:id="13"/>
    </w:p>
    <w:p>
      <w:pPr>
        <w:pStyle w:val="18"/>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8"/>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8"/>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8"/>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8"/>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8"/>
        <w:ind w:left="420" w:firstLine="0" w:firstLineChars="0"/>
        <w:rPr>
          <w:b/>
          <w:bCs/>
        </w:rPr>
      </w:pPr>
    </w:p>
    <w:p>
      <w:pPr>
        <w:pStyle w:val="18"/>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8"/>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8"/>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8"/>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505774"/>
      <w:bookmarkStart w:id="16" w:name="_Toc58786698"/>
      <w:r>
        <w:t>Assumptions and Justifications</w:t>
      </w:r>
      <w:bookmarkEnd w:id="15"/>
      <w:bookmarkEnd w:id="16"/>
      <w:bookmarkStart w:id="17" w:name="_Toc58505775"/>
    </w:p>
    <w:p>
      <w:pPr>
        <w:pStyle w:val="18"/>
        <w:numPr>
          <w:ilvl w:val="0"/>
          <w:numId w:val="5"/>
        </w:numPr>
        <w:ind w:firstLineChars="0"/>
      </w:pPr>
      <w:r>
        <w:rPr>
          <w:rFonts w:hint="eastAsia"/>
        </w:rPr>
        <w:t>此外中的砍伐都是制成比现有保持为森林固碳更多的产品，而不是快捷使用的产品</w:t>
      </w:r>
    </w:p>
    <w:p>
      <w:pPr>
        <w:pStyle w:val="18"/>
        <w:ind w:left="619" w:firstLine="0" w:firstLineChars="0"/>
      </w:pPr>
      <w:r>
        <w:rPr>
          <w:rFonts w:hint="eastAsia"/>
        </w:rPr>
        <w:t>由于我们是为森林管理者提供建议支持，所以并没有考虑过多的经济效益和商品因素。</w:t>
      </w:r>
    </w:p>
    <w:p>
      <w:pPr>
        <w:pStyle w:val="18"/>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firstLineChars="0"/>
      </w:pPr>
      <w:r>
        <w:rPr>
          <w:rFonts w:hint="eastAsia"/>
        </w:rPr>
        <w:t>在计算中，认为森林仅由其最主要的树木品种构成。</w:t>
      </w:r>
    </w:p>
    <w:p>
      <w:pPr>
        <w:numPr>
          <w:ilvl w:val="0"/>
          <w:numId w:val="7"/>
        </w:numPr>
        <w:ind w:firstLineChars="0"/>
      </w:pPr>
      <w:r>
        <w:rPr>
          <w:rFonts w:hint="eastAsia"/>
        </w:rPr>
        <w:t>假设每种树木均存在一个恒为常数的寿命上限，树木当且仅当达到寿命上限时在下一年自然死亡，树木在自然死亡后认为其封存的二氧化碳立刻释放。</w:t>
      </w:r>
    </w:p>
    <w:p>
      <w:pPr>
        <w:numPr>
          <w:ilvl w:val="0"/>
          <w:numId w:val="7"/>
        </w:numPr>
        <w:ind w:firstLineChars="0"/>
      </w:pPr>
      <w:r>
        <w:rPr>
          <w:rFonts w:hint="eastAsia"/>
        </w:rPr>
        <w:t>认为砍伐行为总在每一年年末进行，自然死亡以及树木成长总在下一年年初结算。</w:t>
      </w:r>
    </w:p>
    <w:p>
      <w:pPr>
        <w:numPr>
          <w:ilvl w:val="0"/>
          <w:numId w:val="7"/>
        </w:numPr>
        <w:ind w:firstLineChars="0"/>
      </w:pPr>
      <w:r>
        <w:rPr>
          <w:rFonts w:hint="eastAsia"/>
        </w:rPr>
        <w:t>不考虑因火灾、异常天气状况等不可抗力因素导致的森林树木损失。模型中树木量仅可因到达年龄上限后自然死亡或被砍伐而损失。</w:t>
      </w:r>
    </w:p>
    <w:p>
      <w:pPr>
        <w:numPr>
          <w:ilvl w:val="0"/>
          <w:numId w:val="7"/>
        </w:numPr>
        <w:ind w:firstLineChars="0"/>
      </w:pPr>
      <w:r>
        <w:rPr>
          <w:rFonts w:hint="eastAsia"/>
        </w:rPr>
        <w:t>森林存在最大的环境容纳量</w:t>
      </w:r>
      <m:oMath>
        <m:r>
          <m:rPr/>
          <w:rPr>
            <w:rFonts w:ascii="Cambria Math" w:hAnsi="Cambria Math"/>
          </w:rPr>
          <m:t>K(ℎ</m:t>
        </m:r>
        <m:sSup>
          <m:sSupPr>
            <m:ctrlPr>
              <w:rPr>
                <w:rFonts w:hint="eastAsia" w:ascii="Cambria Math" w:hAnsi="Cambria Math"/>
                <w:i/>
                <w:iCs/>
              </w:rPr>
            </m:ctrlPr>
          </m:sSupPr>
          <m:e>
            <m:r>
              <m:rPr/>
              <w:rPr>
                <w:rFonts w:ascii="Cambria Math" w:hAnsi="Cambria Math"/>
              </w:rPr>
              <m:t>m</m:t>
            </m:r>
            <m:ctrlPr>
              <w:rPr>
                <w:rFonts w:hint="eastAsia" w:ascii="Cambria Math" w:hAnsi="Cambria Math"/>
                <w:i/>
                <w:iCs/>
              </w:rPr>
            </m:ctrlPr>
          </m:e>
          <m:sup>
            <m:r>
              <m:rPr/>
              <w:rPr>
                <w:rFonts w:ascii="Cambria Math" w:hAnsi="Cambria Math"/>
              </w:rPr>
              <m:t>2</m:t>
            </m:r>
            <m:ctrlPr>
              <w:rPr>
                <w:rFonts w:hint="eastAsia" w:ascii="Cambria Math" w:hAnsi="Cambria Math"/>
                <w:i/>
                <w:iCs/>
              </w:rPr>
            </m:ctrlPr>
          </m:sup>
        </m:sSup>
        <m:r>
          <m:rPr/>
          <w:rPr>
            <w:rFonts w:ascii="Cambria Math" w:hAnsi="Cambria Math"/>
          </w:rPr>
          <m:t>)</m:t>
        </m:r>
      </m:oMath>
      <w:r>
        <w:rPr>
          <w:rFonts w:hint="eastAsia"/>
        </w:rPr>
        <w:t>，并且该环境容纳量不随时间或森林管理方式发生改变。</w:t>
      </w:r>
    </w:p>
    <w:p>
      <w:pPr>
        <w:numPr>
          <w:ilvl w:val="0"/>
          <w:numId w:val="7"/>
        </w:numPr>
        <w:ind w:firstLineChars="0"/>
      </w:pPr>
      <w:r>
        <w:rPr>
          <w:rFonts w:hint="eastAsia"/>
        </w:rPr>
        <w:t xml:space="preserve">为了便于计算以及建立基于差分变化的发展模型，我们将一年作为基本的时间单位对所有数据离散化，并认为一年内森林的所有数据以年初值代替并在当年不发生变化。 </w:t>
      </w:r>
    </w:p>
    <w:p>
      <w:pPr>
        <w:widowControl/>
        <w:numPr>
          <w:ilvl w:val="0"/>
          <w:numId w:val="8"/>
        </w:numPr>
        <w:ind w:firstLineChars="0"/>
        <w:jc w:val="left"/>
      </w:pPr>
      <w:r>
        <w:rPr>
          <w:rFonts w:cs="Times New Roman"/>
          <w:color w:val="000000"/>
          <w:kern w:val="0"/>
          <w:sz w:val="22"/>
          <w:szCs w:val="22"/>
          <w:lang w:bidi="ar"/>
        </w:rPr>
        <w:t xml:space="preserve">It will be assumed that lumber prices remain constant over time and that the forest is small relative to the aggregate supply. </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19"/>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0"/>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bl>
    <w:p>
      <w:pPr>
        <w:ind w:firstLine="0" w:firstLineChars="0"/>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19"/>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pStyle w:val="2"/>
      </w:pPr>
      <w:r>
        <w:rPr>
          <w:rFonts w:hint="eastAsia"/>
        </w:rPr>
        <w:t>碳封存模型</w:t>
      </w:r>
    </w:p>
    <w:p>
      <w:pPr>
        <w:ind w:firstLine="480"/>
      </w:pPr>
      <w:r>
        <w:rPr>
          <w:rFonts w:hint="eastAsia"/>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pPr>
      <w:r>
        <w:rPr>
          <w:rFonts w:hint="eastAsia"/>
        </w:rPr>
        <w:t>与以上需求相对应地，碳封存模型分别由三个次级模型构成：</w:t>
      </w:r>
    </w:p>
    <w:p>
      <w:pPr>
        <w:numPr>
          <w:ilvl w:val="0"/>
          <w:numId w:val="9"/>
        </w:numPr>
        <w:ind w:firstLineChars="0"/>
      </w:pPr>
      <w:r>
        <w:rPr>
          <w:rFonts w:hint="eastAsia"/>
        </w:rPr>
        <w:t>用于量化森林以及其木制品二氧化碳封存量的计算模型；</w:t>
      </w:r>
    </w:p>
    <w:p>
      <w:pPr>
        <w:numPr>
          <w:ilvl w:val="0"/>
          <w:numId w:val="9"/>
        </w:numPr>
        <w:ind w:firstLineChars="0"/>
      </w:pPr>
      <w:r>
        <w:rPr>
          <w:rFonts w:hint="eastAsia"/>
        </w:rPr>
        <w:t>用于预计森林随时间发展过程中，各个树龄分别包含生物量的具体数值的发展模型；</w:t>
      </w:r>
    </w:p>
    <w:p>
      <w:pPr>
        <w:numPr>
          <w:ilvl w:val="0"/>
          <w:numId w:val="9"/>
        </w:numPr>
        <w:ind w:firstLineChars="0"/>
        <w:rPr>
          <w:strike/>
        </w:rPr>
      </w:pPr>
      <w:r>
        <w:rPr>
          <w:rFonts w:hint="eastAsia"/>
        </w:rPr>
        <w:t>通过线性规划确定最佳封存二氧化碳管理政策的规划模型。</w:t>
      </w:r>
    </w:p>
    <w:p>
      <w:pPr>
        <w:pStyle w:val="3"/>
        <w:spacing w:after="163"/>
      </w:pPr>
      <w:r>
        <w:rPr>
          <w:rFonts w:hint="eastAsia"/>
        </w:rPr>
        <w:t>二氧化碳封存量计算模型</w:t>
      </w:r>
    </w:p>
    <w:p>
      <w:pPr>
        <w:ind w:firstLine="480"/>
      </w:pPr>
      <w:r>
        <w:rPr>
          <w:rFonts w:hint="eastAsia"/>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pPr>
      <w:r>
        <w:rPr>
          <w:rFonts w:hint="eastAsia"/>
        </w:rPr>
        <w:t>曲线A：</w:t>
      </w:r>
      <w:r>
        <w:rPr>
          <w:rFonts w:hint="eastAsia"/>
          <w:color w:val="auto"/>
        </w:rPr>
        <w:t>基于材积源-生物量法(</w:t>
      </w:r>
      <w:r>
        <w:rPr>
          <w:color w:val="auto"/>
        </w:rPr>
        <w:t>volume-biomass method)</w:t>
      </w:r>
      <w:r>
        <w:rPr>
          <w:rFonts w:hint="eastAsia"/>
          <w:color w:val="auto"/>
        </w:rPr>
        <w:t>得到的</w:t>
      </w:r>
      <w:r>
        <w:rPr>
          <w:rFonts w:hint="eastAsia"/>
        </w:rPr>
        <w:t>树龄——封存二氧化碳</w:t>
      </w:r>
      <w:r>
        <w:rPr>
          <w:rFonts w:hint="eastAsia"/>
          <w:color w:val="auto"/>
        </w:rPr>
        <w:t>量</w:t>
      </w:r>
      <w:r>
        <w:rPr>
          <w:rFonts w:hint="eastAsia"/>
        </w:rPr>
        <w:t>曲线</w:t>
      </w:r>
    </w:p>
    <w:p>
      <w:pPr>
        <w:pStyle w:val="18"/>
        <w:numPr>
          <w:ilvl w:val="0"/>
          <w:numId w:val="10"/>
        </w:numPr>
        <w:ind w:left="420" w:leftChars="0" w:firstLineChars="0"/>
        <w:rPr>
          <w:rFonts w:hint="eastAsia"/>
          <w:b/>
          <w:bCs/>
          <w:i w:val="0"/>
          <w:iCs w:val="0"/>
          <w:color w:val="auto"/>
        </w:rPr>
      </w:pPr>
      <w:r>
        <w:rPr>
          <w:rFonts w:hint="eastAsia"/>
          <w:b/>
          <w:bCs/>
          <w:i w:val="0"/>
          <w:iCs w:val="0"/>
          <w:color w:val="auto"/>
        </w:rPr>
        <w:t>森林二氧化碳固定量</w:t>
      </w:r>
    </w:p>
    <w:p>
      <w:pPr>
        <w:ind w:firstLine="480"/>
        <w:rPr>
          <w:rFonts w:ascii="Cambria Math" w:hAnsi="Cambria Math"/>
          <w:color w:val="4472C4" w:themeColor="accent1"/>
          <w14:textFill>
            <w14:solidFill>
              <w14:schemeClr w14:val="accent1"/>
            </w14:solidFill>
          </w14:textFill>
        </w:rPr>
      </w:pPr>
      <w:r>
        <w:rPr>
          <w:rFonts w:hint="eastAsia"/>
          <w:color w:val="auto"/>
        </w:rPr>
        <w:t>对于森林固碳量的计算目前存在多种方法，这里使用volume-biomass</w:t>
      </w:r>
      <w:r>
        <w:rPr>
          <w:color w:val="auto"/>
        </w:rPr>
        <w:t xml:space="preserve"> </w:t>
      </w:r>
      <w:r>
        <w:rPr>
          <w:rFonts w:hint="eastAsia"/>
          <w:color w:val="auto"/>
        </w:rPr>
        <w:t>method进行计算。设</w:t>
      </w:r>
      <m:oMath>
        <m:r>
          <m:rPr/>
          <w:rPr>
            <w:rFonts w:ascii="Cambria Math" w:hAnsi="Cambria Math"/>
            <w:color w:val="auto"/>
          </w:rPr>
          <m:t>V(t)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时单位面积的蓄积量</w:t>
      </w:r>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hAnsi="Cambria Math"/>
          <w:color w:val="auto"/>
        </w:rPr>
        <w:t>，</w:t>
      </w:r>
      <m:oMath>
        <m:r>
          <m:rPr/>
          <w:rPr>
            <w:rFonts w:ascii="Cambria Math" w:hAnsi="Cambria Math"/>
            <w:color w:val="auto"/>
          </w:rPr>
          <m:t>B(t)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时单位面积的生物量</w:t>
      </w:r>
      <w:r>
        <w:rPr>
          <w:rFonts w:ascii="Cambria Math" w:hAnsi="Cambria Math"/>
          <w:color w:val="auto"/>
        </w:rPr>
        <w:t xml:space="preserve"> </w:t>
      </w:r>
      <m:oMath>
        <m:r>
          <m:rPr>
            <m:sty m:val="p"/>
          </m:rPr>
          <w:rPr>
            <w:rFonts w:ascii="Cambria Math" w:hAnsi="Cambria Math"/>
            <w:color w:val="auto"/>
          </w:rPr>
          <m:t>(t/h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ascii="Cambria Math" w:hAnsi="Cambria Math"/>
          <w:color w:val="auto"/>
        </w:rPr>
        <w:t>，对于绝大多数林种而言，</w:t>
      </w:r>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m:t>
        </m:r>
      </m:oMath>
      <w:r>
        <w:rPr>
          <w:rFonts w:hint="eastAsia" w:ascii="Cambria Math" w:hAnsi="Cambria Math"/>
          <w:color w:val="auto"/>
        </w:rPr>
        <w:t>与</w:t>
      </w:r>
      <m:oMath>
        <m:r>
          <m:rPr/>
          <w:rPr>
            <w:rFonts w:ascii="Cambria Math" w:hAnsi="Cambria Math"/>
            <w:color w:val="auto"/>
          </w:rPr>
          <m:t>V(t)</m:t>
        </m:r>
      </m:oMath>
      <w:r>
        <w:rPr>
          <w:rFonts w:hint="eastAsia" w:ascii="Cambria Math" w:hAnsi="Cambria Math"/>
          <w:color w:val="auto"/>
        </w:rPr>
        <w:t>存在线性关系</w:t>
      </w:r>
      <w:r>
        <w:rPr>
          <w:rFonts w:hint="eastAsia" w:ascii="Cambria Math" w:hAnsi="Cambria Math"/>
          <w:color w:val="FF0000"/>
        </w:rPr>
        <w:t>[文献</w:t>
      </w:r>
      <w:r>
        <w:rPr>
          <w:rFonts w:ascii="Cambria Math" w:hAnsi="Cambria Math"/>
          <w:color w:val="FF0000"/>
        </w:rPr>
        <w:t>]</w:t>
      </w:r>
      <w:r>
        <w:rPr>
          <w:rFonts w:hint="eastAsia" w:ascii="Cambria Math" w:hAnsi="Cambria Math"/>
          <w:color w:val="4472C4" w:themeColor="accent1"/>
          <w14:textFill>
            <w14:solidFill>
              <w14:schemeClr w14:val="accent1"/>
            </w14:solidFill>
          </w14:textFill>
        </w:rPr>
        <w:t>，</w:t>
      </w:r>
      <w:r>
        <w:rPr>
          <w:rFonts w:hint="eastAsia" w:ascii="Cambria Math" w:hAnsi="Cambria Math"/>
          <w:color w:val="auto"/>
        </w:rPr>
        <w:t>即</w:t>
      </w:r>
      <w:r>
        <w:rPr>
          <w:rFonts w:hint="eastAsia" w:ascii="Cambria Math" w:hAnsi="Cambria Math"/>
          <w:color w:val="auto"/>
          <w:lang w:val="en-US" w:eastAsia="zh-CN"/>
        </w:rPr>
        <w:t>如式(1)所示</w:t>
      </w:r>
      <w:r>
        <w:rPr>
          <w:rFonts w:hint="eastAsia" w:ascii="Cambria Math" w:hAnsi="Cambria Math"/>
          <w:color w:val="auto"/>
        </w:rPr>
        <w:t>：</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rPr>
            </w:pPr>
            <m:oMathPara>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)=aV(t)+b</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20" w:firstLineChars="0"/>
        <w:rPr>
          <w:rFonts w:ascii="Cambria Math" w:hAnsi="Cambria Math"/>
          <w:color w:val="auto"/>
        </w:rPr>
      </w:pPr>
      <w:r>
        <w:rPr>
          <w:rFonts w:hint="eastAsia" w:ascii="Cambria Math" w:hAnsi="Cambria Math"/>
          <w:color w:val="auto"/>
        </w:rPr>
        <w:t>而森林单位面积二氧化碳固定量</w:t>
      </w:r>
      <m:oMath>
        <m:r>
          <m:rPr/>
          <w:rPr>
            <w:rFonts w:ascii="Cambria Math" w:hAnsi="Cambria Math"/>
            <w:color w:val="auto"/>
          </w:rPr>
          <m:t>M(t)(t</m:t>
        </m:r>
        <m:r>
          <m:rPr>
            <m:lit/>
          </m:rPr>
          <w:rPr>
            <w:rFonts w:hint="default" w:ascii="Cambria Math" w:hAnsi="Cambria Math"/>
            <w:color w:val="auto"/>
            <w:lang w:val="en-US" w:eastAsia="zh-CN"/>
          </w:rPr>
          <m:t>C</m:t>
        </m:r>
        <m:r>
          <m:rPr>
            <m:lit/>
          </m:rPr>
          <w:rPr>
            <w:rFonts w:ascii="Cambria Math" w:hAnsi="Cambria Math"/>
            <w:color w:val="auto"/>
          </w:rPr>
          <m:t>/</m:t>
        </m:r>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ascii="Cambria Math" w:hAnsi="Cambria Math"/>
          <w:color w:val="auto"/>
        </w:rPr>
        <w:t>与单位面积生物量又有如</w:t>
      </w:r>
      <w:r>
        <w:rPr>
          <w:rFonts w:hint="eastAsia" w:ascii="Cambria Math" w:hAnsi="Cambria Math"/>
          <w:color w:val="auto"/>
          <w:lang w:val="en-US" w:eastAsia="zh-CN"/>
        </w:rPr>
        <w:t>式(2)所示</w:t>
      </w:r>
      <w:r>
        <w:rPr>
          <w:rFonts w:hint="eastAsia" w:ascii="Cambria Math" w:hAnsi="Cambria Math"/>
          <w:color w:val="auto"/>
        </w:rPr>
        <w:t>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M(t)=0.5×3.67×B(t)</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int="eastAsia" w:ascii="Cambria Math" w:hAnsi="Cambria Math"/>
          <w:color w:val="auto"/>
        </w:rPr>
      </w:pPr>
      <w:r>
        <w:rPr>
          <w:rFonts w:hint="eastAsia" w:ascii="Cambria Math" w:hAnsi="Cambria Math"/>
          <w:color w:val="auto"/>
        </w:rPr>
        <w:t>其中0.5为生物含碳率，3.67为二氧化碳与碳的换算系数。</w:t>
      </w:r>
    </w:p>
    <w:p>
      <w:pPr>
        <w:ind w:firstLine="420" w:firstLineChars="0"/>
        <w:rPr>
          <w:rFonts w:hint="eastAsia" w:ascii="Cambria Math" w:hAnsi="Cambria Math" w:eastAsia="宋体"/>
          <w:color w:val="auto"/>
          <w:lang w:eastAsia="zh-CN"/>
        </w:rPr>
      </w:pPr>
      <w:r>
        <w:rPr>
          <w:rFonts w:hint="eastAsia" w:ascii="Cambria Math" w:hAnsi="Cambria Math"/>
          <w:color w:val="auto"/>
          <w:lang w:val="en-US" w:eastAsia="zh-CN"/>
        </w:rPr>
        <w:t>至</w:t>
      </w:r>
      <w:r>
        <w:rPr>
          <w:rFonts w:hint="eastAsia" w:ascii="Cambria Math" w:hAnsi="Cambria Math"/>
          <w:color w:val="auto"/>
        </w:rPr>
        <w:t>此，通过生物量我们可以求出森林单位面积固碳量与蓄积量的关系</w:t>
      </w:r>
      <w:r>
        <w:rPr>
          <w:rFonts w:hint="eastAsia" w:ascii="Cambria Math" w:hAnsi="Cambria Math"/>
          <w:color w:val="auto"/>
          <w:lang w:eastAsia="zh-CN"/>
        </w:rPr>
        <w:t>。</w:t>
      </w:r>
    </w:p>
    <w:p>
      <w:pPr>
        <w:ind w:firstLine="420" w:firstLineChars="0"/>
        <w:rPr>
          <w:rFonts w:ascii="Cambria Math" w:hAnsi="Cambria Math"/>
          <w:color w:val="4472C4" w:themeColor="accent1"/>
          <w14:textFill>
            <w14:solidFill>
              <w14:schemeClr w14:val="accent1"/>
            </w14:solidFill>
          </w14:textFill>
        </w:rPr>
      </w:pPr>
      <w:r>
        <w:rPr>
          <w:rFonts w:hint="eastAsia" w:ascii="Cambria Math" w:hAnsi="Cambria Math"/>
          <w:color w:val="auto"/>
        </w:rPr>
        <w:t>单位面积蓄积量</w:t>
      </w:r>
      <m:oMath>
        <m:r>
          <m:rPr/>
          <w:rPr>
            <w:rFonts w:ascii="Cambria Math" w:hAnsi="Cambria Math"/>
            <w:color w:val="auto"/>
          </w:rPr>
          <m:t>V(t)</m:t>
        </m:r>
      </m:oMath>
      <w:r>
        <w:rPr>
          <w:rFonts w:hint="eastAsia" w:ascii="Cambria Math" w:hAnsi="Cambria Math"/>
          <w:color w:val="auto"/>
        </w:rPr>
        <w:t>与树龄具有一般生长曲线的特性（growth</w:t>
      </w:r>
      <w:r>
        <w:rPr>
          <w:rFonts w:ascii="Cambria Math" w:hAnsi="Cambria Math"/>
          <w:color w:val="auto"/>
        </w:rPr>
        <w:t xml:space="preserve"> </w:t>
      </w:r>
      <w:r>
        <w:rPr>
          <w:rFonts w:hint="eastAsia" w:ascii="Cambria Math" w:hAnsi="Cambria Math"/>
          <w:color w:val="auto"/>
        </w:rPr>
        <w:t>curve），</w:t>
      </w:r>
      <w:r>
        <w:rPr>
          <w:rFonts w:hint="eastAsia" w:ascii="Cambria Math" w:hAnsi="Cambria Math"/>
          <w:color w:val="auto"/>
          <w:lang w:val="en-US" w:eastAsia="zh-CN"/>
        </w:rPr>
        <w:t>故</w:t>
      </w:r>
      <w:r>
        <w:rPr>
          <w:rFonts w:hint="eastAsia" w:ascii="Cambria Math" w:hAnsi="Cambria Math"/>
          <w:color w:val="auto"/>
        </w:rPr>
        <w:t>我们可以通过Richard</w:t>
      </w:r>
      <w:r>
        <w:rPr>
          <w:rFonts w:hint="eastAsia" w:ascii="Cambria Math" w:hAnsi="Cambria Math"/>
          <w:color w:val="auto"/>
          <w:lang w:val="en-US" w:eastAsia="zh-CN"/>
        </w:rPr>
        <w:t>s</w:t>
      </w:r>
      <w:r>
        <w:rPr>
          <w:rFonts w:hint="eastAsia" w:ascii="Cambria Math" w:hAnsi="Cambria Math"/>
          <w:color w:val="auto"/>
        </w:rPr>
        <w:t>曲线拟合</w:t>
      </w:r>
      <w:r>
        <w:rPr>
          <w:rFonts w:hint="eastAsia" w:ascii="Cambria Math" w:hAnsi="Cambria Math"/>
          <w:color w:val="FF0000"/>
        </w:rPr>
        <w:t>[文献</w:t>
      </w:r>
      <w:r>
        <w:rPr>
          <w:rFonts w:ascii="Cambria Math" w:hAnsi="Cambria Math"/>
          <w:color w:val="FF0000"/>
        </w:rPr>
        <w:t>]</w:t>
      </w:r>
      <w:r>
        <w:rPr>
          <w:rFonts w:hint="eastAsia" w:ascii="Cambria Math" w:hAnsi="Cambria Math"/>
          <w:color w:val="auto"/>
        </w:rPr>
        <w:t>。</w:t>
      </w:r>
      <w:r>
        <w:rPr>
          <w:rFonts w:hint="eastAsia" w:ascii="Cambria Math" w:hAnsi="Cambria Math"/>
          <w:color w:val="auto"/>
          <w:lang w:val="en-US" w:eastAsia="zh-CN"/>
        </w:rPr>
        <w:t>曲线方程</w:t>
      </w:r>
      <w:r>
        <w:rPr>
          <w:rFonts w:hint="eastAsia"/>
        </w:rPr>
        <w:t>如式(</w:t>
      </w:r>
      <w:r>
        <w:rPr>
          <w:rFonts w:hint="eastAsia"/>
          <w:lang w:val="en-US" w:eastAsia="zh-CN"/>
        </w:rPr>
        <w:t>3</w:t>
      </w:r>
      <w:r>
        <w:rPr>
          <w:rFonts w:hint="eastAsia"/>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V(t)=A</m:t>
                </m:r>
                <m:sSup>
                  <m:sSupPr>
                    <m:ctrlPr>
                      <w:rPr>
                        <w:rFonts w:ascii="Cambria Math" w:hAnsi="Cambria Math"/>
                        <w:i/>
                        <w:iCs/>
                      </w:rPr>
                    </m:ctrlPr>
                  </m:sSupPr>
                  <m:e>
                    <m:r>
                      <m:rPr/>
                      <w:rPr>
                        <w:rFonts w:ascii="Cambria Math" w:hAnsi="Cambria Math"/>
                      </w:rPr>
                      <m:t>(1−B</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−Kt</m:t>
                        </m:r>
                        <m:ctrlPr>
                          <w:rPr>
                            <w:rFonts w:ascii="Cambria Math" w:hAnsi="Cambria Math"/>
                            <w:i/>
                            <w:iCs/>
                          </w:rPr>
                        </m:ctrlPr>
                      </m:sup>
                    </m:sSup>
                    <m:r>
                      <m:rPr/>
                      <w:rPr>
                        <w:rFonts w:ascii="Cambria Math" w:hAnsi="Cambria Math"/>
                      </w:rPr>
                      <m:t>)</m:t>
                    </m:r>
                    <m:ctrlPr>
                      <w:rPr>
                        <w:rFonts w:ascii="Cambria Math" w:hAnsi="Cambria Math"/>
                        <w:i/>
                        <w:iCs/>
                      </w:rPr>
                    </m:ctrlPr>
                  </m:e>
                  <m:sup>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1−m</m:t>
                        </m:r>
                        <m:ctrlPr>
                          <w:rPr>
                            <w:rFonts w:ascii="Cambria Math" w:hAnsi="Cambria Math"/>
                            <w:i/>
                            <w:iCs/>
                          </w:rPr>
                        </m:ctrlPr>
                      </m:den>
                    </m:f>
                    <m:ctrlPr>
                      <w:rPr>
                        <w:rFonts w:ascii="Cambria Math" w:hAnsi="Cambria Math"/>
                        <w:i/>
                        <w:iCs/>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Ansi="Cambria Math"/>
        </w:rPr>
      </w:pPr>
      <w:r>
        <w:rPr>
          <w:rFonts w:hint="eastAsia"/>
        </w:rPr>
        <w:t>其中</w:t>
      </w:r>
      <m:oMath>
        <m:r>
          <m:rPr/>
          <w:rPr>
            <w:rFonts w:ascii="Cambria Math" w:hAnsi="Cambria Math"/>
          </w:rPr>
          <m:t>A</m:t>
        </m:r>
      </m:oMath>
      <w:r>
        <w:rPr>
          <w:rFonts w:hint="eastAsia" w:hAnsi="Cambria Math"/>
        </w:rPr>
        <w:t>、</w:t>
      </w:r>
      <m:oMath>
        <m:r>
          <m:rPr/>
          <w:rPr>
            <w:rFonts w:ascii="Cambria Math" w:hAnsi="Cambria Math"/>
          </w:rPr>
          <m:t>B</m:t>
        </m:r>
      </m:oMath>
      <w:r>
        <w:rPr>
          <w:rFonts w:hint="eastAsia" w:hAnsi="Cambria Math"/>
        </w:rPr>
        <w:t>、</w:t>
      </w:r>
      <m:oMath>
        <m:r>
          <m:rPr/>
          <w:rPr>
            <w:rFonts w:ascii="Cambria Math" w:hAnsi="Cambria Math"/>
          </w:rPr>
          <m:t>K</m:t>
        </m:r>
      </m:oMath>
      <w:r>
        <w:rPr>
          <w:rFonts w:hint="eastAsia" w:hAnsi="Cambria Math"/>
        </w:rPr>
        <w:t>、</w:t>
      </w:r>
      <m:oMath>
        <m:r>
          <m:rPr/>
          <w:rPr>
            <w:rFonts w:ascii="Cambria Math" w:hAnsi="Cambria Math"/>
          </w:rPr>
          <m:t>m</m:t>
        </m:r>
      </m:oMath>
      <w:r>
        <w:rPr>
          <w:rFonts w:hint="eastAsia" w:hAnsi="Cambria Math"/>
        </w:rPr>
        <w:t>均为有特定生物意义的参数。</w:t>
      </w:r>
    </w:p>
    <w:p>
      <w:pPr>
        <w:ind w:firstLine="420" w:firstLineChars="0"/>
        <w:rPr>
          <w:rFonts w:hAnsi="Cambria Math"/>
        </w:rPr>
      </w:pPr>
      <w:r>
        <w:rPr>
          <w:rFonts w:hint="eastAsia" w:hAnsi="Cambria Math"/>
        </w:rPr>
        <w:t>通过对Richards曲线进行求导运算，便可得到</w:t>
      </w:r>
      <w:r>
        <w:rPr>
          <w:rFonts w:hint="eastAsia" w:hAnsi="Cambria Math"/>
          <w:color w:val="auto"/>
        </w:rPr>
        <w:t>树木二氧化碳吸收速率</w:t>
      </w:r>
      <m:oMath>
        <m:r>
          <m:rPr/>
          <w:rPr>
            <w:rFonts w:ascii="Cambria Math" w:hAnsi="Cambria Math"/>
            <w:color w:val="auto"/>
          </w:rPr>
          <m:t>dM</m:t>
        </m:r>
      </m:oMath>
      <w:r>
        <w:rPr>
          <w:rFonts w:hint="eastAsia" w:hAnsi="Cambria Math"/>
          <w:color w:val="auto"/>
        </w:rPr>
        <w:t>与树龄</w:t>
      </w:r>
      <w:r>
        <w:rPr>
          <w:rFonts w:hint="eastAsia" w:hAnsi="Cambria Math"/>
        </w:rPr>
        <w:t>的关系曲线</w:t>
      </w:r>
      <m:oMath>
        <m:r>
          <m:rPr/>
          <w:rPr>
            <w:rFonts w:ascii="Cambria Math" w:hAnsi="Cambria Math"/>
            <w:color w:val="auto"/>
          </w:rPr>
          <m:t>dM(t)</m:t>
        </m:r>
      </m:oMath>
      <w:r>
        <w:rPr>
          <w:rFonts w:hint="eastAsia" w:hAnsi="Cambria Math"/>
          <w:color w:val="auto"/>
        </w:rPr>
        <w:t>。</w:t>
      </w:r>
    </w:p>
    <w:p>
      <w:pPr>
        <w:pStyle w:val="18"/>
        <w:numPr>
          <w:ilvl w:val="0"/>
          <w:numId w:val="10"/>
        </w:numPr>
        <w:ind w:left="420" w:leftChars="0" w:firstLineChars="0"/>
        <w:rPr>
          <w:rFonts w:hAnsi="Cambria Math"/>
          <w:b/>
          <w:bCs/>
          <w:color w:val="auto"/>
        </w:rPr>
      </w:pPr>
      <w:r>
        <w:rPr>
          <w:rFonts w:hint="eastAsia" w:hAnsi="Cambria Math"/>
          <w:b/>
          <w:bCs/>
          <w:color w:val="auto"/>
        </w:rPr>
        <w:t>森林产品二氧化碳固定量</w:t>
      </w:r>
    </w:p>
    <w:p>
      <w:pPr>
        <w:ind w:left="0" w:leftChars="0" w:firstLine="420" w:firstLineChars="0"/>
        <w:rPr>
          <w:rFonts w:hint="eastAsia" w:hAnsi="Cambria Math" w:eastAsia="宋体"/>
          <w:color w:val="auto"/>
          <w:lang w:val="en-US" w:eastAsia="zh-CN"/>
        </w:rPr>
      </w:pPr>
      <w:r>
        <w:rPr>
          <w:rFonts w:hint="eastAsia" w:hAnsi="Cambria Math"/>
          <w:color w:val="auto"/>
        </w:rPr>
        <w:t>由于森林产品没有类似于森林</w:t>
      </w:r>
      <w:r>
        <w:rPr>
          <w:rFonts w:hint="eastAsia" w:hAnsi="Cambria Math"/>
          <w:color w:val="auto"/>
          <w:lang w:val="en-US" w:eastAsia="zh-CN"/>
        </w:rPr>
        <w:t>中树木</w:t>
      </w:r>
      <w:r>
        <w:rPr>
          <w:rFonts w:hint="eastAsia" w:hAnsi="Cambria Math"/>
          <w:color w:val="auto"/>
        </w:rPr>
        <w:t>的生物量-蓄积量曲线，</w:t>
      </w:r>
      <w:r>
        <w:rPr>
          <w:rFonts w:hint="eastAsia" w:hAnsi="Cambria Math"/>
          <w:color w:val="auto"/>
          <w:lang w:val="en-US" w:eastAsia="zh-CN"/>
        </w:rPr>
        <w:t>故</w:t>
      </w:r>
      <w:r>
        <w:rPr>
          <w:rFonts w:hint="eastAsia" w:hAnsi="Cambria Math"/>
          <w:color w:val="auto"/>
        </w:rPr>
        <w:t>我们直接使用蓄积量计算其单位面积二氧化碳固定量（</w:t>
      </w:r>
      <m:oMath>
        <m:r>
          <m:rPr/>
          <w:rPr>
            <w:rFonts w:ascii="Cambria Math" w:hAnsi="Cambria Math"/>
            <w:color w:val="auto"/>
          </w:rPr>
          <m:t>t</m:t>
        </m:r>
        <m:r>
          <m:rPr/>
          <w:rPr>
            <w:rFonts w:ascii="Cambria Math" w:hAnsi="Cambria Math"/>
            <w:color w:val="auto"/>
          </w:rPr>
          <m:t>/</m:t>
        </m:r>
        <m:r>
          <m:rPr/>
          <w:rPr>
            <w:rFonts w:ascii="Cambria Math" w:hAnsi="Cambria Math"/>
            <w:color w:val="auto"/>
          </w:rPr>
          <m: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color w:val="auto"/>
        </w:rPr>
        <w:t>），如式(</w:t>
      </w:r>
      <w:r>
        <w:rPr>
          <w:rFonts w:hAnsi="Cambria Math"/>
          <w:color w:val="auto"/>
        </w:rPr>
        <w:t>4)</w:t>
      </w:r>
      <w:r>
        <w:rPr>
          <w:rFonts w:hint="eastAsia" w:hAnsi="Cambria Math"/>
          <w:color w:val="auto"/>
          <w:lang w:val="en-US" w:eastAsia="zh-CN"/>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c(t)=0.5×3.67×</m:t>
                </m:r>
                <m:r>
                  <m:rPr/>
                  <w:rPr>
                    <w:rFonts w:hint="eastAsia" w:ascii="Cambria Math" w:hAnsi="Cambria Math"/>
                    <w:color w:val="auto"/>
                  </w:rPr>
                  <m:t>ρ</m:t>
                </m:r>
                <m:r>
                  <m:rPr/>
                  <w:rPr>
                    <w:rFonts w:ascii="Cambria Math" w:hAnsi="Cambria Math"/>
                    <w:color w:val="auto"/>
                  </w:rPr>
                  <m:t>×V(t)×TR</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hAnsi="Cambria Math"/>
          <w:color w:val="4472C4" w:themeColor="accent1"/>
          <w14:textFill>
            <w14:solidFill>
              <w14:schemeClr w14:val="accent1"/>
            </w14:solidFill>
          </w14:textFill>
        </w:rPr>
      </w:pPr>
      <w:r>
        <w:rPr>
          <w:rFonts w:hint="eastAsia" w:hAnsi="Cambria Math"/>
          <w:color w:val="auto"/>
        </w:rPr>
        <w:t>其中</w:t>
      </w:r>
      <w:r>
        <w:rPr>
          <w:rFonts w:hint="eastAsia" w:ascii="Cambria Math" w:hAnsi="Cambria Math"/>
          <w:color w:val="auto"/>
        </w:rPr>
        <w:t>0.5为生物含碳率，3.67为二氧化碳与碳的换算系数，</w:t>
      </w:r>
      <m:oMath>
        <m:r>
          <m:rPr/>
          <w:rPr>
            <w:rFonts w:hint="eastAsia" w:ascii="Cambria Math" w:hAnsi="Cambria Math"/>
            <w:color w:val="auto"/>
          </w:rPr>
          <m:t>ρ</m:t>
        </m:r>
      </m:oMath>
      <w:r>
        <w:rPr>
          <w:rFonts w:hint="eastAsia" w:hAnsi="Cambria Math"/>
          <w:color w:val="auto"/>
        </w:rPr>
        <w:t>为林木平均密度,</w:t>
      </w:r>
      <w:r>
        <w:rPr>
          <w:rFonts w:ascii="Cambria Math" w:hAnsi="Cambria Math"/>
          <w:i/>
          <w:iCs/>
          <w:color w:val="auto"/>
        </w:rPr>
        <w:t xml:space="preserve"> </w:t>
      </w:r>
      <m:oMath>
        <m:r>
          <m:rPr/>
          <w:rPr>
            <w:rFonts w:ascii="Cambria Math" w:hAnsi="Cambria Math"/>
            <w:color w:val="auto"/>
          </w:rPr>
          <m:t>TR</m:t>
        </m:r>
      </m:oMath>
      <w:r>
        <w:rPr>
          <w:rFonts w:hint="eastAsia"/>
          <w:iCs/>
          <w:color w:val="auto"/>
        </w:rPr>
        <w:t>为开采出材率，取55%</w:t>
      </w:r>
      <w:r>
        <w:rPr>
          <w:rFonts w:hint="eastAsia"/>
          <w:iCs/>
          <w:color w:val="auto"/>
          <w:lang w:eastAsia="zh-CN"/>
        </w:rPr>
        <w:t>。</w:t>
      </w:r>
      <w:r>
        <w:rPr>
          <w:rFonts w:hint="eastAsia"/>
          <w:iCs/>
          <w:color w:val="4472C4" w:themeColor="accent1"/>
          <w14:textFill>
            <w14:solidFill>
              <w14:schemeClr w14:val="accent1"/>
            </w14:solidFill>
          </w14:textFill>
        </w:rPr>
        <w:t>[</w:t>
      </w:r>
      <w:r>
        <w:rPr>
          <w:rFonts w:hint="eastAsia"/>
          <w:iCs/>
          <w:color w:val="FF0000"/>
        </w:rPr>
        <w:t>文献</w:t>
      </w:r>
      <w:r>
        <w:rPr>
          <w:iCs/>
          <w:color w:val="4472C4" w:themeColor="accent1"/>
          <w14:textFill>
            <w14:solidFill>
              <w14:schemeClr w14:val="accent1"/>
            </w14:solidFill>
          </w14:textFill>
        </w:rPr>
        <w:t>]</w:t>
      </w:r>
    </w:p>
    <w:p>
      <w:pPr>
        <w:pStyle w:val="4"/>
      </w:pPr>
      <w:r>
        <w:rPr>
          <w:rFonts w:hint="eastAsia"/>
        </w:rPr>
        <w:t>曲线B：树龄——覆盖面积曲线</w:t>
      </w:r>
    </w:p>
    <w:p>
      <w:pPr>
        <w:ind w:firstLine="480"/>
        <w:rPr>
          <w:rFonts w:hAnsi="Cambria Math"/>
        </w:rPr>
      </w:pPr>
      <w:r>
        <w:rPr>
          <w:rFonts w:hint="eastAsia"/>
        </w:rPr>
        <w:t>在某一特定森林中，对于任何一种特定的树木，都存在其特异的“树龄——覆盖面积曲线”。我们使用一个方程</w:t>
      </w:r>
      <m:oMath>
        <m:r>
          <m:rPr/>
          <w:rPr>
            <w:rFonts w:ascii="Cambria Math" w:hAnsi="Cambria Math"/>
          </w:rPr>
          <m:t>X(t)</m:t>
        </m:r>
      </m:oMath>
      <w:r>
        <w:rPr>
          <w:rFonts w:hint="eastAsia" w:hAnsi="Cambria Math"/>
          <w:iCs/>
        </w:rPr>
        <w:t>对其进行表示，其含义为树龄为</w:t>
      </w:r>
      <m:oMath>
        <m:r>
          <m:rPr/>
          <w:rPr>
            <w:rFonts w:ascii="Cambria Math" w:hAnsi="Cambria Math"/>
          </w:rPr>
          <m:t>t</m:t>
        </m:r>
      </m:oMath>
      <w:r>
        <w:rPr>
          <w:rFonts w:hint="eastAsia" w:hAnsi="Cambria Math"/>
        </w:rPr>
        <w:t>的特定树木在该森林中对应的覆盖面积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w:t>
      </w:r>
    </w:p>
    <w:p>
      <w:pPr>
        <w:ind w:firstLine="480"/>
        <w:rPr>
          <w:rFonts w:hAnsi="Cambria Math"/>
        </w:rPr>
      </w:pPr>
      <w:r>
        <w:rPr>
          <w:rFonts w:hint="eastAsia" w:hAnsi="Cambria Math"/>
        </w:rPr>
        <w:t>然而，在实际情况下难以精准地测定树木的树龄并对其覆盖面积进行统计，因而经常以一定的树龄区间为个体给出覆盖面积的统计数据。对此，我们选择使用</w:t>
      </w:r>
      <w:r>
        <w:rPr>
          <w:rFonts w:hint="eastAsia" w:hAnsi="Cambria Math"/>
          <w:color w:val="FF0000"/>
        </w:rPr>
        <w:t>最小二乘法</w:t>
      </w:r>
      <w:r>
        <w:rPr>
          <w:rFonts w:hint="eastAsia" w:hAnsi="Cambria Math"/>
        </w:rPr>
        <w:t>对有限的数据点进行拟合，并认为拟合曲线为我们想要的曲线B。</w:t>
      </w:r>
    </w:p>
    <w:p>
      <w:pPr>
        <w:pStyle w:val="4"/>
      </w:pPr>
      <w:r>
        <w:rPr>
          <w:rFonts w:hint="eastAsia"/>
        </w:rPr>
        <w:t>二氧化碳封存量的具体计算</w:t>
      </w:r>
    </w:p>
    <w:p>
      <w:pPr>
        <w:ind w:firstLine="480"/>
      </w:pPr>
      <w:r>
        <w:rPr>
          <w:rFonts w:hint="eastAsia"/>
        </w:rPr>
        <w:t>在计算具体的二氧化碳封存量时，根据本文的假设，我们均使用从曲线A、B上得到的离散点数据。</w:t>
      </w:r>
    </w:p>
    <w:p>
      <w:pPr>
        <w:ind w:firstLine="480"/>
        <w:rPr>
          <w:rFonts w:hAnsi="Cambria Math"/>
        </w:rPr>
      </w:pPr>
      <w:r>
        <w:rPr>
          <w:rFonts w:hint="eastAsia" w:hAnsi="Cambria Math"/>
          <w:iCs/>
        </w:rPr>
        <w:t>令</w:t>
      </w:r>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oMath>
      <w:r>
        <w:rPr>
          <w:rFonts w:hint="eastAsia" w:hAnsi="Cambria Math"/>
        </w:rPr>
        <w:t>代表树龄为</w:t>
      </w:r>
      <m:oMath>
        <m:r>
          <m:rPr/>
          <w:rPr>
            <w:rFonts w:ascii="Cambria Math" w:hAnsi="Cambria Math"/>
          </w:rPr>
          <m:t>t</m:t>
        </m:r>
      </m:oMath>
      <w:r>
        <w:rPr>
          <w:rFonts w:hint="eastAsia" w:hAnsi="Cambria Math"/>
        </w:rPr>
        <w:t>的树木在第</w:t>
      </w:r>
      <m:oMath>
        <m:r>
          <m:rPr/>
          <w:rPr>
            <w:rFonts w:ascii="Cambria Math" w:hAnsi="Cambria Math"/>
          </w:rPr>
          <m:t>j</m:t>
        </m:r>
      </m:oMath>
      <w:r>
        <w:rPr>
          <w:rFonts w:hint="eastAsia" w:hAnsi="Cambria Math"/>
        </w:rPr>
        <w:t>年内二氧化碳的吸收量</w:t>
      </w:r>
      <m:oMath>
        <m:r>
          <m:rPr>
            <m:sty m:val="p"/>
          </m:rPr>
          <w:rPr>
            <w:rFonts w:ascii="Cambria Math" w:hAnsi="Cambria Math"/>
          </w:rPr>
          <m:t>(tC)</m:t>
        </m:r>
      </m:oMath>
      <w:r>
        <w:rPr>
          <w:rFonts w:hint="eastAsia" w:hAnsi="Cambria Math"/>
        </w:rPr>
        <w:t>，则存在如式(</w:t>
      </w:r>
      <w:r>
        <w:rPr>
          <w:rFonts w:hint="eastAsia" w:hAnsi="Cambria Math"/>
          <w:lang w:val="en-US" w:eastAsia="zh-CN"/>
        </w:rPr>
        <w:t>5</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sSub>
                  <m:sSubPr>
                    <m:ctrlPr>
                      <w:rPr>
                        <w:rFonts w:ascii="Cambria Math" w:hAnsi="Cambria Math"/>
                        <w:i/>
                      </w:rPr>
                    </m:ctrlPr>
                  </m:sSubPr>
                  <m:e>
                    <m:r>
                      <m:rPr/>
                      <w:rPr>
                        <w:rFonts w:ascii="Cambria Math" w:hAnsi="Cambria Math"/>
                      </w:rPr>
                      <m:t>dM</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ind w:firstLine="480"/>
        <w:rPr>
          <w:rFonts w:hAnsi="Cambria Math"/>
        </w:rPr>
      </w:pPr>
      <w:r>
        <w:rPr>
          <w:rFonts w:hint="eastAsia" w:hAnsi="Cambria Math"/>
        </w:rPr>
        <w:t>我们认为一年内树木吸收的二氧化碳总量为所有树龄的树木吸收量的总和，由此可得到第</w:t>
      </w:r>
      <m:oMath>
        <m:r>
          <m:rPr/>
          <w:rPr>
            <w:rFonts w:ascii="Cambria Math" w:hAnsi="Cambria Math"/>
          </w:rPr>
          <m:t>j</m:t>
        </m:r>
      </m:oMath>
      <w:r>
        <w:rPr>
          <w:rFonts w:hint="eastAsia" w:hAnsi="Cambria Math"/>
        </w:rPr>
        <w:t>年树木吸收二氧化碳总量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的表达式，如式(</w:t>
      </w:r>
      <w:r>
        <w:rPr>
          <w:rFonts w:hint="eastAsia" w:hAnsi="Cambria Math"/>
          <w:lang w:val="en-US" w:eastAsia="zh-CN"/>
        </w:rPr>
        <w:t>6</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(i)</m:t>
                    </m:r>
                    <m:ctrlPr>
                      <w:rPr>
                        <w:rFonts w:ascii="Cambria Math" w:hAnsi="Cambria Math"/>
                        <w:i/>
                      </w:rPr>
                    </m:ctrlPr>
                  </m:e>
                </m:nary>
                <m:r>
                  <m:rPr/>
                  <w:rPr>
                    <w:rFonts w:ascii="Cambria Math" w:hAnsi="Cambria Math"/>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ind w:firstLine="480"/>
        <w:rPr>
          <w:rFonts w:hAnsi="Cambria Math"/>
        </w:rPr>
      </w:pPr>
      <w:bookmarkStart w:id="19" w:name="_Toc58505778"/>
      <w:bookmarkStart w:id="20" w:name="_Toc58786702"/>
      <w:r>
        <w:rPr>
          <w:rFonts w:hint="eastAsia"/>
        </w:rPr>
        <w:t>令</w:t>
      </w:r>
      <m:oMath>
        <m:r>
          <m:rPr/>
          <w:rPr>
            <w:rFonts w:ascii="Cambria Math" w:hAnsi="Cambria Math"/>
          </w:rPr>
          <m:t>T</m:t>
        </m:r>
      </m:oMath>
      <w:r>
        <w:rPr>
          <w:rFonts w:hint="eastAsia" w:hAnsi="Cambria Math"/>
        </w:rPr>
        <w:t>为前</w:t>
      </w:r>
      <m:oMath>
        <m:r>
          <m:rPr/>
          <w:rPr>
            <w:rFonts w:ascii="Cambria Math" w:hAnsi="Cambria Math"/>
          </w:rPr>
          <m:t>k</m:t>
        </m:r>
      </m:oMath>
      <w:r>
        <w:rPr>
          <w:rFonts w:hint="eastAsia" w:hAnsi="Cambria Math"/>
        </w:rPr>
        <w:t>年树木吸收二氧化碳的总量，则</w:t>
      </w:r>
      <m:oMath>
        <m:r>
          <m:rPr/>
          <w:rPr>
            <w:rFonts w:ascii="Cambria Math" w:hAnsi="Cambria Math"/>
          </w:rPr>
          <m:t>T</m:t>
        </m:r>
      </m:oMath>
      <w:r>
        <w:rPr>
          <w:rFonts w:hint="eastAsia" w:hAnsi="Cambria Math"/>
        </w:rPr>
        <w:t>的表达式如式(</w:t>
      </w:r>
      <w:r>
        <w:rPr>
          <w:rFonts w:hint="eastAsia" w:hAnsi="Cambria Math"/>
          <w:lang w:val="en-US" w:eastAsia="zh-CN"/>
        </w:rPr>
        <w:t>7</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i/>
                <w:iCs/>
              </w:rPr>
            </w:pPr>
            <m:oMathPara>
              <m:oMath>
                <m:r>
                  <m:rPr/>
                  <w:rPr>
                    <w:rFonts w:ascii="Cambria Math" w:hAnsi="Cambria Math"/>
                  </w:rPr>
                  <m:t>T=</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firstLine="480"/>
      </w:pPr>
      <w:r>
        <w:rPr>
          <w:rFonts w:hint="eastAsia"/>
        </w:rPr>
        <w:t>除此之外，我们认为由被砍伐树木制成的木制品具有一定的储存二氧化碳的能力，但每类木制品每年均会以恒定的腐蚀率发生腐蚀现象，从而逐渐释放出其储存的二氧化碳。</w:t>
      </w:r>
    </w:p>
    <w:p>
      <w:pPr>
        <w:ind w:firstLine="480"/>
        <w:rPr>
          <w:rFonts w:hAnsi="Cambria Math"/>
        </w:rPr>
      </w:pPr>
      <w:r>
        <w:rPr>
          <w:rFonts w:hint="eastAsia"/>
        </w:rPr>
        <w:t>令</w:t>
      </w:r>
      <m:oMath>
        <m:r>
          <m:rPr/>
          <w:rPr>
            <w:rFonts w:ascii="Cambria Math" w:hAnsi="Cambria Math"/>
          </w:rPr>
          <m:t>P</m:t>
        </m:r>
      </m:oMath>
      <w:r>
        <w:rPr>
          <w:rFonts w:hint="eastAsia" w:hAnsi="Cambria Math"/>
        </w:rPr>
        <w:t>为第</w:t>
      </w:r>
      <m:oMath>
        <m:r>
          <m:rPr/>
          <w:rPr>
            <w:rFonts w:ascii="Cambria Math" w:hAnsi="Cambria Math"/>
          </w:rPr>
          <m:t>k</m:t>
        </m:r>
      </m:oMath>
      <w:r>
        <w:rPr>
          <w:rFonts w:hint="eastAsia" w:hAnsi="Cambria Math"/>
        </w:rPr>
        <w:t>年木制品中储存的二氧化碳总量，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为第</w:t>
      </w:r>
      <m:oMath>
        <m:r>
          <m:rPr/>
          <w:rPr>
            <w:rFonts w:ascii="Cambria Math" w:hAnsi="Cambria Math"/>
          </w:rPr>
          <m:t>j</m:t>
        </m:r>
      </m:oMath>
      <w:r>
        <w:rPr>
          <w:rFonts w:hint="eastAsia" w:hAnsi="Cambria Math"/>
        </w:rPr>
        <w:t>年砍伐树木包含的二氧化碳总量，</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分别为砍伐树木中制成木浆和木材的比例</w:t>
      </w:r>
      <m:oMath>
        <m:r>
          <m:rPr>
            <m:sty m:val="p"/>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分别为木浆和木材的腐蚀率，则存在如式(</w:t>
      </w:r>
      <w:r>
        <w:rPr>
          <w:rFonts w:hint="eastAsia" w:hAnsi="Cambria Math"/>
          <w:lang w:val="en-US" w:eastAsia="zh-CN"/>
        </w:rPr>
        <w:t>8</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P=</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ctrlPr>
                          <w:rPr>
                            <w:rFonts w:ascii="Cambria Math" w:hAnsi="Cambria Math"/>
                            <w:i/>
                          </w:rPr>
                        </m:ctrlPr>
                      </m:e>
                    </m:d>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firstLine="480"/>
        <w:rPr>
          <w:rFonts w:hAnsi="Cambria Math"/>
        </w:rPr>
      </w:pPr>
      <w:r>
        <w:rPr>
          <w:rFonts w:hint="eastAsia" w:hAnsi="Cambria Math"/>
        </w:rPr>
        <w:t>由此可知，前</w:t>
      </w:r>
      <m:oMath>
        <m:r>
          <m:rPr/>
          <w:rPr>
            <w:rFonts w:ascii="Cambria Math" w:hAnsi="Cambria Math"/>
          </w:rPr>
          <m:t>k</m:t>
        </m:r>
      </m:oMath>
      <w:r>
        <w:rPr>
          <w:rFonts w:hint="eastAsia" w:hAnsi="Cambria Math"/>
        </w:rPr>
        <w:t>年二氧化碳总封存量</w:t>
      </w:r>
      <m:oMath>
        <m:r>
          <m:rPr/>
          <w:rPr>
            <w:rFonts w:ascii="Cambria Math" w:hAnsi="Cambria Math"/>
          </w:rPr>
          <m:t>S</m:t>
        </m:r>
      </m:oMath>
      <w:r>
        <w:rPr>
          <w:rFonts w:hint="eastAsia" w:hAnsi="Cambria Math"/>
        </w:rPr>
        <w:t>的表达式如式(</w:t>
      </w:r>
      <w:r>
        <w:rPr>
          <w:rFonts w:hint="eastAsia" w:hAnsi="Cambria Math"/>
          <w:lang w:val="en-US" w:eastAsia="zh-CN"/>
        </w:rPr>
        <w:t>9</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S=T+P</m:t>
                </m:r>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pStyle w:val="3"/>
        <w:spacing w:after="163"/>
      </w:pPr>
      <w:r>
        <w:rPr>
          <w:rFonts w:hint="eastAsia"/>
        </w:rPr>
        <w:t>森林发展模型</w:t>
      </w:r>
    </w:p>
    <w:p>
      <w:pPr>
        <w:pStyle w:val="4"/>
      </w:pPr>
      <w:r>
        <w:rPr>
          <w:rFonts w:hint="eastAsia"/>
        </w:rPr>
        <w:t>不考虑“砍伐”的更替情况</w:t>
      </w:r>
    </w:p>
    <w:p>
      <w:pPr>
        <w:ind w:firstLine="480"/>
        <w:rPr>
          <w:rFonts w:hAnsi="Cambria Math"/>
        </w:rPr>
      </w:pPr>
      <m:oMath>
        <m:r>
          <m:rPr/>
          <w:rPr>
            <w:rFonts w:ascii="Cambria Math" w:hAnsi="Cambria Math"/>
          </w:rPr>
          <m:t>X(t,k)</m:t>
        </m:r>
      </m:oMath>
      <w:r>
        <w:rPr>
          <w:rFonts w:hint="eastAsia" w:hAnsi="Cambria Math"/>
        </w:rPr>
        <w:t>为</w:t>
      </w:r>
      <w:r>
        <w:rPr>
          <w:rFonts w:hint="eastAsia" w:hAnsi="Cambria Math"/>
          <w:iCs/>
        </w:rPr>
        <w:t>树龄为</w:t>
      </w:r>
      <m:oMath>
        <m:r>
          <m:rPr/>
          <w:rPr>
            <w:rFonts w:ascii="Cambria Math" w:hAnsi="Cambria Math"/>
          </w:rPr>
          <m:t>t</m:t>
        </m:r>
      </m:oMath>
      <w:r>
        <w:rPr>
          <w:rFonts w:hint="eastAsia" w:hAnsi="Cambria Math"/>
        </w:rPr>
        <w:t>、距初始年份</w:t>
      </w:r>
      <m:oMath>
        <m:r>
          <m:rPr/>
          <w:rPr>
            <w:rFonts w:ascii="Cambria Math" w:hAnsi="Cambria Math"/>
          </w:rPr>
          <m:t>k</m:t>
        </m:r>
      </m:oMath>
      <w:r>
        <w:rPr>
          <w:rFonts w:hint="eastAsia" w:hAnsi="Cambria Math"/>
        </w:rPr>
        <w:t>年的树木在该森林中对应的覆盖面积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，树木的寿命上限为</w:t>
      </w:r>
      <m:oMath>
        <m:r>
          <m:rPr/>
          <w:rPr>
            <w:rFonts w:ascii="Cambria Math" w:hAnsi="Cambria Math"/>
          </w:rPr>
          <m:t>tmax</m:t>
        </m:r>
      </m:oMath>
      <w:r>
        <w:rPr>
          <w:rFonts w:hint="eastAsia" w:hAnsi="Cambria Math"/>
          <w:iCs/>
        </w:rPr>
        <w:t>，则有</w:t>
      </w:r>
      <m:oMath>
        <m:r>
          <m:rPr>
            <m:sty m:val="bi"/>
          </m:rPr>
          <w:rPr>
            <w:rFonts w:ascii="Cambria Math" w:hAnsi="Cambria Math"/>
          </w:rPr>
          <m:t>X</m:t>
        </m:r>
        <m:r>
          <m:rPr/>
          <w:rPr>
            <w:rFonts w:ascii="Cambria Math" w:hAnsi="Cambria Math"/>
          </w:rPr>
          <m:t>(t,k)=</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X(0,k)</m:t>
                      </m:r>
                      <m:ctrlPr>
                        <w:rPr>
                          <w:rFonts w:ascii="Cambria Math" w:hAnsi="Cambria Math"/>
                          <w:i/>
                        </w:rPr>
                      </m:ctrlPr>
                    </m:e>
                    <m:e>
                      <m:r>
                        <m:rPr/>
                        <w:rPr>
                          <w:rFonts w:ascii="Cambria Math" w:hAnsi="Cambria Math"/>
                        </w:rPr>
                        <m:t>X(1,k)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X(tmax,k)</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hAnsi="Cambria Math"/>
        </w:rPr>
        <w:t>为第</w:t>
      </w:r>
      <m:oMath>
        <m:r>
          <m:rPr/>
          <w:rPr>
            <w:rFonts w:ascii="Cambria Math" w:hAnsi="Cambria Math"/>
          </w:rPr>
          <m:t>k</m:t>
        </m:r>
      </m:oMath>
      <w:r>
        <w:rPr>
          <w:rFonts w:hint="eastAsia" w:hAnsi="Cambria Math"/>
        </w:rPr>
        <w:t>年各树龄树木的覆盖面积矩阵。</w:t>
      </w:r>
    </w:p>
    <w:p>
      <w:pPr>
        <w:ind w:firstLine="480"/>
        <w:rPr>
          <w:rFonts w:hAnsi="Cambria Math"/>
        </w:rPr>
      </w:pPr>
      <w:r>
        <w:rPr>
          <w:rFonts w:hint="eastAsia" w:hAnsi="Cambria Math"/>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w:t>
      </w:r>
      <w:r>
        <w:rPr>
          <w:rFonts w:hint="eastAsia" w:hAnsi="Cambria Math"/>
          <w:lang w:val="en-US" w:eastAsia="zh-CN"/>
        </w:rPr>
        <w:t>10</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X(0,k+1)=X(tmax,k)</m:t>
                        </m:r>
                        <m:ctrlPr>
                          <w:rPr>
                            <w:rFonts w:ascii="Cambria Math" w:hAnsi="Cambria Math"/>
                          </w:rPr>
                        </m:ctrlPr>
                      </m:e>
                      <m:e>
                        <m:r>
                          <m:rPr>
                            <m:sty m:val="p"/>
                          </m:rPr>
                          <w:rPr>
                            <w:rFonts w:ascii="Cambria Math" w:hAnsi="Cambria Math"/>
                          </w:rPr>
                          <m:t>X(1,k+1)=X(0,k)</m:t>
                        </m:r>
                        <m:ctrlPr>
                          <w:rPr>
                            <w:rFonts w:ascii="Cambria Math" w:hAnsi="Cambria Math"/>
                          </w:rPr>
                        </m:ctrlPr>
                      </m:e>
                      <m:e>
                        <m:r>
                          <m:rPr/>
                          <w:rPr>
                            <w:rFonts w:ascii="Cambria Math" w:hAnsi="Cambria Math"/>
                          </w:rPr>
                          <m:t>⋮</m:t>
                        </m:r>
                        <m:ctrlPr>
                          <w:rPr>
                            <w:rFonts w:ascii="Cambria Math" w:hAnsi="Cambria Math"/>
                          </w:rPr>
                        </m:ctrlPr>
                      </m:e>
                      <m:e>
                        <m:r>
                          <m:rPr>
                            <m:sty m:val="p"/>
                          </m:rPr>
                          <w:rPr>
                            <w:rFonts w:ascii="Cambria Math" w:hAnsi="Cambria Math"/>
                          </w:rPr>
                          <m:t>X(tmax,k+1)=X(tmax−1,k)</m:t>
                        </m:r>
                        <m:ctrlPr>
                          <w:rPr>
                            <w:rFonts w:ascii="Cambria Math" w:hAnsi="Cambria Math"/>
                          </w:rPr>
                        </m:ctrlPr>
                      </m:e>
                    </m:eqArr>
                    <m:ctrlPr>
                      <w:rPr>
                        <w:rFonts w:ascii="Cambria Math" w:hAnsi="Cambria Math"/>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ind w:firstLine="420" w:firstLineChars="0"/>
        <w:rPr>
          <w:rFonts w:hAnsi="Cambria Math"/>
        </w:rPr>
      </w:pPr>
      <w:r>
        <w:rPr>
          <w:rFonts w:hint="eastAsia" w:hAnsi="Cambria Math"/>
        </w:rPr>
        <w:t>其矩阵形式如式(</w:t>
      </w:r>
      <w:r>
        <w:rPr>
          <w:rFonts w:hint="eastAsia" w:hAnsi="Cambria Math"/>
          <w:lang w:val="en-US" w:eastAsia="zh-CN"/>
        </w:rPr>
        <w:t>11</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X(0,k+1)</m:t>
                          </m:r>
                          <m:ctrlPr>
                            <w:rPr>
                              <w:rFonts w:ascii="Cambria Math" w:hAnsi="Cambria Math"/>
                              <w:i/>
                            </w:rPr>
                          </m:ctrlPr>
                        </m:e>
                      </m:mr>
                      <m:mr>
                        <m:e>
                          <m:r>
                            <m:rPr/>
                            <w:rPr>
                              <w:rFonts w:ascii="Cambria Math" w:hAnsi="Cambria Math"/>
                            </w:rPr>
                            <m:t>X(1,k+1)</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X(tmax,k+1)</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hint="eastAsia" w:ascii="微软雅黑" w:hAnsi="微软雅黑" w:eastAsia="微软雅黑" w:cs="微软雅黑"/>
                    <w:color w:val="333333"/>
                    <w:szCs w:val="24"/>
                    <w:shd w:val="clear" w:color="auto" w:fill="FFFFFF"/>
                  </w:rPr>
                  <m:t>⇔</m:t>
                </m:r>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ind w:left="0" w:leftChars="0" w:firstLine="0" w:firstLineChars="0"/>
        <w:rPr>
          <w:rFonts w:hAnsi="Cambria Math"/>
        </w:rPr>
      </w:pPr>
      <w:r>
        <w:rPr>
          <w:rFonts w:hint="eastAsia" w:hAnsi="Cambria Math"/>
        </w:rPr>
        <w:t>其中</w:t>
      </w:r>
      <m:oMath>
        <m:r>
          <m:rPr>
            <m:sty m:val="bi"/>
          </m:rPr>
          <w:rPr>
            <w:rFonts w:ascii="Cambria Math" w:hAnsi="Cambria Math"/>
          </w:rPr>
          <m:t>G</m:t>
        </m:r>
      </m:oMath>
      <w:r>
        <w:rPr>
          <w:rFonts w:hint="eastAsia" w:hAnsi="Cambria Math"/>
          <w:bCs/>
        </w:rPr>
        <w:t>定义为生长矩阵。</w:t>
      </w:r>
    </w:p>
    <w:p>
      <w:pPr>
        <w:pStyle w:val="4"/>
      </w:pPr>
      <w:r>
        <w:rPr>
          <w:rFonts w:hint="eastAsia"/>
        </w:rPr>
        <w:t>加入“砍伐”考虑后的更替情况</w:t>
      </w:r>
    </w:p>
    <w:p>
      <w:pPr>
        <w:ind w:firstLine="480"/>
      </w:pPr>
      <w:r>
        <w:rPr>
          <w:rFonts w:hint="eastAsia"/>
        </w:rPr>
        <w:t>木制品能一定程度上封存二氧化碳，然而树木自然死亡后认为其立刻释放所封存的二氧化碳，故为了提高二氧化碳封存量，所有达到寿命上限的树木均会被砍伐。</w:t>
      </w:r>
    </w:p>
    <w:p>
      <w:pPr>
        <w:ind w:firstLine="480"/>
        <w:rPr>
          <w:rFonts w:hAnsi="Cambria Math"/>
        </w:rPr>
      </w:pPr>
      <w:r>
        <w:rPr>
          <w:rFonts w:hint="eastAsia"/>
        </w:rPr>
        <w:t>定义</w:t>
      </w:r>
      <m:oMath>
        <m:r>
          <m:rPr>
            <m:sty m:val="bi"/>
          </m:rPr>
          <w:rPr>
            <w:rFonts w:ascii="Cambria Math" w:hAnsi="Cambria Math"/>
          </w:rPr>
          <m:t>c</m:t>
        </m:r>
        <m:r>
          <m:rPr/>
          <w:rPr>
            <w:rFonts w:ascii="Cambria Math" w:hAnsi="Cambria Math"/>
          </w:rPr>
          <m:t>=diag(</m:t>
        </m:r>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,1−c(1,k),1−c(2,k),...,1−c(tmax,k))</m:t>
        </m:r>
      </m:oMath>
      <w:r>
        <w:rPr>
          <w:rFonts w:hint="eastAsia" w:hAnsi="Cambria Math"/>
          <w:iCs/>
        </w:rPr>
        <w:t>为砍伐矩阵，其中</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表示第</w:t>
      </w:r>
      <m:oMath>
        <m:r>
          <m:rPr/>
          <w:rPr>
            <w:rFonts w:ascii="Cambria Math" w:hAnsi="Cambria Math"/>
          </w:rPr>
          <m:t>k</m:t>
        </m:r>
      </m:oMath>
      <w:r>
        <w:rPr>
          <w:rFonts w:hint="eastAsia" w:hAnsi="Cambria Math"/>
        </w:rPr>
        <w:t>年末应补种树苗面积与</w:t>
      </w:r>
      <m:oMath>
        <m:r>
          <m:rPr/>
          <w:rPr>
            <w:rFonts w:ascii="Cambria Math" w:hAnsi="Cambria Math"/>
          </w:rPr>
          <m:t>X(0,k)</m:t>
        </m:r>
      </m:oMath>
      <w:r>
        <w:rPr>
          <w:rFonts w:hint="eastAsia" w:hAnsi="Cambria Math"/>
        </w:rPr>
        <w:t>的比值，</w:t>
      </w:r>
      <m:oMath>
        <m:r>
          <m:rPr/>
          <w:rPr>
            <w:rFonts w:ascii="Cambria Math" w:hAnsi="Cambria Math"/>
          </w:rPr>
          <m:t>c(i,k)</m:t>
        </m:r>
      </m:oMath>
      <w:r>
        <w:rPr>
          <w:rFonts w:hint="eastAsia" w:hAnsi="Cambria Math"/>
        </w:rPr>
        <w:t>表示第</w:t>
      </w:r>
      <m:oMath>
        <m:r>
          <m:rPr/>
          <w:rPr>
            <w:rFonts w:ascii="Cambria Math" w:hAnsi="Cambria Math"/>
          </w:rPr>
          <m:t>k</m:t>
        </m:r>
      </m:oMath>
      <w:r>
        <w:rPr>
          <w:rFonts w:hint="eastAsia" w:hAnsi="Cambria Math"/>
        </w:rPr>
        <w:t>年对于树龄为</w:t>
      </w:r>
      <m:oMath>
        <m:r>
          <m:rPr/>
          <w:rPr>
            <w:rFonts w:ascii="Cambria Math" w:hAnsi="Cambria Math"/>
          </w:rPr>
          <m:t>i</m:t>
        </m:r>
      </m:oMath>
      <w:r>
        <w:rPr>
          <w:rFonts w:hint="eastAsia" w:hAnsi="Cambria Math"/>
        </w:rPr>
        <w:t>的树木的砍伐率。从而可得到第</w:t>
      </w:r>
      <m:oMath>
        <m:r>
          <m:rPr/>
          <w:rPr>
            <w:rFonts w:ascii="Cambria Math" w:hAnsi="Cambria Math"/>
          </w:rPr>
          <m:t>k</m:t>
        </m:r>
      </m:oMath>
      <w:r>
        <w:rPr>
          <w:rFonts w:hint="eastAsia" w:hAnsi="Cambria Math"/>
        </w:rPr>
        <w:t>年砍伐后</w:t>
      </w:r>
      <m:oMath>
        <m:r>
          <m:rPr>
            <m:sty m:val="bi"/>
          </m:rPr>
          <w:rPr>
            <w:rFonts w:ascii="Cambria Math" w:hAnsi="Cambria Math"/>
          </w:rPr>
          <m:t>X</m:t>
        </m:r>
        <m:r>
          <m:rPr>
            <m:sty m:val="bi"/>
          </m:rPr>
          <w:rPr>
            <w:rFonts w:hint="eastAsia" w:ascii="Cambria Math" w:hAnsi="Cambria Math"/>
          </w:rPr>
          <m:t>‘</m:t>
        </m:r>
        <m:r>
          <m:rPr/>
          <w:rPr>
            <w:rFonts w:ascii="Cambria Math" w:hAnsi="Cambria Math"/>
          </w:rPr>
          <m:t>(t,k)</m:t>
        </m:r>
      </m:oMath>
      <w:r>
        <w:rPr>
          <w:rFonts w:hint="eastAsia" w:hAnsi="Cambria Math"/>
        </w:rPr>
        <w:t>的表达式，若式(</w:t>
      </w:r>
      <w:r>
        <w:rPr>
          <w:rFonts w:hint="eastAsia" w:hAnsi="Cambria Math"/>
          <w:lang w:val="en-US" w:eastAsia="zh-CN"/>
        </w:rPr>
        <w:t>12</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1−c(1,k)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1−c(tmax,k)</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12</w:t>
            </w:r>
            <w:r>
              <w:t>)</w:t>
            </w:r>
          </w:p>
        </w:tc>
      </w:tr>
    </w:tbl>
    <w:p>
      <w:pPr>
        <w:ind w:firstLine="420" w:firstLineChars="0"/>
      </w:pPr>
      <w:r>
        <w:rPr>
          <w:rFonts w:hint="eastAsia"/>
        </w:rPr>
        <w:t>综合考虑树木自然成长以及砍伐，得到完成的递推过程，如式(1</w:t>
      </w:r>
      <w:r>
        <w:rPr>
          <w:rFonts w:hint="eastAsia"/>
          <w:lang w:val="en-US" w:eastAsia="zh-CN"/>
        </w:rPr>
        <w:t>3</w:t>
      </w:r>
      <w:r>
        <w:rPr>
          <w:rFonts w:hint="eastAsia"/>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c</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3</w:t>
            </w:r>
            <w:r>
              <w:t>)</w:t>
            </w:r>
          </w:p>
        </w:tc>
      </w:tr>
    </w:tbl>
    <w:p>
      <w:pPr>
        <w:pStyle w:val="3"/>
        <w:spacing w:after="163"/>
      </w:pPr>
      <w:r>
        <w:rPr>
          <w:rFonts w:hint="eastAsia"/>
        </w:rPr>
        <w:t>森林管理方案规划模型</w:t>
      </w:r>
    </w:p>
    <w:p>
      <w:pPr>
        <w:numPr>
          <w:ilvl w:val="0"/>
          <w:numId w:val="11"/>
        </w:numPr>
        <w:ind w:firstLineChars="0"/>
        <w:rPr>
          <w:b/>
          <w:bCs/>
        </w:rPr>
      </w:pPr>
      <w:r>
        <w:rPr>
          <w:rFonts w:hint="eastAsia"/>
          <w:b/>
          <w:bCs/>
        </w:rPr>
        <w:t>决策变量：砍伐矩阵</w:t>
      </w:r>
      <m:oMath>
        <m:r>
          <m:rPr>
            <m:sty m:val="b"/>
          </m:rPr>
          <w:rPr>
            <w:rFonts w:ascii="Cambria Math" w:hAnsi="Cambria Math"/>
          </w:rPr>
          <m:t>c</m:t>
        </m:r>
      </m:oMath>
    </w:p>
    <w:p>
      <w:pPr>
        <w:ind w:firstLine="480"/>
      </w:pPr>
      <w:r>
        <w:rPr>
          <w:rFonts w:hint="eastAsia"/>
        </w:rPr>
        <w:t>由于该模型仅存在唯一的目标——二氧化碳封存量，故仅需要找到最关键的影响因素并对其进行优化，便可得到较为有效的管理方案。在二氧化碳封存量计算模型中，</w:t>
      </w:r>
      <m:oMath>
        <m:r>
          <m:rPr/>
          <w:rPr>
            <w:rFonts w:ascii="Cambria Math" w:hAnsi="Cambria Math"/>
          </w:rPr>
          <m:t>X(t)</m:t>
        </m:r>
      </m:oMath>
      <w:r>
        <w:rPr>
          <w:rFonts w:hint="eastAsia" w:hAnsi="Cambria Math"/>
        </w:rPr>
        <w:t>会直接影响到最终数值，而每一年的</w:t>
      </w:r>
      <m:oMath>
        <m:r>
          <m:rPr/>
          <w:rPr>
            <w:rFonts w:ascii="Cambria Math" w:hAnsi="Cambria Math"/>
          </w:rPr>
          <m:t>X(t)</m:t>
        </m:r>
      </m:oMath>
      <w:r>
        <w:rPr>
          <w:rFonts w:hint="eastAsia" w:hAnsi="Cambria Math"/>
        </w:rPr>
        <w:t>又会直接受到砍伐矩阵</w:t>
      </w:r>
      <m:oMath>
        <m:r>
          <m:rPr>
            <m:sty m:val="bi"/>
          </m:rPr>
          <w:rPr>
            <w:rFonts w:ascii="Cambria Math" w:hAnsi="Cambria Math"/>
          </w:rPr>
          <m:t>c</m:t>
        </m:r>
      </m:oMath>
      <w:r>
        <w:rPr>
          <w:rFonts w:hint="eastAsia" w:hAnsi="Cambria Math"/>
          <w:bCs/>
        </w:rPr>
        <w:t>的作用，因而规划模型中将砍伐矩阵</w:t>
      </w:r>
      <m:oMath>
        <m:r>
          <m:rPr>
            <m:sty m:val="bi"/>
          </m:rPr>
          <w:rPr>
            <w:rFonts w:ascii="Cambria Math" w:hAnsi="Cambria Math"/>
          </w:rPr>
          <m:t>c</m:t>
        </m:r>
      </m:oMath>
      <w:r>
        <w:rPr>
          <w:rFonts w:hint="eastAsia" w:hAnsi="Cambria Math"/>
          <w:bCs/>
        </w:rPr>
        <w:t>设定为决策变量。</w:t>
      </w:r>
    </w:p>
    <w:p>
      <w:pPr>
        <w:numPr>
          <w:ilvl w:val="0"/>
          <w:numId w:val="11"/>
        </w:numPr>
        <w:ind w:firstLineChars="0"/>
        <w:rPr>
          <w:b/>
          <w:bCs/>
        </w:rPr>
      </w:pPr>
      <w:r>
        <w:rPr>
          <w:rFonts w:hint="eastAsia"/>
          <w:b/>
          <w:bCs/>
        </w:rPr>
        <w:t>目标函数：考虑树木“潜力”的最大二氧化碳封存量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p>
    <w:p>
      <w:pPr>
        <w:ind w:firstLine="480"/>
        <w:rPr>
          <w:rFonts w:hAnsi="Cambria Math"/>
        </w:rPr>
      </w:pPr>
      <w:r>
        <w:rPr>
          <w:rFonts w:hint="eastAsia"/>
        </w:rPr>
        <w:t>如果基于当前模型，从贪心的角度设定目标函数，则可直接使用式(2)中的</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进行了一定的修正，使其将树木的“潜力”纳入考虑。修正后目标函数</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r>
        <w:rPr>
          <w:rFonts w:hint="eastAsia" w:hAnsi="Cambria Math"/>
        </w:rPr>
        <w:t>如式(1</w:t>
      </w:r>
      <w:r>
        <w:rPr>
          <w:rFonts w:hint="eastAsia" w:hAnsi="Cambria Math"/>
          <w:lang w:val="en-US" w:eastAsia="zh-CN"/>
        </w:rPr>
        <w:t>4</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p"/>
                  </m:rPr>
                  <w:rPr>
                    <w:rFonts w:ascii="Cambria Math" w:hAnsi="Cambria Math"/>
                  </w:rPr>
                  <m:t xml:space="preserve">max </m:t>
                </m:r>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(i)×</m:t>
                        </m:r>
                        <m:nary>
                          <m:naryPr>
                            <m:chr m:val="∑"/>
                            <m:limLoc m:val="undOvr"/>
                            <m:ctrlPr>
                              <w:rPr>
                                <w:rFonts w:ascii="Cambria Math" w:hAnsi="Cambria Math"/>
                                <w:i/>
                              </w:rPr>
                            </m:ctrlPr>
                          </m:naryPr>
                          <m:sub>
                            <m:r>
                              <m:rPr/>
                              <w:rPr>
                                <w:rFonts w:ascii="Cambria Math" w:hAnsi="Cambria Math"/>
                              </w:rPr>
                              <m:t>m=i</m:t>
                            </m:r>
                            <m:ctrlPr>
                              <w:rPr>
                                <w:rFonts w:ascii="Cambria Math" w:hAnsi="Cambria Math"/>
                                <w:i/>
                              </w:rPr>
                            </m:ctrlPr>
                          </m:sub>
                          <m:sup>
                            <m:r>
                              <m:rPr/>
                              <w:rPr>
                                <w:rFonts w:ascii="Cambria Math" w:hAnsi="Cambria Math"/>
                              </w:rPr>
                              <m:t>i+pot</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m:t>
                            </m:r>
                            <m:ctrlPr>
                              <w:rPr>
                                <w:rFonts w:ascii="Cambria Math" w:hAnsi="Cambria Math"/>
                                <w:i/>
                              </w:rPr>
                            </m:ctrlPr>
                          </m:e>
                        </m:nary>
                        <m:ctrlPr>
                          <w:rPr>
                            <w:rFonts w:ascii="Cambria Math" w:hAnsi="Cambria Math"/>
                            <w:i/>
                          </w:rPr>
                        </m:ctrlPr>
                      </m:e>
                    </m:nary>
                    <m:r>
                      <m:rPr/>
                      <w:rPr>
                        <w:rFonts w:ascii="Cambria Math" w:hAnsi="Cambria Math"/>
                      </w:rPr>
                      <m:t>]</m:t>
                    </m:r>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 xml:space="preserve">i=0,1,2,...,tmax </m:t>
                        </m:r>
                        <m:ctrlPr>
                          <w:rPr>
                            <w:rFonts w:ascii="Cambria Math" w:hAnsi="Cambria Math"/>
                            <w:i/>
                          </w:rPr>
                        </m:ctrlPr>
                      </m:e>
                      <m:e>
                        <m:r>
                          <m:rPr/>
                          <w:rPr>
                            <w:rFonts w:ascii="Cambria Math" w:hAnsi="Cambria Math"/>
                          </w:rPr>
                          <m:t>m=i,i+1,i+2,...,pot</m:t>
                        </m:r>
                        <m:ctrlPr>
                          <w:rPr>
                            <w:rFonts w:ascii="Cambria Math" w:hAnsi="Cambria Math"/>
                            <w:i/>
                          </w:rPr>
                        </m:ctrlPr>
                      </m:e>
                    </m:eqArr>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4</w:t>
            </w:r>
            <w:r>
              <w:t>)</w:t>
            </w:r>
          </w:p>
        </w:tc>
      </w:tr>
    </w:tbl>
    <w:p>
      <w:pPr>
        <w:ind w:left="0" w:leftChars="0" w:firstLine="0" w:firstLineChars="0"/>
        <w:rPr>
          <w:rFonts w:hAnsi="Cambria Math"/>
        </w:rPr>
      </w:pPr>
      <w:r>
        <w:rPr>
          <w:rFonts w:hint="eastAsia" w:hAnsi="Cambria Math"/>
        </w:rPr>
        <w:t>其中</w:t>
      </w:r>
      <m:oMath>
        <m:r>
          <m:rPr/>
          <w:rPr>
            <w:rFonts w:ascii="Cambria Math" w:hAnsi="Cambria Math"/>
          </w:rPr>
          <m:t>pot</m:t>
        </m:r>
      </m:oMath>
      <w:r>
        <w:rPr>
          <w:rFonts w:hint="eastAsia" w:hAnsi="Cambria Math"/>
        </w:rPr>
        <w:t>代表决策者衡量树木潜力的年龄长度。</w:t>
      </w:r>
    </w:p>
    <w:p>
      <w:pPr>
        <w:numPr>
          <w:ilvl w:val="0"/>
          <w:numId w:val="12"/>
        </w:numPr>
        <w:ind w:firstLineChars="0"/>
        <w:rPr>
          <w:rFonts w:hAnsi="Cambria Math"/>
          <w:b/>
          <w:bCs/>
        </w:rPr>
      </w:pPr>
      <w:r>
        <w:rPr>
          <w:rFonts w:hint="eastAsia" w:hAnsi="Cambria Math"/>
          <w:b/>
          <w:bCs/>
        </w:rPr>
        <w:t>约束条件</w:t>
      </w:r>
    </w:p>
    <w:p>
      <w:pPr>
        <w:ind w:firstLine="420" w:firstLineChars="0"/>
        <w:rPr>
          <w:rFonts w:hAnsi="Cambria Math"/>
        </w:rPr>
      </w:pPr>
      <w:r>
        <w:rPr>
          <w:rFonts w:hint="eastAsia" w:hAnsi="Cambria Math"/>
        </w:rPr>
        <w:t>在该模型中，需要满足上述“任何一年时树木的总覆盖面积等于森林的最大容纳量”这一假设。除此之外，基于现实因素，砍伐率</w:t>
      </w:r>
      <m:oMath>
        <m:r>
          <m:rPr/>
          <w:rPr>
            <w:rFonts w:ascii="Cambria Math" w:hAnsi="Cambria Math"/>
          </w:rPr>
          <m:t>c(i,k)</m:t>
        </m:r>
      </m:oMath>
      <w:r>
        <w:rPr>
          <w:rFonts w:hint="eastAsia" w:hAnsi="Cambria Math"/>
        </w:rPr>
        <w:t>应当介于0-1之间、种植比例</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应大于1，即：</w:t>
      </w:r>
    </w:p>
    <w:p>
      <w:pPr>
        <w:ind w:left="480" w:leftChars="200" w:firstLine="0" w:firstLineChars="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∙X(tmax,k)+</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tmax</m:t>
                      </m:r>
                      <m:ctrlPr>
                        <w:rPr>
                          <w:rFonts w:ascii="Cambria Math" w:hAnsi="Cambria Math"/>
                          <w:i/>
                        </w:rPr>
                      </m:ctrlPr>
                    </m:sup>
                    <m:e>
                      <m:r>
                        <m:rPr/>
                        <w:rPr>
                          <w:rFonts w:ascii="Cambria Math" w:hAnsi="Cambria Math"/>
                        </w:rPr>
                        <m:t>(1−c(i,k))∙X(i,k)</m:t>
                      </m:r>
                      <m:ctrlPr>
                        <w:rPr>
                          <w:rFonts w:ascii="Cambria Math" w:hAnsi="Cambria Math"/>
                          <w:i/>
                        </w:rPr>
                      </m:ctrlPr>
                    </m:e>
                  </m:nary>
                  <m:r>
                    <m:rPr/>
                    <w:rPr>
                      <w:rFonts w:ascii="Cambria Math" w:hAnsi="Cambria Math"/>
                    </w:rPr>
                    <m:t>=K</m:t>
                  </m:r>
                  <m:ctrlPr>
                    <w:rPr>
                      <w:rFonts w:ascii="Cambria Math" w:hAnsi="Cambria Math"/>
                      <w:i/>
                    </w:rPr>
                  </m:ctrlPr>
                </m:e>
                <m:e>
                  <m:r>
                    <m:rPr/>
                    <w:rPr>
                      <w:rFonts w:ascii="Cambria Math" w:hAnsi="Cambria Math"/>
                    </w:rPr>
                    <m:t>0≤c(i,k)≤1</m:t>
                  </m:r>
                  <m:ctrlPr>
                    <w:rPr>
                      <w:rFonts w:ascii="Cambria Math" w:hAnsi="Cambria Math"/>
                      <w:i/>
                    </w:rPr>
                  </m:ctrlPr>
                </m:e>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&gt;1</m:t>
                  </m:r>
                  <m:ctrlPr>
                    <w:rPr>
                      <w:rFonts w:ascii="Cambria Math" w:hAnsi="Cambria Math"/>
                      <w:i/>
                    </w:rPr>
                  </m:ctrlPr>
                </m:e>
              </m:eqArr>
              <m:ctrlPr>
                <w:rPr>
                  <w:rFonts w:ascii="Cambria Math" w:hAnsi="Cambria Math"/>
                  <w:i/>
                </w:rPr>
              </m:ctrlPr>
            </m:e>
          </m:d>
        </m:oMath>
      </m:oMathPara>
    </w:p>
    <w:p>
      <w:pPr>
        <w:pStyle w:val="2"/>
      </w:pPr>
      <w:r>
        <w:rPr>
          <w:rFonts w:hint="eastAsia"/>
        </w:rPr>
        <w:t>基于森林多方面价值的森林管理决策模型</w:t>
      </w:r>
    </w:p>
    <w:p>
      <w:pPr>
        <w:widowControl/>
        <w:ind w:firstLine="480"/>
        <w:jc w:val="left"/>
      </w:pPr>
      <w:r>
        <w:rPr>
          <w:rFonts w:cs="Times New Roman"/>
          <w:color w:val="000000"/>
          <w:kern w:val="0"/>
          <w:szCs w:val="24"/>
          <w:lang w:bidi="ar"/>
        </w:rPr>
        <w:t xml:space="preserve">The forest management plan that is best for carbon sequestration is not necessarily the </w:t>
      </w:r>
    </w:p>
    <w:p>
      <w:pPr>
        <w:widowControl/>
        <w:ind w:firstLine="480"/>
        <w:jc w:val="left"/>
      </w:pPr>
      <w:r>
        <w:rPr>
          <w:rFonts w:cs="Times New Roman"/>
          <w:color w:val="000000"/>
          <w:kern w:val="0"/>
          <w:szCs w:val="24"/>
          <w:lang w:bidi="ar"/>
        </w:rPr>
        <w:t xml:space="preserve">one that is best for society given the other ways that forests are valued. Develop a </w:t>
      </w:r>
    </w:p>
    <w:p>
      <w:pPr>
        <w:widowControl/>
        <w:ind w:firstLine="480"/>
        <w:jc w:val="left"/>
      </w:pPr>
      <w:r>
        <w:rPr>
          <w:rFonts w:cs="Times New Roman"/>
          <w:color w:val="000000"/>
          <w:kern w:val="0"/>
          <w:szCs w:val="24"/>
          <w:lang w:bidi="ar"/>
        </w:rPr>
        <w:t xml:space="preserve">decision model to inform forest managers of the best use of a forest. Your model should </w:t>
      </w:r>
    </w:p>
    <w:p>
      <w:pPr>
        <w:widowControl/>
        <w:ind w:firstLine="480"/>
        <w:jc w:val="left"/>
      </w:pPr>
      <w:r>
        <w:rPr>
          <w:rFonts w:cs="Times New Roman"/>
          <w:color w:val="000000"/>
          <w:kern w:val="0"/>
          <w:szCs w:val="24"/>
          <w:lang w:bidi="ar"/>
        </w:rPr>
        <w:t xml:space="preserve">determine a forest management plan that balances the various ways that forests are </w:t>
      </w:r>
    </w:p>
    <w:p>
      <w:pPr>
        <w:widowControl/>
        <w:ind w:firstLine="480"/>
        <w:jc w:val="left"/>
      </w:pPr>
      <w:r>
        <w:rPr>
          <w:rFonts w:cs="Times New Roman"/>
          <w:color w:val="000000"/>
          <w:kern w:val="0"/>
          <w:szCs w:val="24"/>
          <w:lang w:bidi="ar"/>
        </w:rPr>
        <w:t xml:space="preserve">valued (including carbon sequestration). </w:t>
      </w:r>
    </w:p>
    <w:p>
      <w:pPr>
        <w:widowControl/>
        <w:ind w:firstLine="480"/>
        <w:jc w:val="left"/>
      </w:pPr>
      <w:r>
        <w:rPr>
          <w:rFonts w:cs="Times New Roman"/>
          <w:color w:val="000000"/>
          <w:kern w:val="0"/>
          <w:szCs w:val="24"/>
          <w:lang w:bidi="ar"/>
        </w:rPr>
        <w:t xml:space="preserve">To better understand your model, consider some of the following questions, as well as </w:t>
      </w:r>
    </w:p>
    <w:p>
      <w:pPr>
        <w:widowControl/>
        <w:ind w:firstLine="480"/>
        <w:jc w:val="left"/>
      </w:pPr>
      <w:r>
        <w:rPr>
          <w:rFonts w:cs="Times New Roman"/>
          <w:color w:val="000000"/>
          <w:kern w:val="0"/>
          <w:szCs w:val="24"/>
          <w:lang w:bidi="ar"/>
        </w:rPr>
        <w:t xml:space="preserve">questions of your own: </w:t>
      </w:r>
    </w:p>
    <w:p>
      <w:pPr>
        <w:widowControl/>
        <w:ind w:firstLine="480"/>
        <w:jc w:val="left"/>
      </w:pPr>
      <w:r>
        <w:rPr>
          <w:rFonts w:cs="Times New Roman"/>
          <w:color w:val="000000"/>
          <w:kern w:val="0"/>
          <w:szCs w:val="24"/>
          <w:lang w:bidi="ar"/>
        </w:rPr>
        <w:t xml:space="preserve">* What is the spectrum of management plans that your decision model may suggest? </w:t>
      </w:r>
    </w:p>
    <w:p>
      <w:pPr>
        <w:widowControl/>
        <w:ind w:firstLine="480"/>
        <w:jc w:val="left"/>
      </w:pPr>
      <w:r>
        <w:rPr>
          <w:rFonts w:cs="Times New Roman"/>
          <w:color w:val="000000"/>
          <w:kern w:val="0"/>
          <w:szCs w:val="24"/>
          <w:lang w:bidi="ar"/>
        </w:rPr>
        <w:t xml:space="preserve">* Are there any conditions which would result in a forest that should be left uncut? </w:t>
      </w:r>
    </w:p>
    <w:p>
      <w:pPr>
        <w:widowControl/>
        <w:ind w:firstLine="480"/>
        <w:jc w:val="left"/>
      </w:pPr>
      <w:r>
        <w:rPr>
          <w:rFonts w:cs="Times New Roman"/>
          <w:color w:val="000000"/>
          <w:kern w:val="0"/>
          <w:szCs w:val="24"/>
          <w:lang w:bidi="ar"/>
        </w:rPr>
        <w:t xml:space="preserve">* Are there transition points between management plans that apply to all forests? </w:t>
      </w:r>
    </w:p>
    <w:p>
      <w:pPr>
        <w:widowControl/>
        <w:ind w:firstLine="480"/>
        <w:jc w:val="left"/>
      </w:pPr>
      <w:r>
        <w:rPr>
          <w:rFonts w:cs="Times New Roman"/>
          <w:color w:val="000000"/>
          <w:kern w:val="0"/>
          <w:szCs w:val="24"/>
          <w:lang w:bidi="ar"/>
        </w:rPr>
        <w:t xml:space="preserve">* How are characteristics about a specific forest and its location used to determine </w:t>
      </w:r>
    </w:p>
    <w:p>
      <w:pPr>
        <w:widowControl/>
        <w:ind w:firstLine="480"/>
        <w:jc w:val="left"/>
      </w:pPr>
      <w:r>
        <w:rPr>
          <w:rFonts w:cs="Times New Roman"/>
          <w:color w:val="000000"/>
          <w:kern w:val="0"/>
          <w:szCs w:val="24"/>
          <w:lang w:bidi="ar"/>
        </w:rPr>
        <w:t>transition points between management plans?</w:t>
      </w:r>
    </w:p>
    <w:p>
      <w:pPr>
        <w:ind w:firstLine="480"/>
      </w:pPr>
      <w:r>
        <w:rPr>
          <w:rFonts w:hint="eastAsia"/>
        </w:rPr>
        <w:t>在4.3中，我们已经提出了一个以最大化二氧化碳封存量为目标的森林管理方案规划模型。但显然，由于上述模型的目标过于片面，因而它不具备评估一个森林整体价值的能力。对此，我们基于经典的Hartman模型，在参照了不同学者对于该模型中立木价值和便利性价值的定义后，构建了一个能更为全面地评估森林价值的目标函数用于给出森林管理的最优决策。</w:t>
      </w:r>
    </w:p>
    <w:p>
      <w:pPr>
        <w:ind w:firstLine="480"/>
        <w:rPr>
          <w:rFonts w:hAnsi="Cambria Math"/>
        </w:rPr>
      </w:pPr>
      <w:r>
        <w:rPr>
          <w:rFonts w:hint="eastAsia"/>
        </w:rPr>
        <w:t>除此之外，在尝试了几组数据后，我们发现4.3模型提出的管理方案具有明显的周期性。在经过足够长的时间区间后，最优方案总是对森林进行轮伐，且所有树木同时收获。因此，我们对森林发展模型进行了适当的修改，选择使用不考虑“砍伐”的森林更替情况，并在同一时间种下所有树，令其自然生长一个轮伐周期</w:t>
      </w:r>
      <m:oMath>
        <m:r>
          <m:rPr/>
          <w:rPr>
            <w:rFonts w:ascii="Cambria Math" w:hAnsi="Cambria Math"/>
          </w:rPr>
          <m:t>T</m:t>
        </m:r>
      </m:oMath>
      <w:r>
        <w:rPr>
          <w:rFonts w:hint="eastAsia" w:hAnsi="Cambria Math"/>
          <w:iCs/>
        </w:rPr>
        <w:t>后同时收获所有树木。相较于4.3模型中每一年动态安排收获方案的策略，改进后的模型显著降低了人工成本，显然更具有现实意义。基于此修改，我们将决策变量从</w:t>
      </w:r>
      <w:r>
        <w:rPr>
          <w:rFonts w:hint="eastAsia"/>
        </w:rPr>
        <w:t>砍伐矩阵</w:t>
      </w:r>
      <m:oMath>
        <m:r>
          <m:rPr>
            <m:sty m:val="b"/>
          </m:rPr>
          <w:rPr>
            <w:rFonts w:ascii="Cambria Math" w:hAnsi="Cambria Math"/>
          </w:rPr>
          <m:t>c</m:t>
        </m:r>
      </m:oMath>
      <w:r>
        <w:rPr>
          <w:rFonts w:hint="eastAsia" w:hAnsi="Cambria Math"/>
        </w:rPr>
        <w:t>变更为轮伐周期</w:t>
      </w:r>
      <m:oMath>
        <m:r>
          <m:rPr/>
          <w:rPr>
            <w:rFonts w:ascii="Cambria Math" w:hAnsi="Cambria Math"/>
          </w:rPr>
          <m:t>T</m:t>
        </m:r>
      </m:oMath>
      <w:r>
        <w:rPr>
          <w:rFonts w:hint="eastAsia" w:hAnsi="Cambria Math"/>
        </w:rPr>
        <w:t>。</w:t>
      </w:r>
    </w:p>
    <w:p>
      <w:pPr>
        <w:pStyle w:val="3"/>
        <w:spacing w:after="163"/>
      </w:pPr>
      <w:r>
        <w:rPr>
          <w:rFonts w:hint="eastAsia"/>
        </w:rPr>
        <w:t>基于经典Hartman模型的评价模型</w:t>
      </w:r>
    </w:p>
    <w:p>
      <w:pPr>
        <w:ind w:firstLine="480"/>
      </w:pPr>
      <w:r>
        <w:rPr>
          <w:rFonts w:hint="eastAsia"/>
        </w:rPr>
        <w:t>经典Hartman模型中主要将森林的价值分为两大类：</w:t>
      </w:r>
      <m:oMath>
        <m:r>
          <m:rPr/>
          <w:rPr>
            <w:rFonts w:ascii="Cambria Math" w:hAnsi="Cambria Math"/>
          </w:rPr>
          <m:t>G(t)</m:t>
        </m:r>
      </m:oMath>
      <w:r>
        <w:rPr>
          <w:rFonts w:hint="eastAsia" w:hAnsi="Cambria Math"/>
          <w:iCs/>
        </w:rPr>
        <w:t>为森林中树龄为</w:t>
      </w:r>
      <m:oMath>
        <m:r>
          <m:rPr/>
          <w:rPr>
            <w:rFonts w:ascii="Cambria Math" w:hAnsi="Cambria Math"/>
          </w:rPr>
          <m:t>t</m:t>
        </m:r>
      </m:oMath>
      <w:r>
        <w:rPr>
          <w:rFonts w:hint="eastAsia" w:hAnsi="Cambria Math"/>
        </w:rPr>
        <w:t>的</w:t>
      </w:r>
      <w:r>
        <w:rPr>
          <w:rFonts w:hint="eastAsia" w:hAnsi="Cambria Math"/>
          <w:iCs/>
        </w:rPr>
        <w:t>树木的立木价值(stumpage value)，</w:t>
      </w:r>
      <m:oMath>
        <m:r>
          <m:rPr/>
          <w:rPr>
            <w:rFonts w:ascii="Cambria Math" w:hAnsi="Cambria Math"/>
          </w:rPr>
          <m:t>F(t)</m:t>
        </m:r>
      </m:oMath>
      <w:r>
        <w:rPr>
          <w:rFonts w:hint="eastAsia" w:hAnsi="Cambria Math"/>
        </w:rPr>
        <w:t>为森林中树龄为</w:t>
      </w:r>
      <m:oMath>
        <m:r>
          <m:rPr/>
          <w:rPr>
            <w:rFonts w:ascii="Cambria Math" w:hAnsi="Cambria Math"/>
          </w:rPr>
          <m:t>t</m:t>
        </m:r>
      </m:oMath>
      <w:r>
        <w:rPr>
          <w:rFonts w:hint="eastAsia" w:hAnsi="Cambria Math"/>
        </w:rPr>
        <w:t>的树木的</w:t>
      </w:r>
      <w:r>
        <w:rPr>
          <w:rFonts w:hint="eastAsia"/>
        </w:rPr>
        <w:t>便利性价值(amanity value)。</w:t>
      </w:r>
    </w:p>
    <w:p>
      <w:pPr>
        <w:ind w:firstLine="480"/>
        <w:rPr>
          <w:rFonts w:hAnsi="Cambria Math"/>
        </w:rPr>
      </w:pPr>
      <m:oMath>
        <m:r>
          <m:rPr/>
          <w:rPr>
            <w:rFonts w:ascii="Cambria Math" w:hAnsi="Cambria Math"/>
          </w:rPr>
          <m:t>G(t)</m:t>
        </m:r>
      </m:oMath>
      <w:r>
        <w:rPr>
          <w:rFonts w:hint="eastAsia"/>
        </w:rPr>
        <w:t>主要代表了森林中树木可产出木材的经济价值，它是传统意义上人们直观容易认识到的价值。通常情况下，</w:t>
      </w:r>
      <m:oMath>
        <m:r>
          <m:rPr/>
          <w:rPr>
            <w:rFonts w:ascii="Cambria Math" w:hAnsi="Cambria Math"/>
          </w:rPr>
          <m:t>G(t)</m:t>
        </m:r>
      </m:oMath>
      <w:r>
        <w:rPr>
          <w:rFonts w:hint="eastAsia" w:hAnsi="Cambria Math"/>
        </w:rPr>
        <w:t>在</w:t>
      </w:r>
      <m:oMath>
        <m:r>
          <m:rPr/>
          <w:rPr>
            <w:rFonts w:ascii="Cambria Math" w:hAnsi="Cambria Math"/>
          </w:rPr>
          <m:t>t</m:t>
        </m:r>
      </m:oMath>
      <w:r>
        <w:rPr>
          <w:rFonts w:hint="eastAsia" w:hAnsi="Cambria Math"/>
        </w:rPr>
        <w:t>较小时单调增加，但其增长率不断降低，直至达到一个最大值后增长率降为0。随后</w:t>
      </w:r>
      <m:oMath>
        <m:r>
          <m:rPr/>
          <w:rPr>
            <w:rFonts w:ascii="Cambria Math" w:hAnsi="Cambria Math"/>
          </w:rPr>
          <m:t>G(t)</m:t>
        </m:r>
      </m:oMath>
      <w:r>
        <w:rPr>
          <w:rFonts w:hint="eastAsia" w:hAnsi="Cambria Math"/>
        </w:rPr>
        <w:t>随</w:t>
      </w:r>
      <m:oMath>
        <m:r>
          <m:rPr/>
          <w:rPr>
            <w:rFonts w:ascii="Cambria Math" w:hAnsi="Cambria Math"/>
          </w:rPr>
          <m:t>t</m:t>
        </m:r>
      </m:oMath>
      <w:r>
        <w:rPr>
          <w:rFonts w:hint="eastAsia" w:hAnsi="Cambria Math"/>
        </w:rPr>
        <w:t>增长而减小，直至树木进入成熟状态，此时</w:t>
      </w:r>
      <m:oMath>
        <m:r>
          <m:rPr/>
          <w:rPr>
            <w:rFonts w:ascii="Cambria Math" w:hAnsi="Cambria Math"/>
          </w:rPr>
          <m:t>G(t)</m:t>
        </m:r>
      </m:oMath>
      <w:r>
        <w:rPr>
          <w:rFonts w:hint="eastAsia" w:hAnsi="Cambria Math"/>
        </w:rPr>
        <w:t>趋向稳定。</w:t>
      </w:r>
    </w:p>
    <w:p>
      <w:pPr>
        <w:ind w:firstLine="480"/>
        <w:rPr>
          <w:rFonts w:hAnsi="Cambria Math"/>
        </w:rPr>
      </w:pPr>
      <m:oMath>
        <m:r>
          <m:rPr/>
          <w:rPr>
            <w:rFonts w:ascii="Cambria Math" w:hAnsi="Cambria Math"/>
          </w:rPr>
          <m:t>F(t)</m:t>
        </m:r>
      </m:oMath>
      <w:r>
        <w:rPr>
          <w:rFonts w:hint="eastAsia" w:hAnsi="Cambria Math"/>
        </w:rPr>
        <w:t>主要代表了森林中由于直立树木的存在，而带来的包括娱乐消遣、固碳释氧等相对隐形的价值。一般认为</w:t>
      </w:r>
      <m:oMath>
        <m:r>
          <m:rPr/>
          <w:rPr>
            <w:rFonts w:ascii="Cambria Math" w:hAnsi="Cambria Math"/>
          </w:rPr>
          <m:t>F(t)</m:t>
        </m:r>
      </m:oMath>
      <w:r>
        <w:rPr>
          <w:rFonts w:hint="eastAsia" w:hAnsi="Cambria Math"/>
        </w:rPr>
        <w:t>随</w:t>
      </w:r>
      <m:oMath>
        <m:r>
          <m:rPr/>
          <w:rPr>
            <w:rFonts w:ascii="Cambria Math" w:hAnsi="Cambria Math"/>
          </w:rPr>
          <m:t>t</m:t>
        </m:r>
      </m:oMath>
      <w:r>
        <w:rPr>
          <w:rFonts w:hint="eastAsia" w:hAnsi="Cambria Math"/>
        </w:rPr>
        <w:t>增加始终保持增加，因为老树相较于年轻的树木其生态价值以及观赏价值等往往更高。</w:t>
      </w:r>
    </w:p>
    <w:p>
      <w:pPr>
        <w:ind w:firstLine="480"/>
        <w:rPr>
          <w:rFonts w:hAnsi="Cambria Math"/>
          <w:iCs/>
        </w:rPr>
      </w:pPr>
      <w:r>
        <w:rPr>
          <w:rFonts w:hint="eastAsia" w:hAnsi="Cambria Math"/>
        </w:rPr>
        <w:t>在考虑了折现率后，Hartman给出了单一轮伐周期中森林价值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Cs/>
        </w:rPr>
        <w:t>的计算公式，如式(1</w:t>
      </w:r>
      <w:r>
        <w:rPr>
          <w:rFonts w:hint="eastAsia" w:hAnsi="Cambria Math"/>
          <w:iCs/>
          <w:lang w:val="en-US" w:eastAsia="zh-CN"/>
        </w:rPr>
        <w:t>5</w:t>
      </w:r>
      <w:r>
        <w:rPr>
          <w:rFonts w:hint="eastAsia" w:hAnsi="Cambria Math"/>
          <w:iCs/>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5</w:t>
            </w:r>
            <w:r>
              <w:t>)</w:t>
            </w:r>
          </w:p>
        </w:tc>
      </w:tr>
    </w:tbl>
    <w:p>
      <w:pPr>
        <w:ind w:left="0" w:leftChars="0" w:firstLine="0" w:firstLineChars="0"/>
        <w:rPr>
          <w:rFonts w:hAnsi="Cambria Math"/>
        </w:rPr>
      </w:pPr>
      <w:r>
        <w:rPr>
          <w:rFonts w:hint="eastAsia" w:hAnsi="Cambria Math"/>
          <w:iCs/>
        </w:rPr>
        <w:t>其中</w:t>
      </w:r>
      <m:oMath>
        <m:r>
          <m:rPr/>
          <w:rPr>
            <w:rFonts w:ascii="Cambria Math" w:hAnsi="Cambria Math"/>
          </w:rPr>
          <m:t>r</m:t>
        </m:r>
      </m:oMath>
      <w:r>
        <w:rPr>
          <w:rFonts w:hint="eastAsia" w:hAnsi="Cambria Math"/>
        </w:rPr>
        <w:t>为折现率，</w:t>
      </w:r>
      <m:oMath>
        <m:r>
          <m:rPr/>
          <w:rPr>
            <w:rFonts w:ascii="Cambria Math" w:hAnsi="Cambria Math"/>
          </w:rPr>
          <m:t>t</m:t>
        </m:r>
      </m:oMath>
      <w:r>
        <w:rPr>
          <w:rFonts w:hint="eastAsia" w:hAnsi="Cambria Math"/>
        </w:rPr>
        <w:t>为轮伐周期长度。</w:t>
      </w:r>
    </w:p>
    <w:p>
      <w:pPr>
        <w:ind w:firstLine="480"/>
        <w:rPr>
          <w:rFonts w:hAnsi="Cambria Math"/>
        </w:rPr>
      </w:pPr>
      <w:r>
        <w:rPr>
          <w:rFonts w:hint="eastAsia" w:hAnsi="Cambria Math"/>
        </w:rPr>
        <w:t>在此基础上，如果考虑多轮轮伐，认为每一轮轮伐的周期保持不变，则森林价值可表示为如式(1</w:t>
      </w:r>
      <w:r>
        <w:rPr>
          <w:rFonts w:hint="eastAsia" w:hAnsi="Cambria Math"/>
          <w:lang w:val="en-US" w:eastAsia="zh-CN"/>
        </w:rPr>
        <w:t>6</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color w:val="auto"/>
                  </w:rPr>
                  <m:t>LEV(t)</m:t>
                </m:r>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dx</m:t>
                    </m:r>
                    <m:d>
                      <m:dPr>
                        <m:begChr m:val="["/>
                        <m:endChr m:val="]"/>
                        <m:ctrlPr>
                          <w:rPr>
                            <w:rFonts w:ascii="Cambria Math" w:hAnsi="Cambria Math"/>
                            <w:i/>
                          </w:rPr>
                        </m:ctrlPr>
                      </m:dPr>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ctrlPr>
                          <w:rPr>
                            <w:rFonts w:ascii="Cambria Math" w:hAnsi="Cambria Math"/>
                            <w:i/>
                          </w:rPr>
                        </m:ctrlPr>
                      </m:e>
                    </m:d>
                    <m:ctrlPr>
                      <w:rPr>
                        <w:rFonts w:ascii="Cambria Math" w:hAnsi="Cambria Math"/>
                        <w:i/>
                        <w:iCs/>
                      </w:rPr>
                    </m:ctrlPr>
                  </m:e>
                </m:nary>
              </m:oMath>
            </m:oMathPara>
          </w:p>
          <w:p>
            <w:pPr>
              <w:adjustRightInd w:val="0"/>
              <w:snapToGrid w:val="0"/>
              <w:ind w:firstLine="0" w:firstLineChars="0"/>
              <w:rPr>
                <w:rFonts w:hAnsi="Cambria Math"/>
                <w:iCs/>
              </w:rPr>
            </w:pPr>
            <m:oMathPara>
              <m:oMath>
                <m:r>
                  <m:rPr/>
                  <w:rPr>
                    <w:rFonts w:ascii="Cambria Math" w:hAnsi="Cambria Math"/>
                  </w:rPr>
                  <m:t>=</m:t>
                </m:r>
                <m:f>
                  <m:fPr>
                    <m:ctrlPr>
                      <w:rPr>
                        <w:rFonts w:ascii="Cambria Math" w:hAnsi="Cambria Math"/>
                        <w:i/>
                        <w:iCs/>
                      </w:rPr>
                    </m:ctrlPr>
                  </m:fPr>
                  <m:num>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ascii="Cambria Math" w:hAnsi="Cambria Math"/>
                        <w:i/>
                        <w:iCs/>
                      </w:rPr>
                    </m:ctrlPr>
                  </m:num>
                  <m:den>
                    <m:r>
                      <m:rPr/>
                      <w:rPr>
                        <w:rFonts w:ascii="Cambria Math" w:hAnsi="Cambria Math"/>
                      </w:rPr>
                      <m:t>1−</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ctrlPr>
                      <w:rPr>
                        <w:rFonts w:ascii="Cambria Math" w:hAnsi="Cambria Math"/>
                        <w:i/>
                        <w:iCs/>
                      </w:rPr>
                    </m:ctrlPr>
                  </m:den>
                </m:f>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6</w:t>
            </w:r>
            <w:r>
              <w:t>)</w:t>
            </w:r>
          </w:p>
        </w:tc>
      </w:tr>
    </w:tbl>
    <w:p>
      <w:pPr>
        <w:ind w:left="0" w:leftChars="0" w:firstLine="0" w:firstLineChars="0"/>
        <w:rPr>
          <w:rFonts w:hint="eastAsia" w:hAnsi="Cambria Math" w:eastAsia="宋体"/>
          <w:iCs/>
          <w:color w:val="auto"/>
          <w:lang w:eastAsia="zh-CN"/>
        </w:rPr>
      </w:pPr>
      <w:r>
        <w:rPr>
          <w:rFonts w:hint="eastAsia" w:hAnsi="Cambria Math"/>
          <w:iCs/>
          <w:color w:val="auto"/>
        </w:rPr>
        <w:t>其中</w:t>
      </w:r>
      <w:r>
        <w:rPr>
          <w:rFonts w:hint="eastAsia" w:hAnsi="Cambria Math"/>
          <w:i/>
          <w:color w:val="auto"/>
        </w:rPr>
        <w:t>L</w:t>
      </w:r>
      <w:r>
        <w:rPr>
          <w:rFonts w:hAnsi="Cambria Math"/>
          <w:i/>
          <w:color w:val="auto"/>
        </w:rPr>
        <w:t>EV</w:t>
      </w:r>
      <w:r>
        <w:rPr>
          <w:rFonts w:hint="eastAsia" w:hAnsi="Cambria Math"/>
          <w:iCs/>
          <w:color w:val="auto"/>
        </w:rPr>
        <w:t>为土地期望值(</w:t>
      </w:r>
      <w:r>
        <w:rPr>
          <w:rFonts w:hAnsi="Cambria Math"/>
          <w:iCs/>
          <w:color w:val="auto"/>
        </w:rPr>
        <w:t>land expected value)</w:t>
      </w:r>
      <w:r>
        <w:rPr>
          <w:rFonts w:hint="eastAsia" w:hAnsi="Cambria Math"/>
          <w:iCs/>
          <w:color w:val="auto"/>
          <w:lang w:eastAsia="zh-CN"/>
        </w:rPr>
        <w:t>。</w:t>
      </w:r>
      <w:bookmarkStart w:id="44" w:name="_GoBack"/>
      <w:bookmarkEnd w:id="44"/>
    </w:p>
    <w:p>
      <w:pPr>
        <w:ind w:left="0" w:leftChars="0" w:firstLine="420" w:firstLineChars="0"/>
        <w:rPr>
          <w:rFonts w:hAnsi="Cambria Math"/>
        </w:rPr>
      </w:pPr>
      <w:r>
        <w:rPr>
          <w:rFonts w:hint="eastAsia" w:hAnsi="Cambria Math"/>
          <w:iCs/>
        </w:rPr>
        <w:t>因此</w:t>
      </w:r>
      <w:r>
        <w:rPr>
          <w:rFonts w:hint="eastAsia" w:hAnsi="Cambria Math"/>
          <w:iCs/>
          <w:lang w:eastAsia="zh-CN"/>
        </w:rPr>
        <w:t>，</w:t>
      </w:r>
      <w:r>
        <w:rPr>
          <w:rFonts w:hint="eastAsia" w:hAnsi="Cambria Math"/>
          <w:iCs/>
          <w:lang w:val="en-US" w:eastAsia="zh-CN"/>
        </w:rPr>
        <w:t>我们将</w:t>
      </w:r>
      <m:oMath>
        <m:r>
          <m:rPr/>
          <w:rPr>
            <w:rFonts w:ascii="Cambria Math" w:hAnsi="Cambria Math"/>
            <w:color w:val="auto"/>
          </w:rPr>
          <m:t>LEV(t)</m:t>
        </m:r>
      </m:oMath>
      <w:r>
        <m:rPr/>
        <w:rPr>
          <w:rFonts w:hint="eastAsia" w:hAnsi="Cambria Math"/>
          <w:i w:val="0"/>
          <w:color w:val="auto"/>
          <w:lang w:val="en-US" w:eastAsia="zh-CN"/>
        </w:rPr>
        <w:t>设定</w:t>
      </w:r>
      <w:r>
        <w:rPr>
          <w:rFonts w:hint="eastAsia" w:hAnsi="Cambria Math"/>
        </w:rPr>
        <w:t>为目标函数，当</w:t>
      </w:r>
      <m:oMath>
        <m:r>
          <m:rPr/>
          <w:rPr>
            <w:rFonts w:ascii="Cambria Math" w:hAnsi="Cambria Math"/>
            <w:color w:val="auto"/>
          </w:rPr>
          <m:t>LEV(t)</m:t>
        </m:r>
      </m:oMath>
      <w:r>
        <w:rPr>
          <w:rFonts w:hint="eastAsia" w:hAnsi="Cambria Math"/>
        </w:rPr>
        <w:t>取得最大值时，与其对应的</w:t>
      </w:r>
      <m:oMath>
        <m:r>
          <m:rPr/>
          <w:rPr>
            <w:rFonts w:ascii="Cambria Math" w:hAnsi="Cambria Math"/>
          </w:rPr>
          <m:t>t</m:t>
        </m:r>
      </m:oMath>
      <w:r>
        <w:rPr>
          <w:rFonts w:hint="eastAsia" w:hAnsi="Cambria Math"/>
        </w:rPr>
        <w:t>则为最优轮伐周期长度。</w:t>
      </w:r>
    </w:p>
    <w:p>
      <w:pPr>
        <w:pStyle w:val="3"/>
        <w:spacing w:after="163"/>
        <w:rPr>
          <w:rFonts w:hint="eastAsia"/>
          <w:color w:val="4472C4" w:themeColor="accent1"/>
          <w14:textFill>
            <w14:solidFill>
              <w14:schemeClr w14:val="accent1"/>
            </w14:solidFill>
          </w14:textFill>
        </w:rPr>
      </w:pPr>
      <m:oMath>
        <m:r>
          <m:rPr>
            <m:sty m:val="b"/>
          </m:rPr>
          <w:rPr>
            <w:rFonts w:ascii="Cambria Math" w:hAnsi="Cambria Math"/>
          </w:rPr>
          <m:t>G(t)</m:t>
        </m:r>
      </m:oMath>
      <w:r>
        <w:rPr>
          <w:rFonts w:hint="eastAsia"/>
        </w:rPr>
        <w:t>与</w:t>
      </w:r>
      <m:oMath>
        <m:r>
          <m:rPr>
            <m:sty m:val="b"/>
          </m:rPr>
          <w:rPr>
            <w:rFonts w:ascii="Cambria Math" w:hAnsi="Cambria Math"/>
          </w:rPr>
          <m:t>F(t)</m:t>
        </m:r>
      </m:oMath>
      <w:r>
        <w:rPr>
          <w:rFonts w:hint="eastAsia"/>
          <w:color w:val="4472C4" w:themeColor="accent1"/>
          <w14:textFill>
            <w14:solidFill>
              <w14:schemeClr w14:val="accent1"/>
            </w14:solidFill>
          </w14:textFill>
        </w:rPr>
        <w:t>的评价指标构成与价值评估</w:t>
      </w:r>
    </w:p>
    <w:p>
      <w:pPr>
        <w:ind w:firstLine="480"/>
        <w:jc w:val="center"/>
        <w:rPr>
          <w:color w:val="FF0000"/>
        </w:rPr>
      </w:pPr>
      <w:r>
        <w:rPr>
          <w:rFonts w:hint="eastAsia"/>
          <w:color w:val="FF0000"/>
        </w:rPr>
        <w:t>分类图</w:t>
      </w:r>
    </w:p>
    <w:p>
      <w:pPr>
        <w:ind w:firstLine="480"/>
        <w:jc w:val="center"/>
        <w:rPr>
          <w:color w:val="FF0000"/>
        </w:rPr>
      </w:pPr>
      <w:r>
        <w:rPr>
          <w:rFonts w:hint="eastAsia"/>
          <w:color w:val="FF0000"/>
        </w:rPr>
        <w:t>（下面的缩写、代号可以改最后记得统一）</w:t>
      </w:r>
    </w:p>
    <w:p>
      <w:pPr>
        <w:ind w:firstLine="480"/>
        <w:jc w:val="center"/>
        <w:rPr>
          <w:rFonts w:hint="eastAsia"/>
          <w:color w:val="FF0000"/>
        </w:rPr>
      </w:pPr>
    </w:p>
    <w:p>
      <w:pPr>
        <w:pStyle w:val="4"/>
      </w:pPr>
      <m:oMath>
        <m:r>
          <m:rPr>
            <m:sty m:val="bi"/>
          </m:rPr>
          <w:rPr>
            <w:rFonts w:ascii="Cambria Math" w:hAnsi="Cambria Math"/>
            <w:szCs w:val="21"/>
          </w:rPr>
          <m:t>G(t)</m:t>
        </m:r>
      </m:oMath>
    </w:p>
    <w:p>
      <w:pPr>
        <w:numPr>
          <w:ilvl w:val="0"/>
          <w:numId w:val="13"/>
        </w:numPr>
        <w:ind w:firstLineChars="0"/>
        <w:rPr>
          <w:color w:val="4472C4" w:themeColor="accent1"/>
          <w14:textFill>
            <w14:solidFill>
              <w14:schemeClr w14:val="accent1"/>
            </w14:solidFill>
          </w14:textFill>
        </w:rPr>
      </w:pPr>
      <w:r>
        <w:rPr>
          <w:rFonts w:hint="eastAsia"/>
          <w:color w:val="4472C4" w:themeColor="accent1"/>
          <w14:textFill>
            <w14:solidFill>
              <w14:schemeClr w14:val="accent1"/>
            </w14:solidFill>
          </w14:textFill>
        </w:rPr>
        <w:t>木材生产价值（T</w:t>
      </w:r>
      <w:r>
        <w:rPr>
          <w:color w:val="4472C4" w:themeColor="accent1"/>
          <w14:textFill>
            <w14:solidFill>
              <w14:schemeClr w14:val="accent1"/>
            </w14:solidFill>
          </w14:textFill>
        </w:rPr>
        <w:t>V</w:t>
      </w:r>
      <w:r>
        <w:rPr>
          <w:rFonts w:hint="eastAsia"/>
          <w:color w:val="4472C4" w:themeColor="accent1"/>
          <w14:textFill>
            <w14:solidFill>
              <w14:schemeClr w14:val="accent1"/>
            </w14:solidFill>
          </w14:textFill>
        </w:rPr>
        <w:t>，</w:t>
      </w:r>
      <w:r>
        <w:rPr>
          <w:color w:val="4472C4" w:themeColor="accent1"/>
          <w14:textFill>
            <w14:solidFill>
              <w14:schemeClr w14:val="accent1"/>
            </w14:solidFill>
          </w14:textFill>
        </w:rPr>
        <w:t>t</w:t>
      </w:r>
      <w:r>
        <w:rPr>
          <w:rFonts w:hint="eastAsia"/>
          <w:color w:val="4472C4" w:themeColor="accent1"/>
          <w14:textFill>
            <w14:solidFill>
              <w14:schemeClr w14:val="accent1"/>
            </w14:solidFill>
          </w14:textFill>
        </w:rPr>
        <w:t>imber</w:t>
      </w:r>
      <w:r>
        <w:rPr>
          <w:color w:val="4472C4" w:themeColor="accent1"/>
          <w14:textFill>
            <w14:solidFill>
              <w14:schemeClr w14:val="accent1"/>
            </w14:solidFill>
          </w14:textFill>
        </w:rPr>
        <w:t xml:space="preserve"> v</w:t>
      </w:r>
      <w:r>
        <w:rPr>
          <w:rFonts w:hint="eastAsia"/>
          <w:color w:val="4472C4" w:themeColor="accent1"/>
          <w14:textFill>
            <w14:solidFill>
              <w14:schemeClr w14:val="accent1"/>
            </w14:solidFill>
          </w14:textFill>
        </w:rPr>
        <w:t>alue）</w:t>
      </w:r>
      <w:r>
        <w:rPr>
          <w:color w:val="4472C4" w:themeColor="accent1"/>
          <w14:textFill>
            <w14:solidFill>
              <w14:schemeClr w14:val="accent1"/>
            </w14:solidFill>
          </w14:textFill>
        </w:rPr>
        <w:t xml:space="preserve"> </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
                <w:iCs/>
              </w:rPr>
            </w:pPr>
            <m:oMathPara>
              <m:oMath>
                <m:r>
                  <m:rPr/>
                  <w:rPr>
                    <w:rFonts w:ascii="Cambria Math" w:hAnsi="Cambria Math"/>
                    <w:color w:val="4472C4" w:themeColor="accent1"/>
                    <w14:textFill>
                      <w14:solidFill>
                        <w14:schemeClr w14:val="accent1"/>
                      </w14:solidFill>
                    </w14:textFill>
                  </w:rPr>
                  <m:t>TV=V(t)×S×TR×Pr</m:t>
                </m:r>
              </m:oMath>
            </m:oMathPara>
          </w:p>
        </w:tc>
        <w:tc>
          <w:tcPr>
            <w:tcW w:w="644" w:type="dxa"/>
            <w:vAlign w:val="center"/>
          </w:tcPr>
          <w:p>
            <w:pPr>
              <w:adjustRightInd w:val="0"/>
              <w:snapToGrid w:val="0"/>
              <w:ind w:firstLine="0" w:firstLineChars="0"/>
              <w:jc w:val="center"/>
            </w:pPr>
            <w:r>
              <w:t>(</w:t>
            </w:r>
            <w:r>
              <w:rPr>
                <w:rFonts w:hint="eastAsia"/>
              </w:rPr>
              <w:t>12</w:t>
            </w:r>
            <w:r>
              <w:t>)</w:t>
            </w:r>
          </w:p>
        </w:tc>
      </w:tr>
    </w:tbl>
    <w:p>
      <w:pPr>
        <w:ind w:left="420" w:firstLine="0" w:firstLineChars="0"/>
        <w:rPr>
          <w:iCs/>
          <w:color w:val="4472C4" w:themeColor="accent1"/>
          <w14:textFill>
            <w14:solidFill>
              <w14:schemeClr w14:val="accent1"/>
            </w14:solidFill>
          </w14:textFill>
        </w:rPr>
      </w:pPr>
      <w:r>
        <w:rPr>
          <w:rFonts w:hint="eastAsia"/>
          <w:color w:val="4472C4" w:themeColor="accent1"/>
          <w14:textFill>
            <w14:solidFill>
              <w14:schemeClr w14:val="accent1"/>
            </w14:solidFill>
          </w14:textFill>
        </w:rPr>
        <w:t>其中</w:t>
      </w:r>
      <m:oMath>
        <m:r>
          <m:rPr/>
          <w:rPr>
            <w:rFonts w:ascii="Cambria Math" w:hAnsi="Cambria Math"/>
            <w:color w:val="4472C4" w:themeColor="accent1"/>
            <w14:textFill>
              <w14:solidFill>
                <w14:schemeClr w14:val="accent1"/>
              </w14:solidFill>
            </w14:textFill>
          </w:rPr>
          <m:t>V(t)</m:t>
        </m:r>
      </m:oMath>
      <w:r>
        <w:rPr>
          <w:rFonts w:hint="eastAsia"/>
          <w:iCs/>
          <w:color w:val="4472C4" w:themeColor="accent1"/>
          <w14:textFill>
            <w14:solidFill>
              <w14:schemeClr w14:val="accent1"/>
            </w14:solidFill>
          </w14:textFill>
        </w:rPr>
        <w:t>为单位面积蓄积量，</w:t>
      </w:r>
      <m:oMath>
        <m:r>
          <m:rPr/>
          <w:rPr>
            <w:rFonts w:ascii="Cambria Math" w:hAnsi="Cambria Math"/>
            <w:color w:val="4472C4" w:themeColor="accent1"/>
            <w14:textFill>
              <w14:solidFill>
                <w14:schemeClr w14:val="accent1"/>
              </w14:solidFill>
            </w14:textFill>
          </w:rPr>
          <m:t>S</m:t>
        </m:r>
      </m:oMath>
      <w:r>
        <w:rPr>
          <w:rFonts w:hint="eastAsia"/>
          <w:iCs/>
          <w:color w:val="4472C4" w:themeColor="accent1"/>
          <w14:textFill>
            <w14:solidFill>
              <w14:schemeClr w14:val="accent1"/>
            </w14:solidFill>
          </w14:textFill>
        </w:rPr>
        <w:t>为森林总面积(</w:t>
      </w:r>
      <m:oMath>
        <m:r>
          <m:rPr>
            <m:sty m:val="p"/>
          </m:rPr>
          <w:rPr>
            <w:rFonts w:ascii="Cambria Math" w:hAnsi="Cambria Math"/>
            <w:color w:val="4472C4" w:themeColor="accent1"/>
            <w14:textFill>
              <w14:solidFill>
                <w14:schemeClr w14:val="accent1"/>
              </w14:solidFill>
            </w14:textFill>
          </w:rPr>
          <m:t>h</m:t>
        </m:r>
        <m:sSup>
          <m:sSupPr>
            <m:ctrlPr>
              <w:rPr>
                <w:rFonts w:ascii="Cambria Math" w:hAnsi="Cambria Math"/>
                <w:color w:val="4472C4" w:themeColor="accent1"/>
                <w14:textFill>
                  <w14:solidFill>
                    <w14:schemeClr w14:val="accent1"/>
                  </w14:solidFill>
                </w14:textFill>
              </w:rPr>
            </m:ctrlPr>
          </m:sSupPr>
          <m:e>
            <m:r>
              <m:rPr>
                <m:sty m:val="p"/>
              </m:rPr>
              <w:rPr>
                <w:rFonts w:ascii="Cambria Math" w:hAnsi="Cambria Math"/>
                <w:color w:val="4472C4" w:themeColor="accent1"/>
                <w14:textFill>
                  <w14:solidFill>
                    <w14:schemeClr w14:val="accent1"/>
                  </w14:solidFill>
                </w14:textFill>
              </w:rPr>
              <m:t>m</m:t>
            </m:r>
            <m:ctrlPr>
              <w:rPr>
                <w:rFonts w:ascii="Cambria Math" w:hAnsi="Cambria Math"/>
                <w:color w:val="4472C4" w:themeColor="accent1"/>
                <w14:textFill>
                  <w14:solidFill>
                    <w14:schemeClr w14:val="accent1"/>
                  </w14:solidFill>
                </w14:textFill>
              </w:rPr>
            </m:ctrlPr>
          </m:e>
          <m:sup>
            <m:r>
              <m:rPr>
                <m:sty m:val="p"/>
              </m:rPr>
              <w:rPr>
                <w:rFonts w:ascii="Cambria Math" w:hAnsi="Cambria Math"/>
                <w:color w:val="4472C4" w:themeColor="accent1"/>
                <w14:textFill>
                  <w14:solidFill>
                    <w14:schemeClr w14:val="accent1"/>
                  </w14:solidFill>
                </w14:textFill>
              </w:rPr>
              <m:t>2</m:t>
            </m:r>
            <m:ctrlPr>
              <w:rPr>
                <w:rFonts w:ascii="Cambria Math" w:hAnsi="Cambria Math"/>
                <w:color w:val="4472C4" w:themeColor="accent1"/>
                <w14:textFill>
                  <w14:solidFill>
                    <w14:schemeClr w14:val="accent1"/>
                  </w14:solidFill>
                </w14:textFill>
              </w:rPr>
            </m:ctrlPr>
          </m:sup>
        </m:sSup>
        <m:r>
          <m:rPr/>
          <w:rPr>
            <w:rFonts w:ascii="Cambria Math" w:hAnsi="Cambria Math"/>
            <w:color w:val="4472C4" w:themeColor="accent1"/>
            <w14:textFill>
              <w14:solidFill>
                <w14:schemeClr w14:val="accent1"/>
              </w14:solidFill>
            </w14:textFill>
          </w:rPr>
          <m:t>)</m:t>
        </m:r>
      </m:oMath>
      <w:r>
        <w:rPr>
          <w:rFonts w:hint="eastAsia"/>
          <w:iCs/>
          <w:color w:val="4472C4" w:themeColor="accent1"/>
          <w14:textFill>
            <w14:solidFill>
              <w14:schemeClr w14:val="accent1"/>
            </w14:solidFill>
          </w14:textFill>
        </w:rPr>
        <w:t>，</w:t>
      </w:r>
      <m:oMath>
        <m:r>
          <m:rPr/>
          <w:rPr>
            <w:rFonts w:ascii="Cambria Math" w:hAnsi="Cambria Math"/>
            <w:color w:val="4472C4" w:themeColor="accent1"/>
            <w14:textFill>
              <w14:solidFill>
                <w14:schemeClr w14:val="accent1"/>
              </w14:solidFill>
            </w14:textFill>
          </w:rPr>
          <m:t>TR</m:t>
        </m:r>
      </m:oMath>
      <w:r>
        <w:rPr>
          <w:rFonts w:hint="eastAsia"/>
          <w:iCs/>
          <w:color w:val="4472C4" w:themeColor="accent1"/>
          <w14:textFill>
            <w14:solidFill>
              <w14:schemeClr w14:val="accent1"/>
            </w14:solidFill>
          </w14:textFill>
        </w:rPr>
        <w:t>为开采出材率。</w:t>
      </w:r>
    </w:p>
    <w:p>
      <w:pPr>
        <w:pStyle w:val="18"/>
        <w:numPr>
          <w:ilvl w:val="0"/>
          <w:numId w:val="14"/>
        </w:numPr>
        <w:ind w:firstLineChars="0"/>
        <w:rPr>
          <w:color w:val="4472C4" w:themeColor="accent1"/>
          <w14:textFill>
            <w14:solidFill>
              <w14:schemeClr w14:val="accent1"/>
            </w14:solidFill>
          </w14:textFill>
        </w:rPr>
      </w:pPr>
      <w:r>
        <w:rPr>
          <w:rFonts w:hint="eastAsia"/>
          <w:color w:val="4472C4" w:themeColor="accent1"/>
          <w14:textFill>
            <w14:solidFill>
              <w14:schemeClr w14:val="accent1"/>
            </w14:solidFill>
          </w14:textFill>
        </w:rPr>
        <w:t>产品碳封存价值（</w:t>
      </w:r>
      <w:r>
        <w:rPr>
          <w:color w:val="4472C4" w:themeColor="accent1"/>
          <w14:textFill>
            <w14:solidFill>
              <w14:schemeClr w14:val="accent1"/>
            </w14:solidFill>
          </w14:textFill>
        </w:rPr>
        <w:t>CSV</w:t>
      </w:r>
      <w:r>
        <w:rPr>
          <w:rFonts w:hint="eastAsia"/>
          <w:color w:val="4472C4" w:themeColor="accent1"/>
          <w14:textFill>
            <w14:solidFill>
              <w14:schemeClr w14:val="accent1"/>
            </w14:solidFill>
          </w14:textFill>
        </w:rPr>
        <w:t>，</w:t>
      </w:r>
      <w:r>
        <w:rPr>
          <w:color w:val="4472C4" w:themeColor="accent1"/>
          <w14:textFill>
            <w14:solidFill>
              <w14:schemeClr w14:val="accent1"/>
            </w14:solidFill>
          </w14:textFill>
        </w:rPr>
        <w:t>carbon sequestration v</w:t>
      </w:r>
      <w:r>
        <w:rPr>
          <w:rFonts w:hint="eastAsia"/>
          <w:color w:val="4472C4" w:themeColor="accent1"/>
          <w14:textFill>
            <w14:solidFill>
              <w14:schemeClr w14:val="accent1"/>
            </w14:solidFill>
          </w14:textFill>
        </w:rPr>
        <w:t>alue）</w:t>
      </w:r>
      <w:r>
        <w:rPr>
          <w:color w:val="4472C4" w:themeColor="accent1"/>
          <w14:textFill>
            <w14:solidFill>
              <w14:schemeClr w14:val="accent1"/>
            </w14:solidFill>
          </w14:textFill>
        </w:rPr>
        <w:t xml:space="preserve"> </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
              </w:rPr>
            </w:pPr>
            <w:r>
              <w:rPr>
                <w:rFonts w:hint="eastAsia"/>
                <w:i/>
                <w:color w:val="4472C4" w:themeColor="accent1"/>
                <w14:textFill>
                  <w14:solidFill>
                    <w14:schemeClr w14:val="accent1"/>
                  </w14:solidFill>
                </w14:textFill>
              </w:rPr>
              <w:t>C</w:t>
            </w:r>
            <w:r>
              <w:rPr>
                <w:i/>
                <w:color w:val="4472C4" w:themeColor="accent1"/>
                <w14:textFill>
                  <w14:solidFill>
                    <w14:schemeClr w14:val="accent1"/>
                  </w14:solidFill>
                </w14:textFill>
              </w:rPr>
              <w:t>SV</w:t>
            </w:r>
            <m:oMath>
              <m:r>
                <m:rPr/>
                <w:rPr>
                  <w:rFonts w:ascii="Cambria Math" w:hAnsi="Cambria Math"/>
                  <w:color w:val="4472C4" w:themeColor="accent1"/>
                  <w14:textFill>
                    <w14:solidFill>
                      <w14:schemeClr w14:val="accent1"/>
                    </w14:solidFill>
                  </w14:textFill>
                </w:rPr>
                <m:t>=c(t)×S×Pc</m:t>
              </m:r>
            </m:oMath>
          </w:p>
        </w:tc>
        <w:tc>
          <w:tcPr>
            <w:tcW w:w="644" w:type="dxa"/>
            <w:vAlign w:val="center"/>
          </w:tcPr>
          <w:p>
            <w:pPr>
              <w:adjustRightInd w:val="0"/>
              <w:snapToGrid w:val="0"/>
              <w:ind w:firstLine="0" w:firstLineChars="0"/>
              <w:jc w:val="center"/>
            </w:pPr>
            <w:r>
              <w:t>(</w:t>
            </w:r>
            <w:r>
              <w:rPr>
                <w:rFonts w:hint="eastAsia"/>
              </w:rPr>
              <w:t>12</w:t>
            </w:r>
            <w:r>
              <w:t>)</w:t>
            </w:r>
          </w:p>
        </w:tc>
      </w:tr>
    </w:tbl>
    <w:p>
      <w:pPr>
        <w:ind w:left="420" w:firstLine="0" w:firstLineChars="0"/>
        <w:rPr>
          <w:rFonts w:hint="eastAsia"/>
          <w:color w:val="4472C4" w:themeColor="accent1"/>
          <w14:textFill>
            <w14:solidFill>
              <w14:schemeClr w14:val="accent1"/>
            </w14:solidFill>
          </w14:textFill>
        </w:rPr>
      </w:pPr>
      <m:oMath>
        <m:r>
          <m:rPr/>
          <w:rPr>
            <w:rFonts w:ascii="Cambria Math" w:hAnsi="Cambria Math"/>
            <w:color w:val="4472C4" w:themeColor="accent1"/>
            <w14:textFill>
              <w14:solidFill>
                <w14:schemeClr w14:val="accent1"/>
              </w14:solidFill>
            </w14:textFill>
          </w:rPr>
          <m:t>c(t)</m:t>
        </m:r>
      </m:oMath>
      <w:r>
        <w:rPr>
          <w:rFonts w:hint="eastAsia"/>
          <w:color w:val="4472C4" w:themeColor="accent1"/>
          <w14:textFill>
            <w14:solidFill>
              <w14:schemeClr w14:val="accent1"/>
            </w14:solidFill>
          </w14:textFill>
        </w:rPr>
        <w:t>为单位体积固碳量，P</w:t>
      </w:r>
      <w:r>
        <w:rPr>
          <w:color w:val="4472C4" w:themeColor="accent1"/>
          <w14:textFill>
            <w14:solidFill>
              <w14:schemeClr w14:val="accent1"/>
            </w14:solidFill>
          </w14:textFill>
        </w:rPr>
        <w:t>c</w:t>
      </w:r>
      <w:r>
        <w:rPr>
          <w:rFonts w:hint="eastAsia"/>
          <w:color w:val="4472C4" w:themeColor="accent1"/>
          <w14:textFill>
            <w14:solidFill>
              <w14:schemeClr w14:val="accent1"/>
            </w14:solidFill>
          </w14:textFill>
        </w:rPr>
        <w:t>为碳价。</w:t>
      </w:r>
    </w:p>
    <w:p>
      <w:pPr>
        <w:pStyle w:val="4"/>
      </w:pPr>
      <m:oMath>
        <m:r>
          <m:rPr>
            <m:sty m:val="bi"/>
          </m:rPr>
          <w:rPr>
            <w:rFonts w:ascii="Cambria Math" w:hAnsi="Cambria Math"/>
            <w:szCs w:val="21"/>
          </w:rPr>
          <m:t>F(t)</m:t>
        </m:r>
      </m:oMath>
    </w:p>
    <w:p>
      <w:pPr>
        <w:numPr>
          <w:ilvl w:val="0"/>
          <w:numId w:val="15"/>
        </w:numPr>
        <w:ind w:firstLineChars="0"/>
        <w:rPr>
          <w:color w:val="4472C4" w:themeColor="accent1"/>
          <w14:textFill>
            <w14:solidFill>
              <w14:schemeClr w14:val="accent1"/>
            </w14:solidFill>
          </w14:textFill>
        </w:rPr>
      </w:pPr>
      <w:r>
        <w:rPr>
          <w:rFonts w:hint="eastAsia" w:hAnsi="Cambria Math"/>
          <w:color w:val="4472C4" w:themeColor="accent1"/>
          <w14:textFill>
            <w14:solidFill>
              <w14:schemeClr w14:val="accent1"/>
            </w14:solidFill>
          </w14:textFill>
        </w:rPr>
        <w:t>水土涵养价值（W</w:t>
      </w:r>
      <w:r>
        <w:rPr>
          <w:rFonts w:hAnsi="Cambria Math"/>
          <w:color w:val="4472C4" w:themeColor="accent1"/>
          <w14:textFill>
            <w14:solidFill>
              <w14:schemeClr w14:val="accent1"/>
            </w14:solidFill>
          </w14:textFill>
        </w:rPr>
        <w:t>V</w:t>
      </w:r>
      <w:r>
        <w:rPr>
          <w:rFonts w:hint="eastAsia" w:hAnsi="Cambria Math"/>
          <w:color w:val="4472C4" w:themeColor="accent1"/>
          <w14:textFill>
            <w14:solidFill>
              <w14:schemeClr w14:val="accent1"/>
            </w14:solidFill>
          </w14:textFill>
        </w:rPr>
        <w:t>，water</w:t>
      </w:r>
      <w:r>
        <w:rPr>
          <w:rFonts w:hAnsi="Cambria Math"/>
          <w:color w:val="4472C4" w:themeColor="accent1"/>
          <w14:textFill>
            <w14:solidFill>
              <w14:schemeClr w14:val="accent1"/>
            </w14:solidFill>
          </w14:textFill>
        </w:rPr>
        <w:t xml:space="preserve"> </w:t>
      </w:r>
      <w:r>
        <w:rPr>
          <w:rFonts w:hint="eastAsia" w:hAnsi="Cambria Math"/>
          <w:color w:val="4472C4" w:themeColor="accent1"/>
          <w14:textFill>
            <w14:solidFill>
              <w14:schemeClr w14:val="accent1"/>
            </w14:solidFill>
          </w14:textFill>
        </w:rPr>
        <w:t>value）</w:t>
      </w:r>
    </w:p>
    <w:p>
      <w:pPr>
        <w:ind w:left="420" w:firstLine="0" w:firstLineChars="0"/>
        <w:rPr>
          <w:iCs/>
          <w:color w:val="4472C4" w:themeColor="accent1"/>
          <w14:textFill>
            <w14:solidFill>
              <w14:schemeClr w14:val="accent1"/>
            </w14:solidFill>
          </w14:textFill>
        </w:rPr>
      </w:pPr>
      <w:r>
        <w:rPr>
          <w:rFonts w:hint="eastAsia"/>
          <w:color w:val="4472C4" w:themeColor="accent1"/>
          <w14:textFill>
            <w14:solidFill>
              <w14:schemeClr w14:val="accent1"/>
            </w14:solidFill>
          </w14:textFill>
        </w:rPr>
        <w:t>该项指标影响因素比较复杂，与森林所在的经度Lo（°）纬度La（°），年平均降水量Ra</w:t>
      </w:r>
      <w:r>
        <w:rPr>
          <w:color w:val="4472C4" w:themeColor="accent1"/>
          <w14:textFill>
            <w14:solidFill>
              <w14:schemeClr w14:val="accent1"/>
            </w14:solidFill>
          </w14:textFill>
        </w:rPr>
        <w:t>in</w:t>
      </w:r>
      <w:r>
        <w:rPr>
          <w:rFonts w:hint="eastAsia"/>
          <w:color w:val="4472C4" w:themeColor="accent1"/>
          <w14:textFill>
            <w14:solidFill>
              <w14:schemeClr w14:val="accent1"/>
            </w14:solidFill>
          </w14:textFill>
        </w:rPr>
        <w:t>（m</w:t>
      </w:r>
      <w:r>
        <w:rPr>
          <w:color w:val="4472C4" w:themeColor="accent1"/>
          <w14:textFill>
            <w14:solidFill>
              <w14:schemeClr w14:val="accent1"/>
            </w14:solidFill>
          </w14:textFill>
        </w:rPr>
        <w:t>m</w:t>
      </w:r>
      <w:r>
        <w:rPr>
          <w:rFonts w:hint="eastAsia"/>
          <w:color w:val="4472C4" w:themeColor="accent1"/>
          <w14:textFill>
            <w14:solidFill>
              <w14:schemeClr w14:val="accent1"/>
            </w14:solidFill>
          </w14:textFill>
        </w:rPr>
        <w:t>），年平均风速W</w:t>
      </w:r>
      <w:r>
        <w:rPr>
          <w:color w:val="4472C4" w:themeColor="accent1"/>
          <w14:textFill>
            <w14:solidFill>
              <w14:schemeClr w14:val="accent1"/>
            </w14:solidFill>
          </w14:textFill>
        </w:rPr>
        <w:t>ind</w:t>
      </w:r>
      <w:r>
        <w:rPr>
          <w:rFonts w:hint="eastAsia"/>
          <w:color w:val="4472C4" w:themeColor="accent1"/>
          <w14:textFill>
            <w14:solidFill>
              <w14:schemeClr w14:val="accent1"/>
            </w14:solidFill>
          </w14:textFill>
        </w:rPr>
        <w:t>（m/s），平均海拔A</w:t>
      </w:r>
      <w:r>
        <w:rPr>
          <w:color w:val="4472C4" w:themeColor="accent1"/>
          <w14:textFill>
            <w14:solidFill>
              <w14:schemeClr w14:val="accent1"/>
            </w14:solidFill>
          </w14:textFill>
        </w:rPr>
        <w:t>l</w:t>
      </w:r>
      <w:r>
        <w:rPr>
          <w:rFonts w:hint="eastAsia"/>
          <w:color w:val="4472C4" w:themeColor="accent1"/>
          <w14:textFill>
            <w14:solidFill>
              <w14:schemeClr w14:val="accent1"/>
            </w14:solidFill>
          </w14:textFill>
        </w:rPr>
        <w:t>（</w:t>
      </w:r>
      <m:oMath>
        <m:r>
          <m:rPr/>
          <w:rPr>
            <w:rFonts w:hint="eastAsia" w:ascii="Cambria Math" w:hAnsi="Cambria Math"/>
            <w:color w:val="4472C4" w:themeColor="accent1"/>
            <w14:textFill>
              <w14:solidFill>
                <w14:schemeClr w14:val="accent1"/>
              </w14:solidFill>
            </w14:textFill>
          </w:rPr>
          <m:t>m</m:t>
        </m:r>
        <m:r>
          <m:rPr/>
          <w:rPr>
            <w:rFonts w:ascii="Cambria Math" w:hAnsi="Cambria Math"/>
            <w:color w:val="4472C4" w:themeColor="accent1"/>
            <w14:textFill>
              <w14:solidFill>
                <w14:schemeClr w14:val="accent1"/>
              </w14:solidFill>
            </w14:textFill>
          </w:rPr>
          <m:t>)</m:t>
        </m:r>
      </m:oMath>
      <w:r>
        <w:rPr>
          <w:rFonts w:hint="eastAsia"/>
          <w:color w:val="4472C4" w:themeColor="accent1"/>
          <w14:textFill>
            <w14:solidFill>
              <w14:schemeClr w14:val="accent1"/>
            </w14:solidFill>
          </w14:textFill>
        </w:rPr>
        <w:t>，蓄积量</w:t>
      </w:r>
      <m:oMath>
        <m:r>
          <m:rPr/>
          <w:rPr>
            <w:rFonts w:ascii="Cambria Math" w:hAnsi="Cambria Math"/>
            <w:color w:val="4472C4" w:themeColor="accent1"/>
            <w14:textFill>
              <w14:solidFill>
                <w14:schemeClr w14:val="accent1"/>
              </w14:solidFill>
            </w14:textFill>
          </w:rPr>
          <m:t>V(t)</m:t>
        </m:r>
      </m:oMath>
      <w:r>
        <w:rPr>
          <w:rFonts w:hint="eastAsia"/>
          <w:iCs/>
          <w:color w:val="4472C4" w:themeColor="accent1"/>
          <w14:textFill>
            <w14:solidFill>
              <w14:schemeClr w14:val="accent1"/>
            </w14:solidFill>
          </w14:textFill>
        </w:rPr>
        <w:t>有关。通过回归分析法我们可以得到一个经验公式[</w:t>
      </w:r>
      <w:r>
        <w:rPr>
          <w:rFonts w:hint="eastAsia"/>
          <w:iCs/>
          <w:color w:val="FF0000"/>
        </w:rPr>
        <w:t>文献</w:t>
      </w:r>
      <w:r>
        <w:rPr>
          <w:iCs/>
          <w:color w:val="4472C4" w:themeColor="accent1"/>
          <w14:textFill>
            <w14:solidFill>
              <w14:schemeClr w14:val="accent1"/>
            </w14:solidFill>
          </w14:textFill>
        </w:rPr>
        <w:t>]</w:t>
      </w:r>
      <w:r>
        <w:rPr>
          <w:rFonts w:hint="eastAsia"/>
          <w:iCs/>
          <w:color w:val="4472C4" w:themeColor="accent1"/>
          <w14:textFill>
            <w14:solidFill>
              <w14:schemeClr w14:val="accent1"/>
            </w14:solidFill>
          </w14:textFill>
        </w:rPr>
        <w:t>：</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64"/>
        <w:gridCol w:w="5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
                <w:iCs/>
              </w:rPr>
            </w:pPr>
            <m:oMathPara>
              <m:oMath>
                <m:r>
                  <m:rPr/>
                  <w:rPr>
                    <w:rFonts w:ascii="Cambria Math" w:hAnsi="Cambria Math"/>
                    <w:color w:val="4472C4" w:themeColor="accent1"/>
                    <w14:textFill>
                      <w14:solidFill>
                        <w14:schemeClr w14:val="accent1"/>
                      </w14:solidFill>
                    </w14:textFill>
                  </w:rPr>
                  <m:t>WV=116.599−0.0629Lo−1.4154La−0.0203Al−0.0004Rain−9.8838Wind−0.0008V(t)×S</m:t>
                </m:r>
              </m:oMath>
            </m:oMathPara>
          </w:p>
        </w:tc>
        <w:tc>
          <w:tcPr>
            <w:tcW w:w="644" w:type="dxa"/>
            <w:vAlign w:val="center"/>
          </w:tcPr>
          <w:p>
            <w:pPr>
              <w:adjustRightInd w:val="0"/>
              <w:snapToGrid w:val="0"/>
              <w:ind w:firstLine="0" w:firstLineChars="0"/>
              <w:jc w:val="center"/>
            </w:pPr>
            <w:r>
              <w:t>(</w:t>
            </w:r>
            <w:r>
              <w:rPr>
                <w:rFonts w:hint="eastAsia"/>
              </w:rPr>
              <w:t>12</w:t>
            </w:r>
            <w:r>
              <w:t>)</w:t>
            </w:r>
          </w:p>
        </w:tc>
      </w:tr>
    </w:tbl>
    <w:p>
      <w:pPr>
        <w:ind w:firstLine="0" w:firstLineChars="0"/>
        <w:rPr>
          <w:rFonts w:hint="eastAsia"/>
          <w:color w:val="4472C4" w:themeColor="accent1"/>
          <w14:textFill>
            <w14:solidFill>
              <w14:schemeClr w14:val="accent1"/>
            </w14:solidFill>
          </w14:textFill>
        </w:rPr>
      </w:pPr>
    </w:p>
    <w:p>
      <w:pPr>
        <w:numPr>
          <w:ilvl w:val="0"/>
          <w:numId w:val="15"/>
        </w:numPr>
        <w:ind w:firstLineChars="0"/>
        <w:rPr>
          <w:color w:val="4472C4" w:themeColor="accent1"/>
          <w14:textFill>
            <w14:solidFill>
              <w14:schemeClr w14:val="accent1"/>
            </w14:solidFill>
          </w14:textFill>
        </w:rPr>
      </w:pPr>
      <w:r>
        <w:rPr>
          <w:rFonts w:hint="eastAsia" w:hAnsi="Cambria Math"/>
          <w:color w:val="4472C4" w:themeColor="accent1"/>
          <w14:textFill>
            <w14:solidFill>
              <w14:schemeClr w14:val="accent1"/>
            </w14:solidFill>
          </w14:textFill>
        </w:rPr>
        <w:t>休闲娱乐价值（E</w:t>
      </w:r>
      <w:r>
        <w:rPr>
          <w:rFonts w:hAnsi="Cambria Math"/>
          <w:color w:val="4472C4" w:themeColor="accent1"/>
          <w14:textFill>
            <w14:solidFill>
              <w14:schemeClr w14:val="accent1"/>
            </w14:solidFill>
          </w14:textFill>
        </w:rPr>
        <w:t>V</w:t>
      </w:r>
      <w:r>
        <w:rPr>
          <w:rFonts w:hint="eastAsia" w:hAnsi="Cambria Math"/>
          <w:color w:val="4472C4" w:themeColor="accent1"/>
          <w14:textFill>
            <w14:solidFill>
              <w14:schemeClr w14:val="accent1"/>
            </w14:solidFill>
          </w14:textFill>
        </w:rPr>
        <w:t>，entertainment</w:t>
      </w:r>
      <w:r>
        <w:rPr>
          <w:rFonts w:hAnsi="Cambria Math"/>
          <w:color w:val="4472C4" w:themeColor="accent1"/>
          <w14:textFill>
            <w14:solidFill>
              <w14:schemeClr w14:val="accent1"/>
            </w14:solidFill>
          </w14:textFill>
        </w:rPr>
        <w:t xml:space="preserve"> </w:t>
      </w:r>
      <w:r>
        <w:rPr>
          <w:rFonts w:hint="eastAsia" w:hAnsi="Cambria Math"/>
          <w:color w:val="4472C4" w:themeColor="accent1"/>
          <w14:textFill>
            <w14:solidFill>
              <w14:schemeClr w14:val="accent1"/>
            </w14:solidFill>
          </w14:textFill>
        </w:rPr>
        <w:t>value）</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rPr>
                <w:rFonts w:hAnsi="Cambria Math"/>
                <w:i/>
                <w:iCs/>
              </w:rPr>
            </w:pPr>
            <m:oMathPara>
              <m:oMath>
                <m:r>
                  <m:rPr/>
                  <w:rPr>
                    <w:rFonts w:ascii="Cambria Math" w:hAnsi="Cambria Math"/>
                    <w:color w:val="4472C4" w:themeColor="accent1"/>
                    <w14:textFill>
                      <w14:solidFill>
                        <w14:schemeClr w14:val="accent1"/>
                      </w14:solidFill>
                    </w14:textFill>
                  </w:rPr>
                  <m:t>EV=EP×V(t)×S</m:t>
                </m:r>
              </m:oMath>
            </m:oMathPara>
          </w:p>
        </w:tc>
        <w:tc>
          <w:tcPr>
            <w:tcW w:w="644" w:type="dxa"/>
            <w:vAlign w:val="center"/>
          </w:tcPr>
          <w:p>
            <w:pPr>
              <w:adjustRightInd w:val="0"/>
              <w:snapToGrid w:val="0"/>
              <w:ind w:firstLine="0" w:firstLineChars="0"/>
              <w:jc w:val="center"/>
            </w:pPr>
            <w:r>
              <w:t>(</w:t>
            </w:r>
            <w:r>
              <w:rPr>
                <w:rFonts w:hint="eastAsia"/>
              </w:rPr>
              <w:t>12</w:t>
            </w:r>
            <w:r>
              <w:t>)</w:t>
            </w:r>
          </w:p>
        </w:tc>
      </w:tr>
    </w:tbl>
    <w:p>
      <w:pPr>
        <w:ind w:left="420" w:firstLine="0" w:firstLineChars="0"/>
        <w:rPr>
          <w:color w:val="4472C4" w:themeColor="accent1"/>
          <w14:textFill>
            <w14:solidFill>
              <w14:schemeClr w14:val="accent1"/>
            </w14:solidFill>
          </w14:textFill>
        </w:rPr>
      </w:pPr>
      <w:r>
        <w:rPr>
          <w:rFonts w:hint="eastAsia"/>
          <w:color w:val="4472C4" w:themeColor="accent1"/>
          <w14:textFill>
            <w14:solidFill>
              <w14:schemeClr w14:val="accent1"/>
            </w14:solidFill>
          </w14:textFill>
        </w:rPr>
        <w:t>其中E</w:t>
      </w:r>
      <w:r>
        <w:rPr>
          <w:color w:val="4472C4" w:themeColor="accent1"/>
          <w14:textFill>
            <w14:solidFill>
              <w14:schemeClr w14:val="accent1"/>
            </w14:solidFill>
          </w14:textFill>
        </w:rPr>
        <w:t>P</w:t>
      </w:r>
      <w:r>
        <w:rPr>
          <w:rFonts w:hint="eastAsia"/>
          <w:color w:val="4472C4" w:themeColor="accent1"/>
          <w14:textFill>
            <w14:solidFill>
              <w14:schemeClr w14:val="accent1"/>
            </w14:solidFill>
          </w14:textFill>
        </w:rPr>
        <w:t>为单位蓄积量林业旅游与休闲服务产值。</w:t>
      </w:r>
    </w:p>
    <w:p>
      <w:pPr>
        <w:numPr>
          <w:ilvl w:val="0"/>
          <w:numId w:val="15"/>
        </w:numPr>
        <w:ind w:firstLineChars="0"/>
        <w:rPr>
          <w:color w:val="4472C4" w:themeColor="accent1"/>
          <w14:textFill>
            <w14:solidFill>
              <w14:schemeClr w14:val="accent1"/>
            </w14:solidFill>
          </w14:textFill>
        </w:rPr>
      </w:pPr>
      <w:r>
        <w:rPr>
          <w:rFonts w:hint="eastAsia" w:hAnsi="Cambria Math"/>
          <w:color w:val="4472C4" w:themeColor="accent1"/>
          <w14:textFill>
            <w14:solidFill>
              <w14:schemeClr w14:val="accent1"/>
            </w14:solidFill>
          </w14:textFill>
        </w:rPr>
        <w:t>固碳释氧价值（W</w:t>
      </w:r>
      <w:r>
        <w:rPr>
          <w:rFonts w:hAnsi="Cambria Math"/>
          <w:color w:val="4472C4" w:themeColor="accent1"/>
          <w14:textFill>
            <w14:solidFill>
              <w14:schemeClr w14:val="accent1"/>
            </w14:solidFill>
          </w14:textFill>
        </w:rPr>
        <w:t>V</w:t>
      </w:r>
      <w:r>
        <w:rPr>
          <w:rFonts w:hint="eastAsia" w:hAnsi="Cambria Math"/>
          <w:color w:val="4472C4" w:themeColor="accent1"/>
          <w14:textFill>
            <w14:solidFill>
              <w14:schemeClr w14:val="accent1"/>
            </w14:solidFill>
          </w14:textFill>
        </w:rPr>
        <w:t>，water</w:t>
      </w:r>
      <w:r>
        <w:rPr>
          <w:rFonts w:hAnsi="Cambria Math"/>
          <w:color w:val="4472C4" w:themeColor="accent1"/>
          <w14:textFill>
            <w14:solidFill>
              <w14:schemeClr w14:val="accent1"/>
            </w14:solidFill>
          </w14:textFill>
        </w:rPr>
        <w:t xml:space="preserve"> </w:t>
      </w:r>
      <w:r>
        <w:rPr>
          <w:rFonts w:hint="eastAsia" w:hAnsi="Cambria Math"/>
          <w:color w:val="4472C4" w:themeColor="accent1"/>
          <w14:textFill>
            <w14:solidFill>
              <w14:schemeClr w14:val="accent1"/>
            </w14:solidFill>
          </w14:textFill>
        </w:rPr>
        <w:t>value）</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hAnsi="Cambria Math"/>
                <w:i/>
                <w:iCs/>
              </w:rPr>
            </w:pPr>
            <m:oMathPara>
              <m:oMath>
                <m:r>
                  <m:rPr/>
                  <w:rPr>
                    <w:rFonts w:ascii="Cambria Math" w:hAnsi="Cambria Math"/>
                    <w:color w:val="4472C4" w:themeColor="accent1"/>
                    <w14:textFill>
                      <w14:solidFill>
                        <w14:schemeClr w14:val="accent1"/>
                      </w14:solidFill>
                    </w14:textFill>
                  </w:rPr>
                  <m:t>WV=S×M(t)×Pc+S×R(t)×Po</m:t>
                </m:r>
              </m:oMath>
            </m:oMathPara>
          </w:p>
        </w:tc>
        <w:tc>
          <w:tcPr>
            <w:tcW w:w="644" w:type="dxa"/>
            <w:vAlign w:val="center"/>
          </w:tcPr>
          <w:p>
            <w:pPr>
              <w:adjustRightInd w:val="0"/>
              <w:snapToGrid w:val="0"/>
              <w:ind w:firstLine="0" w:firstLineChars="0"/>
              <w:jc w:val="center"/>
            </w:pPr>
            <w:r>
              <w:t>(</w:t>
            </w:r>
            <w:r>
              <w:rPr>
                <w:rFonts w:hint="eastAsia"/>
              </w:rPr>
              <w:t>12</w:t>
            </w:r>
            <w:r>
              <w:t>)</w:t>
            </w:r>
          </w:p>
        </w:tc>
      </w:tr>
    </w:tbl>
    <w:p>
      <w:pPr>
        <w:ind w:left="420" w:firstLine="0" w:firstLineChars="0"/>
        <w:rPr>
          <w:rFonts w:hint="eastAsia"/>
          <w:color w:val="4472C4" w:themeColor="accent1"/>
          <w14:textFill>
            <w14:solidFill>
              <w14:schemeClr w14:val="accent1"/>
            </w14:solidFill>
          </w14:textFill>
        </w:rPr>
      </w:pPr>
      <m:oMath>
        <m:r>
          <m:rPr/>
          <w:rPr>
            <w:rFonts w:ascii="Cambria Math" w:hAnsi="Cambria Math"/>
            <w:color w:val="4472C4" w:themeColor="accent1"/>
            <w14:textFill>
              <w14:solidFill>
                <w14:schemeClr w14:val="accent1"/>
              </w14:solidFill>
            </w14:textFill>
          </w:rPr>
          <m:t>M(t)</m:t>
        </m:r>
      </m:oMath>
      <w:r>
        <w:rPr>
          <w:rFonts w:hint="eastAsia"/>
          <w:iCs/>
          <w:color w:val="4472C4" w:themeColor="accent1"/>
          <w14:textFill>
            <w14:solidFill>
              <w14:schemeClr w14:val="accent1"/>
            </w14:solidFill>
          </w14:textFill>
        </w:rPr>
        <w:t>为单位面积二氧化碳吸收量</w:t>
      </w:r>
      <m:oMath>
        <m:r>
          <m:rPr>
            <m:sty m:val="p"/>
          </m:rPr>
          <w:rPr>
            <w:rFonts w:ascii="Cambria Math" w:hAnsi="Cambria Math"/>
            <w:color w:val="4472C4" w:themeColor="accent1"/>
            <w14:textFill>
              <w14:solidFill>
                <w14:schemeClr w14:val="accent1"/>
              </w14:solidFill>
            </w14:textFill>
          </w:rPr>
          <m:t>(t/h</m:t>
        </m:r>
        <m:sSup>
          <m:sSupPr>
            <m:ctrlPr>
              <w:rPr>
                <w:rFonts w:ascii="Cambria Math" w:hAnsi="Cambria Math"/>
                <w:color w:val="4472C4" w:themeColor="accent1"/>
                <w14:textFill>
                  <w14:solidFill>
                    <w14:schemeClr w14:val="accent1"/>
                  </w14:solidFill>
                </w14:textFill>
              </w:rPr>
            </m:ctrlPr>
          </m:sSupPr>
          <m:e>
            <m:r>
              <m:rPr>
                <m:sty m:val="p"/>
              </m:rPr>
              <w:rPr>
                <w:rFonts w:ascii="Cambria Math" w:hAnsi="Cambria Math"/>
                <w:color w:val="4472C4" w:themeColor="accent1"/>
                <w14:textFill>
                  <w14:solidFill>
                    <w14:schemeClr w14:val="accent1"/>
                  </w14:solidFill>
                </w14:textFill>
              </w:rPr>
              <m:t>m</m:t>
            </m:r>
            <m:ctrlPr>
              <w:rPr>
                <w:rFonts w:ascii="Cambria Math" w:hAnsi="Cambria Math"/>
                <w:color w:val="4472C4" w:themeColor="accent1"/>
                <w14:textFill>
                  <w14:solidFill>
                    <w14:schemeClr w14:val="accent1"/>
                  </w14:solidFill>
                </w14:textFill>
              </w:rPr>
            </m:ctrlPr>
          </m:e>
          <m:sup>
            <m:r>
              <m:rPr>
                <m:sty m:val="p"/>
              </m:rPr>
              <w:rPr>
                <w:rFonts w:ascii="Cambria Math" w:hAnsi="Cambria Math"/>
                <w:color w:val="4472C4" w:themeColor="accent1"/>
                <w14:textFill>
                  <w14:solidFill>
                    <w14:schemeClr w14:val="accent1"/>
                  </w14:solidFill>
                </w14:textFill>
              </w:rPr>
              <m:t>2</m:t>
            </m:r>
            <m:ctrlPr>
              <w:rPr>
                <w:rFonts w:ascii="Cambria Math" w:hAnsi="Cambria Math"/>
                <w:color w:val="4472C4" w:themeColor="accent1"/>
                <w14:textFill>
                  <w14:solidFill>
                    <w14:schemeClr w14:val="accent1"/>
                  </w14:solidFill>
                </w14:textFill>
              </w:rPr>
            </m:ctrlPr>
          </m:sup>
        </m:sSup>
        <m:r>
          <m:rPr>
            <m:sty m:val="p"/>
          </m:rPr>
          <w:rPr>
            <w:rFonts w:ascii="Cambria Math" w:hAnsi="Cambria Math"/>
            <w:color w:val="4472C4" w:themeColor="accent1"/>
            <w14:textFill>
              <w14:solidFill>
                <w14:schemeClr w14:val="accent1"/>
              </w14:solidFill>
            </w14:textFill>
          </w:rPr>
          <m:t>)</m:t>
        </m:r>
      </m:oMath>
      <w:r>
        <w:rPr>
          <w:rFonts w:hint="eastAsia"/>
          <w:iCs/>
          <w:color w:val="4472C4" w:themeColor="accent1"/>
          <w14:textFill>
            <w14:solidFill>
              <w14:schemeClr w14:val="accent1"/>
            </w14:solidFill>
          </w14:textFill>
        </w:rPr>
        <w:t>，</w:t>
      </w:r>
      <m:oMath>
        <m:r>
          <m:rPr/>
          <w:rPr>
            <w:rFonts w:ascii="Cambria Math" w:hAnsi="Cambria Math"/>
            <w:color w:val="4472C4" w:themeColor="accent1"/>
            <w14:textFill>
              <w14:solidFill>
                <w14:schemeClr w14:val="accent1"/>
              </w14:solidFill>
            </w14:textFill>
          </w:rPr>
          <m:t>R(t)</m:t>
        </m:r>
      </m:oMath>
      <w:r>
        <w:rPr>
          <w:rFonts w:hint="eastAsia"/>
          <w:iCs/>
          <w:color w:val="4472C4" w:themeColor="accent1"/>
          <w14:textFill>
            <w14:solidFill>
              <w14:schemeClr w14:val="accent1"/>
            </w14:solidFill>
          </w14:textFill>
        </w:rPr>
        <w:t>为单位面积释氧量，</w:t>
      </w:r>
      <m:oMath>
        <m:r>
          <m:rPr/>
          <w:rPr>
            <w:rFonts w:ascii="Cambria Math" w:hAnsi="Cambria Math"/>
            <w:color w:val="4472C4" w:themeColor="accent1"/>
            <w14:textFill>
              <w14:solidFill>
                <w14:schemeClr w14:val="accent1"/>
              </w14:solidFill>
            </w14:textFill>
          </w:rPr>
          <m:t>Pc</m:t>
        </m:r>
      </m:oMath>
      <w:r>
        <w:rPr>
          <w:rFonts w:hint="eastAsia"/>
          <w:iCs/>
          <w:color w:val="4472C4" w:themeColor="accent1"/>
          <w14:textFill>
            <w14:solidFill>
              <w14:schemeClr w14:val="accent1"/>
            </w14:solidFill>
          </w14:textFill>
        </w:rPr>
        <w:t>、</w:t>
      </w:r>
      <m:oMath>
        <m:r>
          <m:rPr/>
          <w:rPr>
            <w:rFonts w:ascii="Cambria Math" w:hAnsi="Cambria Math"/>
            <w:color w:val="4472C4" w:themeColor="accent1"/>
            <w14:textFill>
              <w14:solidFill>
                <w14:schemeClr w14:val="accent1"/>
              </w14:solidFill>
            </w14:textFill>
          </w:rPr>
          <m:t>Po</m:t>
        </m:r>
      </m:oMath>
      <w:r>
        <w:rPr>
          <w:rFonts w:hint="eastAsia"/>
          <w:iCs/>
          <w:color w:val="4472C4" w:themeColor="accent1"/>
          <w14:textFill>
            <w14:solidFill>
              <w14:schemeClr w14:val="accent1"/>
            </w14:solidFill>
          </w14:textFill>
        </w:rPr>
        <w:t>分别为碳价与氧价（元/t）</w:t>
      </w:r>
    </w:p>
    <w:p>
      <w:pPr>
        <w:ind w:left="420" w:firstLine="0" w:firstLineChars="0"/>
        <w:rPr>
          <w:rFonts w:hint="eastAsia"/>
          <w:color w:val="4472C4" w:themeColor="accent1"/>
          <w14:textFill>
            <w14:solidFill>
              <w14:schemeClr w14:val="accent1"/>
            </w14:solidFill>
          </w14:textFill>
        </w:rPr>
      </w:pPr>
      <w:r>
        <w:rPr>
          <w:rFonts w:hint="eastAsia"/>
          <w:color w:val="4472C4" w:themeColor="accent1"/>
          <w14:textFill>
            <w14:solidFill>
              <w14:schemeClr w14:val="accent1"/>
            </w14:solidFill>
          </w14:textFill>
        </w:rPr>
        <w:t>通过蓄积量，我们可以把所有量化后的指标都表示为关于树龄的函数，即可通过Hartman理论中的目标函数求解</w:t>
      </w:r>
      <w:r>
        <w:rPr>
          <w:rFonts w:hint="eastAsia" w:hAnsi="Cambria Math"/>
          <w:color w:val="4472C4" w:themeColor="accent1"/>
          <w14:textFill>
            <w14:solidFill>
              <w14:schemeClr w14:val="accent1"/>
            </w14:solidFill>
          </w14:textFill>
        </w:rPr>
        <w:t>最优轮伐周期t。</w:t>
      </w:r>
    </w:p>
    <w:p>
      <w:pPr>
        <w:pStyle w:val="3"/>
        <w:spacing w:after="163"/>
      </w:pPr>
      <w:r>
        <w:rPr>
          <w:rFonts w:hint="eastAsia"/>
        </w:rPr>
        <w:t>模型可能出现的不同结果</w:t>
      </w:r>
      <w:r>
        <w:rPr>
          <w:rFonts w:hint="eastAsia"/>
          <w:color w:val="4472C4" w:themeColor="accent1"/>
          <w14:textFill>
            <w14:solidFill>
              <w14:schemeClr w14:val="accent1"/>
            </w14:solidFill>
          </w14:textFill>
        </w:rPr>
        <w:t>（用hartman模型在理论上解释即可）</w:t>
      </w:r>
    </w:p>
    <w:p>
      <w:pPr>
        <w:pStyle w:val="3"/>
        <w:numPr>
          <w:ilvl w:val="1"/>
          <w:numId w:val="0"/>
        </w:numPr>
        <w:spacing w:after="163"/>
        <w:rPr>
          <w:highlight w:val="yellow"/>
        </w:rPr>
      </w:pPr>
      <w:r>
        <w:rPr>
          <w:highlight w:val="yellow"/>
        </w:rPr>
        <w:t>The Establishment of Model 1</w:t>
      </w:r>
      <w:bookmarkEnd w:id="19"/>
      <w:bookmarkEnd w:id="20"/>
    </w:p>
    <w:p>
      <w:pPr>
        <w:ind w:firstLine="480"/>
        <w:rPr>
          <w:color w:val="FF0000"/>
        </w:rPr>
      </w:pPr>
      <w:r>
        <w:rPr>
          <w:rFonts w:hint="eastAsia"/>
          <w:color w:val="FF000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pPr>
      <w:r>
        <w:rPr>
          <w:rFonts w:hint="eastAsia"/>
          <w:color w:val="FF0000"/>
        </w:rPr>
        <w:t>如果需要用公式的话，可以复制下面这个隐藏的表格，并粘贴到你需要的地方，这个公式的编号会同步更新。</w:t>
      </w:r>
    </w:p>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p>
      <w:pPr>
        <w:pStyle w:val="3"/>
        <w:spacing w:after="163"/>
        <w:rPr>
          <w:highlight w:val="yellow"/>
        </w:rPr>
      </w:pPr>
      <w:bookmarkStart w:id="21" w:name="_Toc58505779"/>
      <w:bookmarkStart w:id="22" w:name="_Toc58786703"/>
      <w:r>
        <w:rPr>
          <w:highlight w:val="yellow"/>
        </w:rPr>
        <w:t>The Solution of Model 1</w:t>
      </w:r>
      <w:bookmarkEnd w:id="21"/>
      <w:bookmarkEnd w:id="22"/>
    </w:p>
    <w:p>
      <w:pPr>
        <w:ind w:firstLine="480"/>
        <w:rPr>
          <w:color w:val="FF0000"/>
        </w:rPr>
      </w:pPr>
      <w:r>
        <w:rPr>
          <w:rFonts w:hint="eastAsia"/>
          <w:color w:val="FF000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ind w:firstLine="480"/>
        <w:rPr>
          <w:color w:val="FF0000"/>
        </w:rPr>
      </w:pPr>
      <w:r>
        <w:rPr>
          <w:rFonts w:hint="eastAsia"/>
          <w:color w:val="FF0000"/>
        </w:rPr>
        <w:t>同样的，很少有论文直接用“模型求解”作为这部分的标题，大家可以根据得到的结论来合理设计这里的标题。</w:t>
      </w:r>
    </w:p>
    <w:p>
      <w:pPr>
        <w:ind w:firstLine="480"/>
      </w:pPr>
      <w:r>
        <w:rPr>
          <w:rFonts w:hint="eastAsia"/>
          <w:color w:val="FF0000"/>
        </w:rPr>
        <w:t>另外，很多美赛论文对于模型的建立和求解没有区分开，我这里沿用的是类似于国赛的形式，这样可以让论文框架清晰点。</w:t>
      </w:r>
    </w:p>
    <w:p>
      <w:pPr>
        <w:pStyle w:val="2"/>
        <w:rPr>
          <w:highlight w:val="yellow"/>
        </w:rPr>
      </w:pPr>
      <w:bookmarkStart w:id="23" w:name="_Toc58786704"/>
      <w:bookmarkStart w:id="24" w:name="_Toc58505780"/>
      <w:r>
        <w:rPr>
          <w:highlight w:val="yellow"/>
        </w:rPr>
        <w:t>T</w:t>
      </w:r>
      <w:r>
        <w:rPr>
          <w:rFonts w:hint="eastAsia"/>
          <w:highlight w:val="yellow"/>
        </w:rPr>
        <w:t>he</w:t>
      </w:r>
      <w:r>
        <w:rPr>
          <w:highlight w:val="yellow"/>
        </w:rPr>
        <w:t xml:space="preserve"> name of model 2</w:t>
      </w:r>
      <w:bookmarkEnd w:id="23"/>
      <w:bookmarkEnd w:id="24"/>
    </w:p>
    <w:p>
      <w:pPr>
        <w:ind w:firstLine="480"/>
        <w:rPr>
          <w:color w:val="FF0000"/>
        </w:rPr>
      </w:pPr>
    </w:p>
    <w:p>
      <w:pPr>
        <w:pStyle w:val="2"/>
        <w:rPr>
          <w:highlight w:val="yellow"/>
        </w:rPr>
      </w:pPr>
      <w:bookmarkStart w:id="25" w:name="_Toc58786705"/>
      <w:bookmarkStart w:id="26" w:name="_Toc58505781"/>
      <w:r>
        <w:rPr>
          <w:highlight w:val="yellow"/>
        </w:rPr>
        <w:t>T</w:t>
      </w:r>
      <w:r>
        <w:rPr>
          <w:rFonts w:hint="eastAsia"/>
          <w:highlight w:val="yellow"/>
        </w:rPr>
        <w:t>he</w:t>
      </w:r>
      <w:r>
        <w:rPr>
          <w:highlight w:val="yellow"/>
        </w:rPr>
        <w:t xml:space="preserve"> name of model 3</w:t>
      </w:r>
      <w:bookmarkEnd w:id="25"/>
      <w:bookmarkEnd w:id="26"/>
    </w:p>
    <w:p>
      <w:pPr>
        <w:ind w:firstLine="480"/>
        <w:rPr>
          <w:color w:val="FF0000"/>
        </w:rPr>
      </w:pPr>
      <w:r>
        <w:rPr>
          <w:rFonts w:hint="eastAsia"/>
          <w:color w:val="FF0000"/>
        </w:rPr>
        <w:t xml:space="preserve">注意：大多数美赛优秀论文都是对每个问题或者每个模型作为一个一级标题 </w:t>
      </w:r>
    </w:p>
    <w:p>
      <w:pPr>
        <w:pStyle w:val="2"/>
      </w:pPr>
      <w:bookmarkStart w:id="27" w:name="_Toc58786706"/>
      <w:bookmarkStart w:id="28" w:name="_Toc58505782"/>
      <w:bookmarkStart w:id="29" w:name="_Hlk58269852"/>
      <w:r>
        <w:t>Sensitivity Analysis</w:t>
      </w:r>
      <w:bookmarkEnd w:id="27"/>
      <w:bookmarkEnd w:id="28"/>
    </w:p>
    <w:bookmarkEnd w:id="29"/>
    <w:p>
      <w:pPr>
        <w:ind w:firstLine="0" w:firstLineChars="0"/>
        <w:rPr>
          <w:rFonts w:hint="eastAsia"/>
          <w:color w:val="4472C4" w:themeColor="accent1"/>
          <w14:textFill>
            <w14:solidFill>
              <w14:schemeClr w14:val="accent1"/>
            </w14:solidFill>
          </w14:textFill>
        </w:rPr>
      </w:pPr>
      <w:r>
        <w:rPr>
          <w:rFonts w:hint="eastAsia"/>
          <w:color w:val="4472C4" w:themeColor="accent1"/>
          <w14:textFill>
            <w14:solidFill>
              <w14:schemeClr w14:val="accent1"/>
            </w14:solidFill>
          </w14:textFill>
        </w:rPr>
        <w:t>我们对森林管理决策模型中的贴现率r（</w:t>
      </w:r>
      <w:r>
        <w:rPr>
          <w:color w:val="4472C4" w:themeColor="accent1"/>
          <w14:textFill>
            <w14:solidFill>
              <w14:schemeClr w14:val="accent1"/>
            </w14:solidFill>
          </w14:textFill>
        </w:rPr>
        <w:t>discount rate</w:t>
      </w:r>
      <w:r>
        <w:rPr>
          <w:rFonts w:hint="eastAsia"/>
          <w:color w:val="4472C4" w:themeColor="accent1"/>
          <w14:textFill>
            <w14:solidFill>
              <w14:schemeClr w14:val="accent1"/>
            </w14:solidFill>
          </w14:textFill>
        </w:rPr>
        <w:t>）和木材利润Pr进行灵敏度分析，将问题三中所取的r和Pr分别增大、减小5%与10%，代入修正的H</w:t>
      </w:r>
      <w:r>
        <w:rPr>
          <w:color w:val="4472C4" w:themeColor="accent1"/>
          <w14:textFill>
            <w14:solidFill>
              <w14:schemeClr w14:val="accent1"/>
            </w14:solidFill>
          </w14:textFill>
        </w:rPr>
        <w:t>artman</w:t>
      </w:r>
      <w:r>
        <w:rPr>
          <w:rFonts w:hint="eastAsia"/>
          <w:color w:val="4472C4" w:themeColor="accent1"/>
          <w14:textFill>
            <w14:solidFill>
              <w14:schemeClr w14:val="accent1"/>
            </w14:solidFill>
          </w14:textFill>
        </w:rPr>
        <w:t>模型进行计算得到L</w:t>
      </w:r>
      <w:r>
        <w:rPr>
          <w:color w:val="4472C4" w:themeColor="accent1"/>
          <w14:textFill>
            <w14:solidFill>
              <w14:schemeClr w14:val="accent1"/>
            </w14:solidFill>
          </w14:textFill>
        </w:rPr>
        <w:t>EV</w:t>
      </w:r>
      <w:r>
        <w:rPr>
          <w:rFonts w:hint="eastAsia"/>
          <w:color w:val="4472C4" w:themeColor="accent1"/>
          <w14:textFill>
            <w14:solidFill>
              <w14:schemeClr w14:val="accent1"/>
            </w14:solidFill>
          </w14:textFill>
        </w:rPr>
        <w:t>-rotation</w:t>
      </w:r>
      <w:r>
        <w:rPr>
          <w:color w:val="4472C4" w:themeColor="accent1"/>
          <w14:textFill>
            <w14:solidFill>
              <w14:schemeClr w14:val="accent1"/>
            </w14:solidFill>
          </w14:textFill>
        </w:rPr>
        <w:t xml:space="preserve"> </w:t>
      </w:r>
      <w:r>
        <w:rPr>
          <w:rFonts w:hint="eastAsia"/>
          <w:color w:val="4472C4" w:themeColor="accent1"/>
          <w14:textFill>
            <w14:solidFill>
              <w14:schemeClr w14:val="accent1"/>
            </w14:solidFill>
          </w14:textFill>
        </w:rPr>
        <w:t>age曲线，如图 。分析曲线我们可以得到，r，Pr在所取值的一定范围内变动对曲线和最优轮伐周期的影响不大，模型的稳定性较高；且随着r的增大，最优轮伐周期有变短的趋势，比较符合预期。</w:t>
      </w:r>
      <w:r>
        <w:rPr>
          <w:rFonts w:hint="eastAsia"/>
          <w:color w:val="FF0000"/>
        </w:rPr>
        <w:t>（这里的两个图最好用表格的方法左右排版成一样大小）</w:t>
      </w:r>
    </w:p>
    <w:p>
      <w:pPr>
        <w:ind w:firstLine="0" w:firstLineChars="0"/>
        <w:rPr>
          <w:rFonts w:hint="eastAsia"/>
          <w:color w:val="4472C4" w:themeColor="accent1"/>
          <w14:textFill>
            <w14:solidFill>
              <w14:schemeClr w14:val="accent1"/>
            </w14:solidFill>
          </w14:textFill>
        </w:rPr>
      </w:pPr>
      <w:r>
        <w:rPr>
          <w:rFonts w:hint="eastAsia"/>
          <w:color w:val="4472C4" w:themeColor="accent1"/>
          <w:lang w:val="zh-CN"/>
          <w14:textFill>
            <w14:solidFill>
              <w14:schemeClr w14:val="accent1"/>
            </w14:solidFill>
          </w14:textFill>
        </w:rPr>
        <w:drawing>
          <wp:anchor distT="0" distB="0" distL="114300" distR="114300" simplePos="0" relativeHeight="251660288" behindDoc="0" locked="0" layoutInCell="1" allowOverlap="1">
            <wp:simplePos x="0" y="0"/>
            <wp:positionH relativeFrom="margin">
              <wp:posOffset>2997200</wp:posOffset>
            </wp:positionH>
            <wp:positionV relativeFrom="paragraph">
              <wp:posOffset>386080</wp:posOffset>
            </wp:positionV>
            <wp:extent cx="2672080" cy="20040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080" cy="2004060"/>
                    </a:xfrm>
                    <a:prstGeom prst="rect">
                      <a:avLst/>
                    </a:prstGeom>
                  </pic:spPr>
                </pic:pic>
              </a:graphicData>
            </a:graphic>
          </wp:anchor>
        </w:drawing>
      </w:r>
      <w:r>
        <w:rPr>
          <w:rFonts w:hint="eastAsia"/>
          <w:color w:val="4472C4" w:themeColor="accent1"/>
          <w14:textFill>
            <w14:solidFill>
              <w14:schemeClr w14:val="accent1"/>
            </w14:solidFill>
          </w14:textFill>
        </w:rPr>
        <w:drawing>
          <wp:anchor distT="0" distB="0" distL="114300" distR="114300" simplePos="0" relativeHeight="251659264" behindDoc="0" locked="0" layoutInCell="1" allowOverlap="1">
            <wp:simplePos x="0" y="0"/>
            <wp:positionH relativeFrom="margin">
              <wp:posOffset>-195580</wp:posOffset>
            </wp:positionH>
            <wp:positionV relativeFrom="paragraph">
              <wp:posOffset>288290</wp:posOffset>
            </wp:positionV>
            <wp:extent cx="2938780" cy="220408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38780" cy="2204085"/>
                    </a:xfrm>
                    <a:prstGeom prst="rect">
                      <a:avLst/>
                    </a:prstGeom>
                  </pic:spPr>
                </pic:pic>
              </a:graphicData>
            </a:graphic>
          </wp:anchor>
        </w:drawing>
      </w:r>
    </w:p>
    <w:p>
      <w:pPr>
        <w:pStyle w:val="2"/>
      </w:pPr>
      <w:bookmarkStart w:id="30" w:name="_Toc58786707"/>
      <w:bookmarkStart w:id="31" w:name="_Toc58505783"/>
      <w:r>
        <w:t xml:space="preserve">Model Evaluation </w:t>
      </w:r>
      <w:r>
        <w:rPr>
          <w:rFonts w:hint="eastAsia"/>
        </w:rPr>
        <w:t>and</w:t>
      </w:r>
      <w:r>
        <w:t xml:space="preserve"> Further Discussion</w:t>
      </w:r>
      <w:bookmarkEnd w:id="30"/>
      <w:bookmarkEnd w:id="31"/>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2" w:name="_Toc58505784"/>
      <w:bookmarkStart w:id="33" w:name="_Toc58786708"/>
      <w:r>
        <w:t>Strengths</w:t>
      </w:r>
      <w:bookmarkEnd w:id="32"/>
      <w:bookmarkEnd w:id="33"/>
    </w:p>
    <w:p>
      <w:pPr>
        <w:ind w:firstLine="480"/>
      </w:pPr>
      <w:r>
        <w:rPr>
          <w:rFonts w:hint="eastAsia"/>
          <w:color w:val="FF0000"/>
        </w:rPr>
        <w:t>这里写论文或者模型的优点</w:t>
      </w:r>
    </w:p>
    <w:p>
      <w:pPr>
        <w:pStyle w:val="3"/>
        <w:spacing w:after="163"/>
      </w:pPr>
      <w:bookmarkStart w:id="34" w:name="_Toc58505785"/>
      <w:bookmarkStart w:id="35" w:name="_Toc58786709"/>
      <w:r>
        <w:t>Weakness</w:t>
      </w:r>
      <w:bookmarkEnd w:id="34"/>
      <w:r>
        <w:rPr>
          <w:rFonts w:hint="eastAsia"/>
        </w:rPr>
        <w:t>es</w:t>
      </w:r>
      <w:bookmarkEnd w:id="35"/>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6" w:name="_Toc58505786"/>
      <w:bookmarkStart w:id="37" w:name="_Toc58786710"/>
      <w:r>
        <w:t>Further Discussion</w:t>
      </w:r>
      <w:bookmarkEnd w:id="36"/>
      <w:bookmarkEnd w:id="37"/>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8" w:name="_Toc58505787"/>
      <w:bookmarkStart w:id="39" w:name="_Toc58786711"/>
      <w:r>
        <w:t>Conclusion</w:t>
      </w:r>
      <w:bookmarkEnd w:id="38"/>
      <w:bookmarkEnd w:id="39"/>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40" w:name="_Toc58786712"/>
      <w:bookmarkStart w:id="41" w:name="_Toc58505788"/>
      <w:r>
        <w:t>References</w:t>
      </w:r>
      <w:bookmarkEnd w:id="40"/>
      <w:bookmarkEnd w:id="41"/>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42" w:name="_Toc58505789"/>
      <w:bookmarkStart w:id="43" w:name="_Toc58786713"/>
      <w:r>
        <w:t>Appendices</w:t>
      </w:r>
      <w:bookmarkEnd w:id="42"/>
      <w:bookmarkEnd w:id="4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19"/>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8"/>
        <w:numPr>
          <w:ilvl w:val="0"/>
          <w:numId w:val="16"/>
        </w:numPr>
        <w:ind w:firstLineChars="0"/>
        <w:rPr>
          <w:color w:val="FF0000"/>
        </w:rPr>
      </w:pPr>
      <w:r>
        <w:rPr>
          <w:rFonts w:hint="eastAsia"/>
          <w:color w:val="FF0000"/>
        </w:rPr>
        <w:t>你们写的代码；</w:t>
      </w:r>
    </w:p>
    <w:p>
      <w:pPr>
        <w:pStyle w:val="18"/>
        <w:numPr>
          <w:ilvl w:val="0"/>
          <w:numId w:val="16"/>
        </w:numPr>
        <w:ind w:firstLineChars="0"/>
        <w:rPr>
          <w:color w:val="FF0000"/>
        </w:rPr>
      </w:pPr>
      <w:r>
        <w:rPr>
          <w:rFonts w:hint="eastAsia"/>
          <w:color w:val="FF0000"/>
        </w:rPr>
        <w:t>某一问题的详细证明或求解过程；</w:t>
      </w:r>
    </w:p>
    <w:p>
      <w:pPr>
        <w:pStyle w:val="18"/>
        <w:numPr>
          <w:ilvl w:val="0"/>
          <w:numId w:val="16"/>
        </w:numPr>
        <w:ind w:firstLineChars="0"/>
        <w:rPr>
          <w:color w:val="FF0000"/>
        </w:rPr>
      </w:pPr>
      <w:r>
        <w:rPr>
          <w:rFonts w:hint="eastAsia"/>
          <w:color w:val="FF0000"/>
        </w:rPr>
        <w:t>自己在网上找到的数据；</w:t>
      </w:r>
    </w:p>
    <w:p>
      <w:pPr>
        <w:pStyle w:val="18"/>
        <w:numPr>
          <w:ilvl w:val="0"/>
          <w:numId w:val="16"/>
        </w:numPr>
        <w:ind w:firstLineChars="0"/>
        <w:rPr>
          <w:color w:val="FF0000"/>
        </w:rPr>
      </w:pPr>
      <w:r>
        <w:rPr>
          <w:rFonts w:hint="eastAsia"/>
          <w:color w:val="FF0000"/>
        </w:rPr>
        <w:t>比较大的流程图；</w:t>
      </w:r>
    </w:p>
    <w:p>
      <w:pPr>
        <w:pStyle w:val="18"/>
        <w:numPr>
          <w:ilvl w:val="0"/>
          <w:numId w:val="16"/>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17</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CD969F3"/>
    <w:multiLevelType w:val="singleLevel"/>
    <w:tmpl w:val="DCD969F3"/>
    <w:lvl w:ilvl="0" w:tentative="0">
      <w:start w:val="1"/>
      <w:numFmt w:val="bullet"/>
      <w:lvlText w:val=""/>
      <w:lvlJc w:val="left"/>
      <w:pPr>
        <w:ind w:left="420" w:hanging="420"/>
      </w:pPr>
      <w:rPr>
        <w:rFonts w:hint="default" w:ascii="Wingdings" w:hAnsi="Wingdings"/>
      </w:rPr>
    </w:lvl>
  </w:abstractNum>
  <w:abstractNum w:abstractNumId="3">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4">
    <w:nsid w:val="20F6434F"/>
    <w:multiLevelType w:val="multilevel"/>
    <w:tmpl w:val="20F6434F"/>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611" w:hanging="420"/>
      </w:pPr>
      <w:rPr>
        <w:rFonts w:hint="default" w:ascii="Wingdings" w:hAnsi="Wingdings"/>
      </w:rPr>
    </w:lvl>
    <w:lvl w:ilvl="2" w:tentative="0">
      <w:start w:val="1"/>
      <w:numFmt w:val="bullet"/>
      <w:lvlText w:val=""/>
      <w:lvlJc w:val="left"/>
      <w:pPr>
        <w:ind w:left="1031" w:hanging="420"/>
      </w:pPr>
      <w:rPr>
        <w:rFonts w:hint="default" w:ascii="Wingdings" w:hAnsi="Wingdings"/>
      </w:rPr>
    </w:lvl>
    <w:lvl w:ilvl="3" w:tentative="0">
      <w:start w:val="1"/>
      <w:numFmt w:val="bullet"/>
      <w:lvlText w:val=""/>
      <w:lvlJc w:val="left"/>
      <w:pPr>
        <w:ind w:left="1451" w:hanging="420"/>
      </w:pPr>
      <w:rPr>
        <w:rFonts w:hint="default" w:ascii="Wingdings" w:hAnsi="Wingdings"/>
      </w:rPr>
    </w:lvl>
    <w:lvl w:ilvl="4" w:tentative="0">
      <w:start w:val="1"/>
      <w:numFmt w:val="bullet"/>
      <w:lvlText w:val=""/>
      <w:lvlJc w:val="left"/>
      <w:pPr>
        <w:ind w:left="1871" w:hanging="420"/>
      </w:pPr>
      <w:rPr>
        <w:rFonts w:hint="default" w:ascii="Wingdings" w:hAnsi="Wingdings"/>
      </w:rPr>
    </w:lvl>
    <w:lvl w:ilvl="5" w:tentative="0">
      <w:start w:val="1"/>
      <w:numFmt w:val="bullet"/>
      <w:lvlText w:val=""/>
      <w:lvlJc w:val="left"/>
      <w:pPr>
        <w:ind w:left="2291" w:hanging="420"/>
      </w:pPr>
      <w:rPr>
        <w:rFonts w:hint="default" w:ascii="Wingdings" w:hAnsi="Wingdings"/>
      </w:rPr>
    </w:lvl>
    <w:lvl w:ilvl="6" w:tentative="0">
      <w:start w:val="1"/>
      <w:numFmt w:val="bullet"/>
      <w:lvlText w:val=""/>
      <w:lvlJc w:val="left"/>
      <w:pPr>
        <w:ind w:left="2711" w:hanging="420"/>
      </w:pPr>
      <w:rPr>
        <w:rFonts w:hint="default" w:ascii="Wingdings" w:hAnsi="Wingdings"/>
      </w:rPr>
    </w:lvl>
    <w:lvl w:ilvl="7" w:tentative="0">
      <w:start w:val="1"/>
      <w:numFmt w:val="bullet"/>
      <w:lvlText w:val=""/>
      <w:lvlJc w:val="left"/>
      <w:pPr>
        <w:ind w:left="3131" w:hanging="420"/>
      </w:pPr>
      <w:rPr>
        <w:rFonts w:hint="default" w:ascii="Wingdings" w:hAnsi="Wingdings"/>
      </w:rPr>
    </w:lvl>
    <w:lvl w:ilvl="8" w:tentative="0">
      <w:start w:val="1"/>
      <w:numFmt w:val="bullet"/>
      <w:lvlText w:val=""/>
      <w:lvlJc w:val="left"/>
      <w:pPr>
        <w:ind w:left="3551" w:hanging="420"/>
      </w:pPr>
      <w:rPr>
        <w:rFonts w:hint="default" w:ascii="Wingdings" w:hAnsi="Wingdings"/>
      </w:rPr>
    </w:lvl>
  </w:abstractNum>
  <w:abstractNum w:abstractNumId="5">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6">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7">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B9F0E36"/>
    <w:multiLevelType w:val="singleLevel"/>
    <w:tmpl w:val="4B9F0E36"/>
    <w:lvl w:ilvl="0" w:tentative="0">
      <w:start w:val="1"/>
      <w:numFmt w:val="bullet"/>
      <w:lvlText w:val=""/>
      <w:lvlJc w:val="left"/>
      <w:pPr>
        <w:ind w:left="420" w:hanging="420"/>
      </w:pPr>
      <w:rPr>
        <w:rFonts w:hint="default" w:ascii="Wingdings" w:hAnsi="Wingdings"/>
      </w:rPr>
    </w:lvl>
  </w:abstractNum>
  <w:abstractNum w:abstractNumId="10">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12">
    <w:nsid w:val="6A4E06BA"/>
    <w:multiLevelType w:val="multilevel"/>
    <w:tmpl w:val="6A4E06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E303767"/>
    <w:multiLevelType w:val="singleLevel"/>
    <w:tmpl w:val="6E303767"/>
    <w:lvl w:ilvl="0" w:tentative="0">
      <w:start w:val="1"/>
      <w:numFmt w:val="bullet"/>
      <w:lvlText w:val=""/>
      <w:lvlJc w:val="left"/>
      <w:pPr>
        <w:ind w:left="660" w:hanging="420"/>
      </w:pPr>
      <w:rPr>
        <w:rFonts w:hint="default" w:ascii="Wingdings" w:hAnsi="Wingdings"/>
      </w:rPr>
    </w:lvl>
  </w:abstractNum>
  <w:abstractNum w:abstractNumId="14">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4"/>
  </w:num>
  <w:num w:numId="2">
    <w:abstractNumId w:val="15"/>
  </w:num>
  <w:num w:numId="3">
    <w:abstractNumId w:val="7"/>
  </w:num>
  <w:num w:numId="4">
    <w:abstractNumId w:val="8"/>
  </w:num>
  <w:num w:numId="5">
    <w:abstractNumId w:val="3"/>
  </w:num>
  <w:num w:numId="6">
    <w:abstractNumId w:val="11"/>
  </w:num>
  <w:num w:numId="7">
    <w:abstractNumId w:val="0"/>
  </w:num>
  <w:num w:numId="8">
    <w:abstractNumId w:val="13"/>
  </w:num>
  <w:num w:numId="9">
    <w:abstractNumId w:val="6"/>
  </w:num>
  <w:num w:numId="10">
    <w:abstractNumId w:val="4"/>
  </w:num>
  <w:num w:numId="11">
    <w:abstractNumId w:val="1"/>
  </w:num>
  <w:num w:numId="12">
    <w:abstractNumId w:val="5"/>
  </w:num>
  <w:num w:numId="13">
    <w:abstractNumId w:val="9"/>
  </w:num>
  <w:num w:numId="14">
    <w:abstractNumId w:val="12"/>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166B3"/>
    <w:rsid w:val="000209E8"/>
    <w:rsid w:val="0002276A"/>
    <w:rsid w:val="000D0478"/>
    <w:rsid w:val="001224BE"/>
    <w:rsid w:val="00146227"/>
    <w:rsid w:val="00146874"/>
    <w:rsid w:val="00150817"/>
    <w:rsid w:val="001771F1"/>
    <w:rsid w:val="00191679"/>
    <w:rsid w:val="001C0BC9"/>
    <w:rsid w:val="001E7179"/>
    <w:rsid w:val="002466BB"/>
    <w:rsid w:val="00251B0B"/>
    <w:rsid w:val="002940A3"/>
    <w:rsid w:val="002D5907"/>
    <w:rsid w:val="002F522B"/>
    <w:rsid w:val="002F798F"/>
    <w:rsid w:val="003030E4"/>
    <w:rsid w:val="003366AA"/>
    <w:rsid w:val="00383CBB"/>
    <w:rsid w:val="00386E25"/>
    <w:rsid w:val="003E59F3"/>
    <w:rsid w:val="0040520D"/>
    <w:rsid w:val="00424DF9"/>
    <w:rsid w:val="00485658"/>
    <w:rsid w:val="004D592D"/>
    <w:rsid w:val="00505677"/>
    <w:rsid w:val="0056145A"/>
    <w:rsid w:val="00563088"/>
    <w:rsid w:val="00580DAC"/>
    <w:rsid w:val="0059369C"/>
    <w:rsid w:val="005C56E2"/>
    <w:rsid w:val="005C6AD8"/>
    <w:rsid w:val="005D138F"/>
    <w:rsid w:val="0064432F"/>
    <w:rsid w:val="00644392"/>
    <w:rsid w:val="00667B96"/>
    <w:rsid w:val="00671F5E"/>
    <w:rsid w:val="006B657C"/>
    <w:rsid w:val="00710CC7"/>
    <w:rsid w:val="0071511F"/>
    <w:rsid w:val="0071546F"/>
    <w:rsid w:val="00792D45"/>
    <w:rsid w:val="007E32B6"/>
    <w:rsid w:val="00823144"/>
    <w:rsid w:val="008332ED"/>
    <w:rsid w:val="00850A8A"/>
    <w:rsid w:val="00852E32"/>
    <w:rsid w:val="0085593C"/>
    <w:rsid w:val="008E3268"/>
    <w:rsid w:val="00960C80"/>
    <w:rsid w:val="00965F8A"/>
    <w:rsid w:val="009F551E"/>
    <w:rsid w:val="00A07289"/>
    <w:rsid w:val="00A111BE"/>
    <w:rsid w:val="00A23FD4"/>
    <w:rsid w:val="00A456D4"/>
    <w:rsid w:val="00A675DB"/>
    <w:rsid w:val="00A73A09"/>
    <w:rsid w:val="00AA18BD"/>
    <w:rsid w:val="00AB0D16"/>
    <w:rsid w:val="00B324EA"/>
    <w:rsid w:val="00B7496A"/>
    <w:rsid w:val="00BA3F04"/>
    <w:rsid w:val="00C049DF"/>
    <w:rsid w:val="00C063C0"/>
    <w:rsid w:val="00C17A3C"/>
    <w:rsid w:val="00C54D77"/>
    <w:rsid w:val="00CD28CD"/>
    <w:rsid w:val="00CE2745"/>
    <w:rsid w:val="00D84718"/>
    <w:rsid w:val="00D91BAD"/>
    <w:rsid w:val="00DA6E91"/>
    <w:rsid w:val="00DA7FFA"/>
    <w:rsid w:val="00DB323A"/>
    <w:rsid w:val="00DC3432"/>
    <w:rsid w:val="00E02E1B"/>
    <w:rsid w:val="00E209D3"/>
    <w:rsid w:val="00EE3761"/>
    <w:rsid w:val="00EF1F58"/>
    <w:rsid w:val="00F51B4E"/>
    <w:rsid w:val="00FB17FF"/>
    <w:rsid w:val="02DE79B6"/>
    <w:rsid w:val="052F5E15"/>
    <w:rsid w:val="05D128E4"/>
    <w:rsid w:val="0683143F"/>
    <w:rsid w:val="0829035D"/>
    <w:rsid w:val="0B694E67"/>
    <w:rsid w:val="0D2D6B66"/>
    <w:rsid w:val="0E710348"/>
    <w:rsid w:val="0F024FC3"/>
    <w:rsid w:val="122F1218"/>
    <w:rsid w:val="15502B4A"/>
    <w:rsid w:val="15842905"/>
    <w:rsid w:val="1627052C"/>
    <w:rsid w:val="16E10728"/>
    <w:rsid w:val="17D872F9"/>
    <w:rsid w:val="1F7B5925"/>
    <w:rsid w:val="21EE5593"/>
    <w:rsid w:val="223F3975"/>
    <w:rsid w:val="23AC15F3"/>
    <w:rsid w:val="25576BDC"/>
    <w:rsid w:val="26167E48"/>
    <w:rsid w:val="27BA7A62"/>
    <w:rsid w:val="294F4252"/>
    <w:rsid w:val="2C0C36D5"/>
    <w:rsid w:val="2E381ED1"/>
    <w:rsid w:val="44512829"/>
    <w:rsid w:val="449459B9"/>
    <w:rsid w:val="475D455E"/>
    <w:rsid w:val="477B035A"/>
    <w:rsid w:val="4A0F5DCA"/>
    <w:rsid w:val="4B7D6ED4"/>
    <w:rsid w:val="4E237D58"/>
    <w:rsid w:val="4E5D3117"/>
    <w:rsid w:val="4FCF536F"/>
    <w:rsid w:val="4FE40FDB"/>
    <w:rsid w:val="508571B2"/>
    <w:rsid w:val="59EA58AA"/>
    <w:rsid w:val="649E0992"/>
    <w:rsid w:val="678179C3"/>
    <w:rsid w:val="679F6637"/>
    <w:rsid w:val="690612BF"/>
    <w:rsid w:val="6A2937CB"/>
    <w:rsid w:val="72C866BA"/>
    <w:rsid w:val="753E28BA"/>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3"/>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4"/>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5"/>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8">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table" w:styleId="10">
    <w:name w:val="Table Grid"/>
    <w:basedOn w:val="9"/>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1 字符"/>
    <w:basedOn w:val="11"/>
    <w:link w:val="2"/>
    <w:qFormat/>
    <w:uiPriority w:val="9"/>
    <w:rPr>
      <w:rFonts w:ascii="Times New Roman" w:hAnsi="Times New Roman" w:eastAsia="黑体"/>
      <w:b/>
      <w:bCs/>
      <w:kern w:val="44"/>
      <w:sz w:val="32"/>
      <w:szCs w:val="44"/>
    </w:rPr>
  </w:style>
  <w:style w:type="character" w:customStyle="1" w:styleId="14">
    <w:name w:val="标题 2 字符"/>
    <w:basedOn w:val="11"/>
    <w:link w:val="3"/>
    <w:qFormat/>
    <w:uiPriority w:val="9"/>
    <w:rPr>
      <w:rFonts w:ascii="Times New Roman" w:hAnsi="Times New Roman" w:eastAsia="黑体" w:cstheme="majorBidi"/>
      <w:b/>
      <w:bCs/>
      <w:sz w:val="28"/>
      <w:szCs w:val="32"/>
    </w:rPr>
  </w:style>
  <w:style w:type="character" w:customStyle="1" w:styleId="15">
    <w:name w:val="标题 3 字符"/>
    <w:basedOn w:val="11"/>
    <w:link w:val="4"/>
    <w:qFormat/>
    <w:uiPriority w:val="9"/>
    <w:rPr>
      <w:rFonts w:ascii="Times New Roman" w:hAnsi="Times New Roman" w:eastAsia="黑体"/>
      <w:b/>
      <w:bCs/>
      <w:sz w:val="24"/>
      <w:szCs w:val="32"/>
    </w:rPr>
  </w:style>
  <w:style w:type="character" w:customStyle="1" w:styleId="16">
    <w:name w:val="页眉 字符"/>
    <w:basedOn w:val="11"/>
    <w:link w:val="6"/>
    <w:qFormat/>
    <w:uiPriority w:val="99"/>
    <w:rPr>
      <w:rFonts w:ascii="Times New Roman" w:hAnsi="Times New Roman" w:eastAsia="宋体"/>
      <w:sz w:val="18"/>
      <w:szCs w:val="18"/>
    </w:rPr>
  </w:style>
  <w:style w:type="character" w:customStyle="1" w:styleId="17">
    <w:name w:val="页脚 字符"/>
    <w:basedOn w:val="11"/>
    <w:link w:val="5"/>
    <w:qFormat/>
    <w:uiPriority w:val="99"/>
    <w:rPr>
      <w:rFonts w:ascii="Times New Roman" w:hAnsi="Times New Roman" w:eastAsia="宋体"/>
      <w:sz w:val="18"/>
      <w:szCs w:val="18"/>
    </w:rPr>
  </w:style>
  <w:style w:type="paragraph" w:styleId="18">
    <w:name w:val="List Paragraph"/>
    <w:basedOn w:val="1"/>
    <w:qFormat/>
    <w:uiPriority w:val="34"/>
    <w:pPr>
      <w:ind w:firstLine="420"/>
    </w:pPr>
  </w:style>
  <w:style w:type="paragraph" w:customStyle="1" w:styleId="19">
    <w:name w:val="图表标题"/>
    <w:basedOn w:val="1"/>
    <w:next w:val="1"/>
    <w:qFormat/>
    <w:uiPriority w:val="0"/>
    <w:pPr>
      <w:ind w:firstLine="0" w:firstLineChars="0"/>
      <w:jc w:val="center"/>
    </w:pPr>
    <w:rPr>
      <w:b/>
    </w:rPr>
  </w:style>
  <w:style w:type="table" w:customStyle="1" w:styleId="20">
    <w:name w:val="三线表"/>
    <w:basedOn w:val="9"/>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1">
    <w:name w:val="正文文本 (3)_"/>
    <w:basedOn w:val="11"/>
    <w:link w:val="22"/>
    <w:qFormat/>
    <w:uiPriority w:val="0"/>
    <w:rPr>
      <w:rFonts w:ascii="Times New Roman" w:hAnsi="Times New Roman" w:eastAsia="Times New Roman" w:cs="Times New Roman"/>
      <w:sz w:val="22"/>
    </w:rPr>
  </w:style>
  <w:style w:type="paragraph" w:customStyle="1" w:styleId="22">
    <w:name w:val="正文文本 (3)"/>
    <w:basedOn w:val="1"/>
    <w:link w:val="21"/>
    <w:qFormat/>
    <w:uiPriority w:val="0"/>
    <w:pPr>
      <w:spacing w:line="276" w:lineRule="auto"/>
      <w:ind w:firstLine="380" w:firstLineChars="0"/>
      <w:jc w:val="left"/>
    </w:pPr>
    <w:rPr>
      <w:rFonts w:eastAsia="Times New Roman" w:cs="Times New Roman"/>
      <w:sz w:val="22"/>
      <w:szCs w:val="22"/>
    </w:rPr>
  </w:style>
  <w:style w:type="character" w:customStyle="1" w:styleId="23">
    <w:name w:val="未处理的提及1"/>
    <w:basedOn w:val="11"/>
    <w:semiHidden/>
    <w:unhideWhenUsed/>
    <w:qFormat/>
    <w:uiPriority w:val="99"/>
    <w:rPr>
      <w:color w:val="605E5C"/>
      <w:shd w:val="clear" w:color="auto" w:fill="E1DFDD"/>
    </w:rPr>
  </w:style>
  <w:style w:type="character" w:styleId="24">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2911</Words>
  <Characters>16596</Characters>
  <Lines>138</Lines>
  <Paragraphs>38</Paragraphs>
  <TotalTime>5</TotalTime>
  <ScaleCrop>false</ScaleCrop>
  <LinksUpToDate>false</LinksUpToDate>
  <CharactersWithSpaces>19469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2022-02-21T02:09:00Z</dcterms:created>
  <dc:creator>王 佳琪</dc:creator>
  <cp:lastModifiedBy>MrJesus</cp:lastModifiedBy>
  <dcterms:modified xsi:type="dcterms:W3CDTF">2022-02-21T05:39:02Z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E434B43B5D4746F1A5C2676FC86A702A</vt:lpwstr>
  </property>
</Properties>
</file>