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32" w:val="clear"/>
            <w:tcMar>
              <w:top w:type="dxa" w:w="400"/>
              <w:left w:type="dxa" w:w="300"/>
              <w:bottom w:type="dxa" w:w="400"/>
              <w:right w:type="dxa" w:w="300"/>
            </w:tcMar>
          </w:tcPr>
          <w:p>
            <w:pPr>
              <w:jc w:val="center"/>
            </w:pPr>
            <w:r>
              <w:rPr>
                <w:rFonts w:ascii="Arial" w:cs="Arial" w:eastAsia="Arial" w:hAnsi="Arial"/>
                <w:b/>
                <w:bCs/>
                <w:color w:val="FFFFFF"/>
                <w:sz w:val="64"/>
                <w:szCs w:val="64"/>
              </w:rPr>
              <w:t xml:space="preserve">CORE</w:t>
            </w:r>
            <w:r>
              <w:rPr>
                <w:rFonts w:ascii="Arial" w:cs="Arial" w:eastAsia="Arial" w:hAnsi="Arial"/>
                <w:b/>
                <w:bCs/>
                <w:color w:val="1D9E75"/>
                <w:sz w:val="64"/>
                <w:szCs w:val="64"/>
              </w:rPr>
              <w:t xml:space="preserve">PMS</w:t>
            </w:r>
          </w:p>
          <w:p>
            <w:pPr>
              <w:jc w:val="center"/>
            </w:pPr>
            <w:r>
              <w:rPr>
                <w:rFonts w:ascii="Arial" w:cs="Arial" w:eastAsia="Arial" w:hAnsi="Arial"/>
                <w:color w:val="9FE1CB"/>
                <w:sz w:val="22"/>
                <w:szCs w:val="22"/>
              </w:rPr>
              <w:t xml:space="preserve">Villa Gianni Boutique Hotel</w:t>
            </w:r>
          </w:p>
        </w:tc>
      </w:tr>
    </w:tbl>
    <w:p>
      <w:pPr>
        <w:spacing w:after="0" w:before="600"/>
      </w:pPr>
      <w:r>
        <w:t xml:space="preserve"/>
      </w:r>
    </w:p>
    <w:p>
      <w:pPr>
        <w:jc w:val="center"/>
      </w:pPr>
      <w:r>
        <w:rPr>
          <w:rFonts w:ascii="Arial" w:cs="Arial" w:eastAsia="Arial" w:hAnsi="Arial"/>
          <w:b/>
          <w:bCs/>
          <w:caps/>
          <w:color w:val="1D9E75"/>
          <w:sz w:val="24"/>
          <w:szCs w:val="24"/>
        </w:rPr>
        <w:t xml:space="preserve">PRODUCT REQUIREMENTS DOCUMENT</w:t>
      </w:r>
    </w:p>
    <w:p>
      <w:pPr>
        <w:spacing w:after="0" w:before="100"/>
      </w:pPr>
      <w:r>
        <w:t xml:space="preserve"/>
      </w:r>
    </w:p>
    <w:p>
      <w:pPr>
        <w:jc w:val="center"/>
      </w:pPr>
      <w:r>
        <w:rPr>
          <w:rFonts w:ascii="Arial" w:cs="Arial" w:eastAsia="Arial" w:hAnsi="Arial"/>
          <w:b/>
          <w:bCs/>
          <w:color w:val="1A2332"/>
          <w:sz w:val="40"/>
          <w:szCs w:val="40"/>
        </w:rPr>
        <w:t xml:space="preserve">Advanced Inventory &amp; Menu Engineering Module</w:t>
      </w:r>
    </w:p>
    <w:p>
      <w:pPr>
        <w:spacing w:after="0" w:before="80"/>
      </w:pPr>
      <w:r>
        <w:t xml:space="preserve"/>
      </w:r>
    </w:p>
    <w:p>
      <w:pPr>
        <w:jc w:val="center"/>
      </w:pPr>
      <w:r>
        <w:rPr>
          <w:rFonts w:ascii="Arial" w:cs="Arial" w:eastAsia="Arial" w:hAnsi="Arial"/>
          <w:color w:val="888780"/>
          <w:sz w:val="24"/>
          <w:szCs w:val="24"/>
        </w:rPr>
        <w:t xml:space="preserve">Version 11.0 (v11)</w:t>
      </w:r>
    </w:p>
    <w:p>
      <w:pPr>
        <w:spacing w:after="0" w:before="5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vAlign w:val="center"/>
          </w:tcPr>
          <w:p>
            <w:r>
              <w:rPr>
                <w:rFonts w:ascii="Arial" w:cs="Arial" w:eastAsia="Arial" w:hAnsi="Arial"/>
                <w:b/>
                <w:bCs/>
                <w:color w:val="888780"/>
                <w:sz w:val="18"/>
                <w:szCs w:val="18"/>
              </w:rPr>
              <w:t xml:space="preserve">Document Type</w:t>
            </w:r>
          </w:p>
        </w:tc>
        <w:tc>
          <w:tcPr>
            <w:tcW w:type="dxa" w:w="4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Product Requirements Document (PRD)</w:t>
            </w:r>
          </w:p>
        </w:tc>
      </w:tr>
      <w:tr>
        <w:tc>
          <w:tcPr>
            <w:tcW w:type="dxa" w:w="24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vAlign w:val="center"/>
          </w:tcPr>
          <w:p>
            <w:r>
              <w:rPr>
                <w:rFonts w:ascii="Arial" w:cs="Arial" w:eastAsia="Arial" w:hAnsi="Arial"/>
                <w:b/>
                <w:bCs/>
                <w:color w:val="888780"/>
                <w:sz w:val="18"/>
                <w:szCs w:val="18"/>
              </w:rPr>
              <w:t xml:space="preserve">Module Name</w:t>
            </w:r>
          </w:p>
        </w:tc>
        <w:tc>
          <w:tcPr>
            <w:tcW w:type="dxa" w:w="4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Advanced Inventory &amp; Menu Engineering</w:t>
            </w:r>
          </w:p>
        </w:tc>
      </w:tr>
      <w:tr>
        <w:tc>
          <w:tcPr>
            <w:tcW w:type="dxa" w:w="24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vAlign w:val="center"/>
          </w:tcPr>
          <w:p>
            <w:r>
              <w:rPr>
                <w:rFonts w:ascii="Arial" w:cs="Arial" w:eastAsia="Arial" w:hAnsi="Arial"/>
                <w:b/>
                <w:bCs/>
                <w:color w:val="888780"/>
                <w:sz w:val="18"/>
                <w:szCs w:val="18"/>
              </w:rPr>
              <w:t xml:space="preserve">Version</w:t>
            </w:r>
          </w:p>
        </w:tc>
        <w:tc>
          <w:tcPr>
            <w:tcW w:type="dxa" w:w="4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v11.0</w:t>
            </w:r>
          </w:p>
        </w:tc>
      </w:tr>
      <w:tr>
        <w:tc>
          <w:tcPr>
            <w:tcW w:type="dxa" w:w="24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vAlign w:val="center"/>
          </w:tcPr>
          <w:p>
            <w:r>
              <w:rPr>
                <w:rFonts w:ascii="Arial" w:cs="Arial" w:eastAsia="Arial" w:hAnsi="Arial"/>
                <w:b/>
                <w:bCs/>
                <w:color w:val="888780"/>
                <w:sz w:val="18"/>
                <w:szCs w:val="18"/>
              </w:rPr>
              <w:t xml:space="preserve">System</w:t>
            </w:r>
          </w:p>
        </w:tc>
        <w:tc>
          <w:tcPr>
            <w:tcW w:type="dxa" w:w="4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COREPMS — Villa Gianni Boutique Hotel</w:t>
            </w:r>
          </w:p>
        </w:tc>
      </w:tr>
      <w:tr>
        <w:tc>
          <w:tcPr>
            <w:tcW w:type="dxa" w:w="24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vAlign w:val="center"/>
          </w:tcPr>
          <w:p>
            <w:r>
              <w:rPr>
                <w:rFonts w:ascii="Arial" w:cs="Arial" w:eastAsia="Arial" w:hAnsi="Arial"/>
                <w:b/>
                <w:bCs/>
                <w:color w:val="888780"/>
                <w:sz w:val="18"/>
                <w:szCs w:val="18"/>
              </w:rPr>
              <w:t xml:space="preserve">Prepared By</w:t>
            </w:r>
          </w:p>
        </w:tc>
        <w:tc>
          <w:tcPr>
            <w:tcW w:type="dxa" w:w="4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Vhukile Matenda — Finance &amp; Technology Director</w:t>
            </w:r>
          </w:p>
        </w:tc>
      </w:tr>
      <w:tr>
        <w:tc>
          <w:tcPr>
            <w:tcW w:type="dxa" w:w="24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vAlign w:val="center"/>
          </w:tcPr>
          <w:p>
            <w:r>
              <w:rPr>
                <w:rFonts w:ascii="Arial" w:cs="Arial" w:eastAsia="Arial" w:hAnsi="Arial"/>
                <w:b/>
                <w:bCs/>
                <w:color w:val="888780"/>
                <w:sz w:val="18"/>
                <w:szCs w:val="18"/>
              </w:rPr>
              <w:t xml:space="preserve">Date</w:t>
            </w:r>
          </w:p>
        </w:tc>
        <w:tc>
          <w:tcPr>
            <w:tcW w:type="dxa" w:w="4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April 2026</w:t>
            </w:r>
          </w:p>
        </w:tc>
      </w:tr>
      <w:tr>
        <w:tc>
          <w:tcPr>
            <w:tcW w:type="dxa" w:w="24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vAlign w:val="center"/>
          </w:tcPr>
          <w:p>
            <w:r>
              <w:rPr>
                <w:rFonts w:ascii="Arial" w:cs="Arial" w:eastAsia="Arial" w:hAnsi="Arial"/>
                <w:b/>
                <w:bCs/>
                <w:color w:val="888780"/>
                <w:sz w:val="18"/>
                <w:szCs w:val="18"/>
              </w:rPr>
              <w:t xml:space="preserve">Status</w:t>
            </w:r>
          </w:p>
        </w:tc>
        <w:tc>
          <w:tcPr>
            <w:tcW w:type="dxa" w:w="4800"/>
            <w:tcBorders>
              <w:top w:val="single" w:color="CCCCCC" w:sz="1"/>
              <w:left w:val="single" w:color="CCCCCC" w:sz="1"/>
              <w:bottom w:val="single" w:color="CCCCCC" w:sz="1"/>
              <w:right w:val="single" w:color="CCCCCC" w:sz="1"/>
            </w:tcBorders>
            <w:shd w:fill="FAEEDA" w:val="clear"/>
            <w:tcMar>
              <w:top w:type="dxa" w:w="90"/>
              <w:left w:type="dxa" w:w="140"/>
              <w:bottom w:type="dxa" w:w="90"/>
              <w:right w:type="dxa" w:w="140"/>
            </w:tcMar>
            <w:vAlign w:val="center"/>
          </w:tcPr>
          <w:p>
            <w:r>
              <w:rPr>
                <w:rFonts w:ascii="Arial" w:cs="Arial" w:eastAsia="Arial" w:hAnsi="Arial"/>
                <w:b/>
                <w:bCs/>
                <w:color w:val="BA7517"/>
                <w:sz w:val="18"/>
                <w:szCs w:val="18"/>
              </w:rPr>
              <w:t xml:space="preserve">DRAFT — Pending AntiGravity Deployment</w:t>
            </w:r>
          </w:p>
        </w:tc>
      </w:tr>
      <w:tr>
        <w:tc>
          <w:tcPr>
            <w:tcW w:type="dxa" w:w="24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vAlign w:val="center"/>
          </w:tcPr>
          <w:p>
            <w:r>
              <w:rPr>
                <w:rFonts w:ascii="Arial" w:cs="Arial" w:eastAsia="Arial" w:hAnsi="Arial"/>
                <w:b/>
                <w:bCs/>
                <w:color w:val="888780"/>
                <w:sz w:val="18"/>
                <w:szCs w:val="18"/>
              </w:rPr>
              <w:t xml:space="preserve">Deployment Constraint</w:t>
            </w:r>
          </w:p>
        </w:tc>
        <w:tc>
          <w:tcPr>
            <w:tcW w:type="dxa" w:w="48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vAlign w:val="center"/>
          </w:tcPr>
          <w:p>
            <w:r>
              <w:rPr>
                <w:rFonts w:ascii="Arial" w:cs="Arial" w:eastAsia="Arial" w:hAnsi="Arial"/>
                <w:b w:val="false"/>
                <w:bCs w:val="false"/>
                <w:color w:val="E24B4A"/>
                <w:sz w:val="18"/>
                <w:szCs w:val="18"/>
              </w:rPr>
              <w:t xml:space="preserve">Local test only. No git commit until full QA pass.</w:t>
            </w:r>
          </w:p>
        </w:tc>
      </w:tr>
    </w:tbl>
    <w:p>
      <w:pPr>
        <w:spacing w:after="0" w:before="600"/>
      </w:pPr>
      <w:r>
        <w:t xml:space="preserve"/>
      </w:r>
    </w:p>
    <w:p>
      <w:r>
        <w:br w:type="page"/>
      </w:r>
    </w:p>
    <w:p>
      <w:pPr>
        <w:pStyle w:val="Heading1"/>
        <w:spacing w:after="160" w:before="360"/>
      </w:pPr>
      <w:r>
        <w:rPr>
          <w:rFonts w:ascii="Arial" w:cs="Arial" w:eastAsia="Arial" w:hAnsi="Arial"/>
          <w:b/>
          <w:bCs/>
          <w:color w:val="1A2332"/>
          <w:sz w:val="36"/>
          <w:szCs w:val="36"/>
        </w:rPr>
        <w:t xml:space="preserve">1. Executive Summary</w:t>
      </w:r>
    </w:p>
    <w:p>
      <w:pPr>
        <w:pBdr>
          <w:bottom w:val="single" w:color="1D9E75" w:sz="6" w:space="1"/>
        </w:pBdr>
        <w:spacing w:after="40" w:before="40"/>
      </w:pPr>
      <w:r>
        <w:t xml:space="preserve"/>
      </w:r>
    </w:p>
    <w:p>
      <w:pPr>
        <w:spacing w:after="0" w:before="80"/>
      </w:pPr>
      <w:r>
        <w:t xml:space="preserve"/>
      </w:r>
    </w:p>
    <w:p>
      <w:pPr>
        <w:spacing w:after="60" w:before="60"/>
      </w:pPr>
      <w:r>
        <w:rPr>
          <w:rFonts w:ascii="Arial" w:cs="Arial" w:eastAsia="Arial" w:hAnsi="Arial"/>
          <w:color w:val="444441"/>
          <w:sz w:val="20"/>
          <w:szCs w:val="20"/>
        </w:rPr>
        <w:t xml:space="preserve">COREPMS v11 introduces the Advanced Inventory &amp; Menu Engineering module — a comprehensive, multi-location stock management and recipe costing system built natively into Villa Gianni's Property Management System. This module closes the critical control gap between purchasing, storage, outlet service, and POS revenue reporting.</w:t>
      </w:r>
    </w:p>
    <w:p>
      <w:pPr>
        <w:spacing w:after="0" w:before="80"/>
      </w:pPr>
      <w:r>
        <w:t xml:space="preserve"/>
      </w:r>
    </w:p>
    <w:p>
      <w:pPr>
        <w:spacing w:after="60" w:before="60"/>
      </w:pPr>
      <w:r>
        <w:rPr>
          <w:rFonts w:ascii="Arial" w:cs="Arial" w:eastAsia="Arial" w:hAnsi="Arial"/>
          <w:color w:val="444441"/>
          <w:sz w:val="20"/>
          <w:szCs w:val="20"/>
        </w:rPr>
        <w:t xml:space="preserve">Without this module, variance between POS-reported sales volumes and physical inventory counts is invisible. A variance of 60 tots of whiskey per week — equivalent to 2 bottles — disappears undetected. This document specifies the full functional, technical, and deployment requirements for this module.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D9E7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BUSINESS CASE</w:t>
            </w:r>
          </w:p>
        </w:tc>
        <w:tc>
          <w:tcPr>
            <w:tcW w:type="dxa" w:w="7960"/>
            <w:tcBorders>
              <w:top w:val="none" w:color="FFFFFF" w:sz="0"/>
              <w:left w:val="none" w:color="FFFFFF" w:sz="0"/>
              <w:bottom w:val="none" w:color="FFFFFF" w:sz="0"/>
              <w:right w:val="none" w:color="FFFFFF" w:sz="0"/>
            </w:tcBorders>
            <w:shd w:fill="E1F5EE" w:val="clear"/>
            <w:tcMar>
              <w:top w:type="dxa" w:w="90"/>
              <w:left w:type="dxa" w:w="140"/>
              <w:bottom w:type="dxa" w:w="90"/>
              <w:right w:type="dxa" w:w="140"/>
            </w:tcMar>
          </w:tcPr>
          <w:p>
            <w:r>
              <w:rPr>
                <w:rFonts w:ascii="Arial" w:cs="Arial" w:eastAsia="Arial" w:hAnsi="Arial"/>
                <w:color w:val="444441"/>
                <w:sz w:val="19"/>
                <w:szCs w:val="19"/>
              </w:rPr>
              <w:t xml:space="preserve">Every 60-tot weekly variance on Jameson Whiskey (2 bottles @ $180/case) represents approximately $30 in unrecovered cost per week — or $1,560 per year on a single SKU. Across all beverage and food items, untracked variance is a material financial risk.</w:t>
            </w:r>
          </w:p>
        </w:tc>
      </w:tr>
    </w:tbl>
    <w:p>
      <w:pPr>
        <w:spacing w:after="0" w:before="160"/>
      </w:pPr>
      <w:r>
        <w:t xml:space="preserve"/>
      </w:r>
    </w:p>
    <w:p>
      <w:r>
        <w:br w:type="page"/>
      </w:r>
    </w:p>
    <w:p>
      <w:pPr>
        <w:pStyle w:val="Heading1"/>
        <w:spacing w:after="160" w:before="360"/>
      </w:pPr>
      <w:r>
        <w:rPr>
          <w:rFonts w:ascii="Arial" w:cs="Arial" w:eastAsia="Arial" w:hAnsi="Arial"/>
          <w:b/>
          <w:bCs/>
          <w:color w:val="1A2332"/>
          <w:sz w:val="36"/>
          <w:szCs w:val="36"/>
        </w:rPr>
        <w:t xml:space="preserve">2. Scope &amp; Objectives</w:t>
      </w:r>
    </w:p>
    <w:p>
      <w:pPr>
        <w:pBdr>
          <w:bottom w:val="single" w:color="1D9E75" w:sz="6" w:space="1"/>
        </w:pBdr>
        <w:spacing w:after="40" w:before="40"/>
      </w:pPr>
      <w:r>
        <w:t xml:space="preserve"/>
      </w:r>
    </w:p>
    <w:p>
      <w:pPr>
        <w:spacing w:after="0" w:before="80"/>
      </w:pPr>
      <w:r>
        <w:t xml:space="preserve"/>
      </w:r>
    </w:p>
    <w:p>
      <w:pPr>
        <w:pStyle w:val="Heading2"/>
        <w:pBdr>
          <w:bottom w:val="single" w:color="1D9E75" w:sz="4" w:space="4"/>
        </w:pBdr>
        <w:spacing w:after="120" w:before="280"/>
      </w:pPr>
      <w:r>
        <w:rPr>
          <w:rFonts w:ascii="Arial" w:cs="Arial" w:eastAsia="Arial" w:hAnsi="Arial"/>
          <w:b/>
          <w:bCs/>
          <w:color w:val="1D9E75"/>
          <w:sz w:val="26"/>
          <w:szCs w:val="26"/>
        </w:rPr>
        <w:t xml:space="preserve">2.1 In Scope</w:t>
      </w:r>
    </w:p>
    <w:p>
      <w:pPr>
        <w:pStyle w:val="ListParagraph"/>
        <w:numPr>
          <w:ilvl w:val="0"/>
          <w:numId w:val="2"/>
        </w:numPr>
        <w:spacing w:after="40" w:before="40"/>
      </w:pPr>
      <w:r>
        <w:rPr>
          <w:rFonts w:ascii="Arial" w:cs="Arial" w:eastAsia="Arial" w:hAnsi="Arial"/>
          <w:color w:val="444441"/>
          <w:sz w:val="20"/>
          <w:szCs w:val="20"/>
        </w:rPr>
        <w:t xml:space="preserve">Multi-location inventory hierarchy (Main Cellar, Dry Goods, Freezer, Bar 1, Restaurant)</w:t>
      </w:r>
    </w:p>
    <w:p>
      <w:pPr>
        <w:pStyle w:val="ListParagraph"/>
        <w:numPr>
          <w:ilvl w:val="0"/>
          <w:numId w:val="2"/>
        </w:numPr>
        <w:spacing w:after="40" w:before="40"/>
      </w:pPr>
      <w:r>
        <w:rPr>
          <w:rFonts w:ascii="Arial" w:cs="Arial" w:eastAsia="Arial" w:hAnsi="Arial"/>
          <w:color w:val="444441"/>
          <w:sz w:val="20"/>
          <w:szCs w:val="20"/>
        </w:rPr>
        <w:t xml:space="preserve">Goods Received Note (GRN) creation, approval, and GL posting</w:t>
      </w:r>
    </w:p>
    <w:p>
      <w:pPr>
        <w:pStyle w:val="ListParagraph"/>
        <w:numPr>
          <w:ilvl w:val="0"/>
          <w:numId w:val="2"/>
        </w:numPr>
        <w:spacing w:after="40" w:before="40"/>
      </w:pPr>
      <w:r>
        <w:rPr>
          <w:rFonts w:ascii="Arial" w:cs="Arial" w:eastAsia="Arial" w:hAnsi="Arial"/>
          <w:color w:val="444441"/>
          <w:sz w:val="20"/>
          <w:szCs w:val="20"/>
        </w:rPr>
        <w:t xml:space="preserve">Inter-store stock transfers with UOM breakdown at outlet level</w:t>
      </w:r>
    </w:p>
    <w:p>
      <w:pPr>
        <w:pStyle w:val="ListParagraph"/>
        <w:numPr>
          <w:ilvl w:val="0"/>
          <w:numId w:val="2"/>
        </w:numPr>
        <w:spacing w:after="40" w:before="40"/>
      </w:pPr>
      <w:r>
        <w:rPr>
          <w:rFonts w:ascii="Arial" w:cs="Arial" w:eastAsia="Arial" w:hAnsi="Arial"/>
          <w:color w:val="444441"/>
          <w:sz w:val="20"/>
          <w:szCs w:val="20"/>
        </w:rPr>
        <w:t xml:space="preserve">Hierarchical Unit of Measure (UOM) conversion engine</w:t>
      </w:r>
    </w:p>
    <w:p>
      <w:pPr>
        <w:pStyle w:val="ListParagraph"/>
        <w:numPr>
          <w:ilvl w:val="0"/>
          <w:numId w:val="2"/>
        </w:numPr>
        <w:spacing w:after="40" w:before="40"/>
      </w:pPr>
      <w:r>
        <w:rPr>
          <w:rFonts w:ascii="Arial" w:cs="Arial" w:eastAsia="Arial" w:hAnsi="Arial"/>
          <w:color w:val="444441"/>
          <w:sz w:val="20"/>
          <w:szCs w:val="20"/>
        </w:rPr>
        <w:t xml:space="preserve">Bill of Materials / Recipe builder and Menu Engineering tools</w:t>
      </w:r>
    </w:p>
    <w:p>
      <w:pPr>
        <w:pStyle w:val="ListParagraph"/>
        <w:numPr>
          <w:ilvl w:val="0"/>
          <w:numId w:val="2"/>
        </w:numPr>
        <w:spacing w:after="40" w:before="40"/>
      </w:pPr>
      <w:r>
        <w:rPr>
          <w:rFonts w:ascii="Arial" w:cs="Arial" w:eastAsia="Arial" w:hAnsi="Arial"/>
          <w:color w:val="444441"/>
          <w:sz w:val="20"/>
          <w:szCs w:val="20"/>
        </w:rPr>
        <w:t xml:space="preserve">POS-driven inventory depletion with wastage/yield factor</w:t>
      </w:r>
    </w:p>
    <w:p>
      <w:pPr>
        <w:pStyle w:val="ListParagraph"/>
        <w:numPr>
          <w:ilvl w:val="0"/>
          <w:numId w:val="2"/>
        </w:numPr>
        <w:spacing w:after="40" w:before="40"/>
      </w:pPr>
      <w:r>
        <w:rPr>
          <w:rFonts w:ascii="Arial" w:cs="Arial" w:eastAsia="Arial" w:hAnsi="Arial"/>
          <w:color w:val="444441"/>
          <w:sz w:val="20"/>
          <w:szCs w:val="20"/>
        </w:rPr>
        <w:t xml:space="preserve">Weekly variance report generation and alert system</w:t>
      </w:r>
    </w:p>
    <w:p>
      <w:pPr>
        <w:pStyle w:val="ListParagraph"/>
        <w:numPr>
          <w:ilvl w:val="0"/>
          <w:numId w:val="2"/>
        </w:numPr>
        <w:spacing w:after="40" w:before="40"/>
      </w:pPr>
      <w:r>
        <w:rPr>
          <w:rFonts w:ascii="Arial" w:cs="Arial" w:eastAsia="Arial" w:hAnsi="Arial"/>
          <w:color w:val="444441"/>
          <w:sz w:val="20"/>
          <w:szCs w:val="20"/>
        </w:rPr>
        <w:t xml:space="preserve">USALI-compliant GL journal entries for all inventory movements</w:t>
      </w:r>
    </w:p>
    <w:p>
      <w:pPr>
        <w:pStyle w:val="ListParagraph"/>
        <w:numPr>
          <w:ilvl w:val="0"/>
          <w:numId w:val="2"/>
        </w:numPr>
        <w:spacing w:after="40" w:before="40"/>
      </w:pPr>
      <w:r>
        <w:rPr>
          <w:rFonts w:ascii="Arial" w:cs="Arial" w:eastAsia="Arial" w:hAnsi="Arial"/>
          <w:color w:val="444441"/>
          <w:sz w:val="20"/>
          <w:szCs w:val="20"/>
        </w:rPr>
        <w:t xml:space="preserve">AntiGravity multi-agent deployment with local testing and rollback capability</w:t>
      </w:r>
    </w:p>
    <w:p>
      <w:pPr>
        <w:spacing w:after="0" w:before="120"/>
      </w:pPr>
      <w:r>
        <w:t xml:space="preserve"/>
      </w:r>
    </w:p>
    <w:p>
      <w:pPr>
        <w:pStyle w:val="Heading2"/>
        <w:pBdr>
          <w:bottom w:val="single" w:color="1D9E75" w:sz="4" w:space="4"/>
        </w:pBdr>
        <w:spacing w:after="120" w:before="280"/>
      </w:pPr>
      <w:r>
        <w:rPr>
          <w:rFonts w:ascii="Arial" w:cs="Arial" w:eastAsia="Arial" w:hAnsi="Arial"/>
          <w:b/>
          <w:bCs/>
          <w:color w:val="1D9E75"/>
          <w:sz w:val="26"/>
          <w:szCs w:val="26"/>
        </w:rPr>
        <w:t xml:space="preserve">2.2 Out of Scope</w:t>
      </w:r>
    </w:p>
    <w:p>
      <w:pPr>
        <w:pStyle w:val="ListParagraph"/>
        <w:numPr>
          <w:ilvl w:val="0"/>
          <w:numId w:val="2"/>
        </w:numPr>
        <w:spacing w:after="40" w:before="40"/>
      </w:pPr>
      <w:r>
        <w:rPr>
          <w:rFonts w:ascii="Arial" w:cs="Arial" w:eastAsia="Arial" w:hAnsi="Arial"/>
          <w:color w:val="444441"/>
          <w:sz w:val="20"/>
          <w:szCs w:val="20"/>
        </w:rPr>
        <w:t xml:space="preserve">Supplier procurement and purchase order management (future v12)</w:t>
      </w:r>
    </w:p>
    <w:p>
      <w:pPr>
        <w:pStyle w:val="ListParagraph"/>
        <w:numPr>
          <w:ilvl w:val="0"/>
          <w:numId w:val="2"/>
        </w:numPr>
        <w:spacing w:after="40" w:before="40"/>
      </w:pPr>
      <w:r>
        <w:rPr>
          <w:rFonts w:ascii="Arial" w:cs="Arial" w:eastAsia="Arial" w:hAnsi="Arial"/>
          <w:color w:val="444441"/>
          <w:sz w:val="20"/>
          <w:szCs w:val="20"/>
        </w:rPr>
        <w:t xml:space="preserve">Changes to protected modules: Billing, Front Office, Reservations, Rooms</w:t>
      </w:r>
    </w:p>
    <w:p>
      <w:pPr>
        <w:pStyle w:val="ListParagraph"/>
        <w:numPr>
          <w:ilvl w:val="0"/>
          <w:numId w:val="2"/>
        </w:numPr>
        <w:spacing w:after="40" w:before="40"/>
      </w:pPr>
      <w:r>
        <w:rPr>
          <w:rFonts w:ascii="Arial" w:cs="Arial" w:eastAsia="Arial" w:hAnsi="Arial"/>
          <w:color w:val="444441"/>
          <w:sz w:val="20"/>
          <w:szCs w:val="20"/>
        </w:rPr>
        <w:t xml:space="preserve">Customer-facing menu display or online ordering</w:t>
      </w:r>
    </w:p>
    <w:p>
      <w:pPr>
        <w:pStyle w:val="ListParagraph"/>
        <w:numPr>
          <w:ilvl w:val="0"/>
          <w:numId w:val="2"/>
        </w:numPr>
        <w:spacing w:after="40" w:before="40"/>
      </w:pPr>
      <w:r>
        <w:rPr>
          <w:rFonts w:ascii="Arial" w:cs="Arial" w:eastAsia="Arial" w:hAnsi="Arial"/>
          <w:color w:val="444441"/>
          <w:sz w:val="20"/>
          <w:szCs w:val="20"/>
        </w:rPr>
        <w:t xml:space="preserve">Direct integration with external POS platforms (bridge only, not replacement)</w:t>
      </w:r>
    </w:p>
    <w:p>
      <w:pPr>
        <w:spacing w:after="0" w:before="120"/>
      </w:pPr>
      <w:r>
        <w:t xml:space="preserve"/>
      </w:r>
    </w:p>
    <w:p>
      <w:pPr>
        <w:pStyle w:val="Heading2"/>
        <w:pBdr>
          <w:bottom w:val="single" w:color="1D9E75" w:sz="4" w:space="4"/>
        </w:pBdr>
        <w:spacing w:after="120" w:before="280"/>
      </w:pPr>
      <w:r>
        <w:rPr>
          <w:rFonts w:ascii="Arial" w:cs="Arial" w:eastAsia="Arial" w:hAnsi="Arial"/>
          <w:b/>
          <w:bCs/>
          <w:color w:val="1D9E75"/>
          <w:sz w:val="26"/>
          <w:szCs w:val="26"/>
        </w:rPr>
        <w:t xml:space="preserve">2.3 Strategic Objectives</w:t>
      </w:r>
    </w:p>
    <w:p>
      <w:pPr>
        <w:pStyle w:val="ListParagraph"/>
        <w:numPr>
          <w:ilvl w:val="0"/>
          <w:numId w:val="3"/>
        </w:numPr>
        <w:spacing w:after="40" w:before="40"/>
      </w:pPr>
      <w:r>
        <w:rPr>
          <w:rFonts w:ascii="Arial" w:cs="Arial" w:eastAsia="Arial" w:hAnsi="Arial"/>
          <w:color w:val="444441"/>
          <w:sz w:val="20"/>
          <w:szCs w:val="20"/>
        </w:rPr>
        <w:t xml:space="preserve">Eliminate invisible shrinkage by reconciling POS sales data with physical stock movements weekly.</w:t>
      </w:r>
    </w:p>
    <w:p>
      <w:pPr>
        <w:pStyle w:val="ListParagraph"/>
        <w:numPr>
          <w:ilvl w:val="0"/>
          <w:numId w:val="3"/>
        </w:numPr>
        <w:spacing w:after="40" w:before="40"/>
      </w:pPr>
      <w:r>
        <w:rPr>
          <w:rFonts w:ascii="Arial" w:cs="Arial" w:eastAsia="Arial" w:hAnsi="Arial"/>
          <w:color w:val="444441"/>
          <w:sz w:val="20"/>
          <w:szCs w:val="20"/>
        </w:rPr>
        <w:t xml:space="preserve">Enforce USALI cost accounting discipline across all F&amp;B inventory categories.</w:t>
      </w:r>
    </w:p>
    <w:p>
      <w:pPr>
        <w:pStyle w:val="ListParagraph"/>
        <w:numPr>
          <w:ilvl w:val="0"/>
          <w:numId w:val="3"/>
        </w:numPr>
        <w:spacing w:after="40" w:before="40"/>
      </w:pPr>
      <w:r>
        <w:rPr>
          <w:rFonts w:ascii="Arial" w:cs="Arial" w:eastAsia="Arial" w:hAnsi="Arial"/>
          <w:color w:val="444441"/>
          <w:sz w:val="20"/>
          <w:szCs w:val="20"/>
        </w:rPr>
        <w:t xml:space="preserve">Enable accurate recipe costing so selling prices reflect true ingredient costs.</w:t>
      </w:r>
    </w:p>
    <w:p>
      <w:pPr>
        <w:pStyle w:val="ListParagraph"/>
        <w:numPr>
          <w:ilvl w:val="0"/>
          <w:numId w:val="3"/>
        </w:numPr>
        <w:spacing w:after="40" w:before="40"/>
      </w:pPr>
      <w:r>
        <w:rPr>
          <w:rFonts w:ascii="Arial" w:cs="Arial" w:eastAsia="Arial" w:hAnsi="Arial"/>
          <w:color w:val="444441"/>
          <w:sz w:val="20"/>
          <w:szCs w:val="20"/>
        </w:rPr>
        <w:t xml:space="preserve">Provide management with real-time stock valuations per location at all times.</w:t>
      </w:r>
    </w:p>
    <w:p>
      <w:pPr>
        <w:pStyle w:val="ListParagraph"/>
        <w:numPr>
          <w:ilvl w:val="0"/>
          <w:numId w:val="3"/>
        </w:numPr>
        <w:spacing w:after="40" w:before="40"/>
      </w:pPr>
      <w:r>
        <w:rPr>
          <w:rFonts w:ascii="Arial" w:cs="Arial" w:eastAsia="Arial" w:hAnsi="Arial"/>
          <w:color w:val="444441"/>
          <w:sz w:val="20"/>
          <w:szCs w:val="20"/>
        </w:rPr>
        <w:t xml:space="preserve">Deploy with zero disruption to live hotel operations — local test gate enforced.</w:t>
      </w:r>
    </w:p>
    <w:p>
      <w:pPr>
        <w:spacing w:after="0" w:before="160"/>
      </w:pPr>
      <w:r>
        <w:t xml:space="preserve"/>
      </w:r>
    </w:p>
    <w:p>
      <w:r>
        <w:br w:type="page"/>
      </w:r>
    </w:p>
    <w:p>
      <w:pPr>
        <w:pStyle w:val="Heading1"/>
        <w:spacing w:after="160" w:before="360"/>
      </w:pPr>
      <w:r>
        <w:rPr>
          <w:rFonts w:ascii="Arial" w:cs="Arial" w:eastAsia="Arial" w:hAnsi="Arial"/>
          <w:b/>
          <w:bCs/>
          <w:color w:val="1A2332"/>
          <w:sz w:val="36"/>
          <w:szCs w:val="36"/>
        </w:rPr>
        <w:t xml:space="preserve">3. Stakeholders &amp; Roles</w:t>
      </w:r>
    </w:p>
    <w:p>
      <w:pPr>
        <w:pBdr>
          <w:bottom w:val="single" w:color="1D9E75" w:sz="6" w:space="1"/>
        </w:pBdr>
        <w:spacing w:after="40" w:before="40"/>
      </w:pPr>
      <w:r>
        <w:t xml:space="preserv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80"/>
        <w:gridCol w:w="3880"/>
      </w:tblGrid>
      <w:tr>
        <w:tc>
          <w:tcPr>
            <w:tcW w:type="dxa" w:w="280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Stakeholder</w:t>
            </w:r>
          </w:p>
        </w:tc>
        <w:tc>
          <w:tcPr>
            <w:tcW w:type="dxa" w:w="268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Role</w:t>
            </w:r>
          </w:p>
        </w:tc>
        <w:tc>
          <w:tcPr>
            <w:tcW w:type="dxa" w:w="388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Interest in This Module</w:t>
            </w:r>
          </w:p>
        </w:tc>
      </w:tr>
      <w:tr>
        <w:tc>
          <w:tcPr>
            <w:tcW w:type="dxa" w:w="28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bCs/>
                <w:color w:val="1A2332"/>
                <w:sz w:val="18"/>
                <w:szCs w:val="18"/>
              </w:rPr>
              <w:t xml:space="preserve">Vhukile Matenda</w:t>
            </w:r>
          </w:p>
        </w:tc>
        <w:tc>
          <w:tcPr>
            <w:tcW w:type="dxa" w:w="2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Finance &amp; Technology Director</w:t>
            </w:r>
          </w:p>
        </w:tc>
        <w:tc>
          <w:tcPr>
            <w:tcW w:type="dxa" w:w="38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System owner, cost control oversight, deployment approval</w:t>
            </w:r>
          </w:p>
        </w:tc>
      </w:tr>
      <w:tr>
        <w:tc>
          <w:tcPr>
            <w:tcW w:type="dxa" w:w="28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F&amp;B Manager</w:t>
            </w:r>
          </w:p>
        </w:tc>
        <w:tc>
          <w:tcPr>
            <w:tcW w:type="dxa" w:w="268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Operations</w:t>
            </w:r>
          </w:p>
        </w:tc>
        <w:tc>
          <w:tcPr>
            <w:tcW w:type="dxa" w:w="388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Recipe management, outlet stock levels, variance alerts</w:t>
            </w:r>
          </w:p>
        </w:tc>
      </w:tr>
      <w:tr>
        <w:tc>
          <w:tcPr>
            <w:tcW w:type="dxa" w:w="28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Bar &amp; Restaurant Staff</w:t>
            </w:r>
          </w:p>
        </w:tc>
        <w:tc>
          <w:tcPr>
            <w:tcW w:type="dxa" w:w="268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End Users</w:t>
            </w:r>
          </w:p>
        </w:tc>
        <w:tc>
          <w:tcPr>
            <w:tcW w:type="dxa" w:w="388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Stock transfer notes, GRN receiving assistance</w:t>
            </w:r>
          </w:p>
        </w:tc>
      </w:tr>
      <w:tr>
        <w:tc>
          <w:tcPr>
            <w:tcW w:type="dxa" w:w="28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General Manager</w:t>
            </w:r>
          </w:p>
        </w:tc>
        <w:tc>
          <w:tcPr>
            <w:tcW w:type="dxa" w:w="268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Oversight</w:t>
            </w:r>
          </w:p>
        </w:tc>
        <w:tc>
          <w:tcPr>
            <w:tcW w:type="dxa" w:w="388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Weekly variance summary reports, KPI dashboard</w:t>
            </w:r>
          </w:p>
        </w:tc>
      </w:tr>
      <w:tr>
        <w:tc>
          <w:tcPr>
            <w:tcW w:type="dxa" w:w="28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AntiGravity Agents</w:t>
            </w:r>
          </w:p>
        </w:tc>
        <w:tc>
          <w:tcPr>
            <w:tcW w:type="dxa" w:w="268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Development</w:t>
            </w:r>
          </w:p>
        </w:tc>
        <w:tc>
          <w:tcPr>
            <w:tcW w:type="dxa" w:w="388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Schema, backend logic, UI — under Main Agent coordination</w:t>
            </w:r>
          </w:p>
        </w:tc>
      </w:tr>
    </w:tbl>
    <w:p>
      <w:pPr>
        <w:spacing w:after="0" w:before="160"/>
      </w:pPr>
      <w:r>
        <w:t xml:space="preserve"/>
      </w:r>
    </w:p>
    <w:p>
      <w:r>
        <w:br w:type="page"/>
      </w:r>
    </w:p>
    <w:p>
      <w:pPr>
        <w:pStyle w:val="Heading1"/>
        <w:spacing w:after="160" w:before="360"/>
      </w:pPr>
      <w:r>
        <w:rPr>
          <w:rFonts w:ascii="Arial" w:cs="Arial" w:eastAsia="Arial" w:hAnsi="Arial"/>
          <w:b/>
          <w:bCs/>
          <w:color w:val="1A2332"/>
          <w:sz w:val="36"/>
          <w:szCs w:val="36"/>
        </w:rPr>
        <w:t xml:space="preserve">4. Functional Requirements</w:t>
      </w:r>
    </w:p>
    <w:p>
      <w:pPr>
        <w:pBdr>
          <w:bottom w:val="single" w:color="1D9E75" w:sz="6" w:space="1"/>
        </w:pBdr>
        <w:spacing w:after="40" w:before="40"/>
      </w:pPr>
      <w:r>
        <w:t xml:space="preserve"/>
      </w:r>
    </w:p>
    <w:p>
      <w:pPr>
        <w:spacing w:after="0" w:before="80"/>
      </w:pPr>
      <w:r>
        <w:t xml:space="preserve"/>
      </w:r>
    </w:p>
    <w:p>
      <w:pPr>
        <w:pStyle w:val="Heading2"/>
        <w:pBdr>
          <w:bottom w:val="single" w:color="1D9E75" w:sz="4" w:space="4"/>
        </w:pBdr>
        <w:spacing w:after="120" w:before="280"/>
      </w:pPr>
      <w:r>
        <w:rPr>
          <w:rFonts w:ascii="Arial" w:cs="Arial" w:eastAsia="Arial" w:hAnsi="Arial"/>
          <w:b/>
          <w:bCs/>
          <w:color w:val="1D9E75"/>
          <w:sz w:val="26"/>
          <w:szCs w:val="26"/>
        </w:rPr>
        <w:t xml:space="preserve">4.1 Multi-Location Inventory Hierarchy</w:t>
      </w:r>
    </w:p>
    <w:p>
      <w:pPr>
        <w:spacing w:after="60" w:before="60"/>
      </w:pPr>
      <w:r>
        <w:rPr>
          <w:rFonts w:ascii="Arial" w:cs="Arial" w:eastAsia="Arial" w:hAnsi="Arial"/>
          <w:color w:val="444441"/>
          <w:sz w:val="20"/>
          <w:szCs w:val="20"/>
        </w:rPr>
        <w:t xml:space="preserve">The system must maintain separate, independently tracked stock balances for each of the following locations: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Location</w:t>
            </w:r>
          </w:p>
        </w:tc>
        <w:tc>
          <w:tcPr>
            <w:tcW w:type="dxa" w:w="220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Type</w:t>
            </w:r>
          </w:p>
        </w:tc>
        <w:tc>
          <w:tcPr>
            <w:tcW w:type="dxa" w:w="248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Typical Stock Categories</w:t>
            </w:r>
          </w:p>
        </w:tc>
        <w:tc>
          <w:tcPr>
            <w:tcW w:type="dxa" w:w="248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Transfer Direction</w:t>
            </w:r>
          </w:p>
        </w:tc>
      </w:tr>
      <w:tr>
        <w:tc>
          <w:tcPr>
            <w:tcW w:type="dxa" w:w="22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bCs/>
                <w:color w:val="1A2332"/>
                <w:sz w:val="18"/>
                <w:szCs w:val="18"/>
              </w:rPr>
              <w:t xml:space="preserve">Main Cellar</w:t>
            </w:r>
          </w:p>
        </w:tc>
        <w:tc>
          <w:tcPr>
            <w:tcW w:type="dxa" w:w="22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Storage</w:t>
            </w:r>
          </w:p>
        </w:tc>
        <w:tc>
          <w:tcPr>
            <w:tcW w:type="dxa" w:w="248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Spirits, wines, bulk beverages</w:t>
            </w:r>
          </w:p>
        </w:tc>
        <w:tc>
          <w:tcPr>
            <w:tcW w:type="dxa" w:w="248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Source only</w:t>
            </w:r>
          </w:p>
        </w:tc>
      </w:tr>
      <w:tr>
        <w:tc>
          <w:tcPr>
            <w:tcW w:type="dxa" w:w="22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bCs/>
                <w:color w:val="1A2332"/>
                <w:sz w:val="18"/>
                <w:szCs w:val="18"/>
              </w:rPr>
              <w:t xml:space="preserve">Dry Goods Store</w:t>
            </w:r>
          </w:p>
        </w:tc>
        <w:tc>
          <w:tcPr>
            <w:tcW w:type="dxa" w:w="22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Storage</w:t>
            </w:r>
          </w:p>
        </w:tc>
        <w:tc>
          <w:tcPr>
            <w:tcW w:type="dxa" w:w="248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Non-perishable food, cleaning supplies</w:t>
            </w:r>
          </w:p>
        </w:tc>
        <w:tc>
          <w:tcPr>
            <w:tcW w:type="dxa" w:w="248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Source only</w:t>
            </w:r>
          </w:p>
        </w:tc>
      </w:tr>
      <w:tr>
        <w:tc>
          <w:tcPr>
            <w:tcW w:type="dxa" w:w="22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bCs/>
                <w:color w:val="1A2332"/>
                <w:sz w:val="18"/>
                <w:szCs w:val="18"/>
              </w:rPr>
              <w:t xml:space="preserve">Freezer / Perishables</w:t>
            </w:r>
          </w:p>
        </w:tc>
        <w:tc>
          <w:tcPr>
            <w:tcW w:type="dxa" w:w="22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Storage</w:t>
            </w:r>
          </w:p>
        </w:tc>
        <w:tc>
          <w:tcPr>
            <w:tcW w:type="dxa" w:w="248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Meat, dairy, frozen foods</w:t>
            </w:r>
          </w:p>
        </w:tc>
        <w:tc>
          <w:tcPr>
            <w:tcW w:type="dxa" w:w="248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Source only</w:t>
            </w:r>
          </w:p>
        </w:tc>
      </w:tr>
      <w:tr>
        <w:tc>
          <w:tcPr>
            <w:tcW w:type="dxa" w:w="22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bCs/>
                <w:color w:val="1A2332"/>
                <w:sz w:val="18"/>
                <w:szCs w:val="18"/>
              </w:rPr>
              <w:t xml:space="preserve">Bar 1</w:t>
            </w:r>
          </w:p>
        </w:tc>
        <w:tc>
          <w:tcPr>
            <w:tcW w:type="dxa" w:w="22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Outlet</w:t>
            </w:r>
          </w:p>
        </w:tc>
        <w:tc>
          <w:tcPr>
            <w:tcW w:type="dxa" w:w="248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Broken-down spirits, draft, mixers</w:t>
            </w:r>
          </w:p>
        </w:tc>
        <w:tc>
          <w:tcPr>
            <w:tcW w:type="dxa" w:w="248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Destination (from storage)</w:t>
            </w:r>
          </w:p>
        </w:tc>
      </w:tr>
      <w:tr>
        <w:tc>
          <w:tcPr>
            <w:tcW w:type="dxa" w:w="22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bCs/>
                <w:color w:val="1A2332"/>
                <w:sz w:val="18"/>
                <w:szCs w:val="18"/>
              </w:rPr>
              <w:t xml:space="preserve">Restaurant</w:t>
            </w:r>
          </w:p>
        </w:tc>
        <w:tc>
          <w:tcPr>
            <w:tcW w:type="dxa" w:w="22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Outlet</w:t>
            </w:r>
          </w:p>
        </w:tc>
        <w:tc>
          <w:tcPr>
            <w:tcW w:type="dxa" w:w="248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Portioned food, garnishes, condiments</w:t>
            </w:r>
          </w:p>
        </w:tc>
        <w:tc>
          <w:tcPr>
            <w:tcW w:type="dxa" w:w="248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Destination (from storage)</w:t>
            </w:r>
          </w:p>
        </w:tc>
      </w:tr>
    </w:tbl>
    <w:p>
      <w:pPr>
        <w:spacing w:after="0" w:before="140"/>
      </w:pPr>
      <w:r>
        <w:t xml:space="preserve"/>
      </w:r>
    </w:p>
    <w:p>
      <w:pPr>
        <w:pStyle w:val="Heading2"/>
        <w:pBdr>
          <w:bottom w:val="single" w:color="1D9E75" w:sz="4" w:space="4"/>
        </w:pBdr>
        <w:spacing w:after="120" w:before="280"/>
      </w:pPr>
      <w:r>
        <w:rPr>
          <w:rFonts w:ascii="Arial" w:cs="Arial" w:eastAsia="Arial" w:hAnsi="Arial"/>
          <w:b/>
          <w:bCs/>
          <w:color w:val="1D9E75"/>
          <w:sz w:val="26"/>
          <w:szCs w:val="26"/>
        </w:rPr>
        <w:t xml:space="preserve">4.2 Unit of Measure (UOM) Conversion Engine</w:t>
      </w:r>
    </w:p>
    <w:p>
      <w:pPr>
        <w:spacing w:after="60" w:before="60"/>
      </w:pPr>
      <w:r>
        <w:rPr>
          <w:rFonts w:ascii="Arial" w:cs="Arial" w:eastAsia="Arial" w:hAnsi="Arial"/>
          <w:color w:val="444441"/>
          <w:sz w:val="20"/>
          <w:szCs w:val="20"/>
        </w:rPr>
        <w:t xml:space="preserve">The system must support full hierarchical UOM chains. Each inventory item has a base UOM. All stock ledger entries are recorded in base units and converted for display.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BA7517"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EXAMPLE</w:t>
            </w:r>
          </w:p>
        </w:tc>
        <w:tc>
          <w:tcPr>
            <w:tcW w:type="dxa" w:w="7960"/>
            <w:tcBorders>
              <w:top w:val="none" w:color="FFFFFF" w:sz="0"/>
              <w:left w:val="none" w:color="FFFFFF" w:sz="0"/>
              <w:bottom w:val="none" w:color="FFFFFF" w:sz="0"/>
              <w:right w:val="none" w:color="FFFFFF" w:sz="0"/>
            </w:tcBorders>
            <w:shd w:fill="E6F1FB" w:val="clear"/>
            <w:tcMar>
              <w:top w:type="dxa" w:w="90"/>
              <w:left w:type="dxa" w:w="140"/>
              <w:bottom w:type="dxa" w:w="90"/>
              <w:right w:type="dxa" w:w="140"/>
            </w:tcMar>
          </w:tcPr>
          <w:p>
            <w:r>
              <w:rPr>
                <w:rFonts w:ascii="Arial" w:cs="Arial" w:eastAsia="Arial" w:hAnsi="Arial"/>
                <w:color w:val="444441"/>
                <w:sz w:val="19"/>
                <w:szCs w:val="19"/>
              </w:rPr>
              <w:t xml:space="preserve">1 Case of Jameson = 12 Bottles = 9,000 ml = 360 Tots (25ml). When 2 Bottles transfer to Bar 1 with "Breakdown" flag, the destination records +60 Tots (2 x 30 tots per 750ml bottle).</w:t>
            </w:r>
          </w:p>
        </w:tc>
      </w:tr>
    </w:tbl>
    <w:p>
      <w:pPr>
        <w:spacing w:after="0" w:before="100"/>
      </w:pPr>
      <w:r>
        <w:t xml:space="preserve"/>
      </w:r>
    </w:p>
    <w:p>
      <w:pPr>
        <w:pStyle w:val="ListParagraph"/>
        <w:numPr>
          <w:ilvl w:val="0"/>
          <w:numId w:val="2"/>
        </w:numPr>
        <w:spacing w:after="40" w:before="40"/>
      </w:pPr>
      <w:r>
        <w:rPr>
          <w:rFonts w:ascii="Arial" w:cs="Arial" w:eastAsia="Arial" w:hAnsi="Arial"/>
          <w:color w:val="444441"/>
          <w:sz w:val="20"/>
          <w:szCs w:val="20"/>
        </w:rPr>
        <w:t xml:space="preserve">Each item defines a UOM chain with conversion factors stored per hop</w:t>
      </w:r>
    </w:p>
    <w:p>
      <w:pPr>
        <w:pStyle w:val="ListParagraph"/>
        <w:numPr>
          <w:ilvl w:val="0"/>
          <w:numId w:val="2"/>
        </w:numPr>
        <w:spacing w:after="40" w:before="40"/>
      </w:pPr>
      <w:r>
        <w:rPr>
          <w:rFonts w:ascii="Arial" w:cs="Arial" w:eastAsia="Arial" w:hAnsi="Arial"/>
          <w:color w:val="444441"/>
          <w:sz w:val="20"/>
          <w:szCs w:val="20"/>
        </w:rPr>
        <w:t xml:space="preserve">Breakdown flag on a transfer triggers automatic conversion at the destination UOM</w:t>
      </w:r>
    </w:p>
    <w:p>
      <w:pPr>
        <w:pStyle w:val="ListParagraph"/>
        <w:numPr>
          <w:ilvl w:val="0"/>
          <w:numId w:val="2"/>
        </w:numPr>
        <w:spacing w:after="40" w:before="40"/>
      </w:pPr>
      <w:r>
        <w:rPr>
          <w:rFonts w:ascii="Arial" w:cs="Arial" w:eastAsia="Arial" w:hAnsi="Arial"/>
          <w:color w:val="444441"/>
          <w:sz w:val="20"/>
          <w:szCs w:val="20"/>
        </w:rPr>
        <w:t xml:space="preserve">GRN receives in bulk UOM (Cases, Crates, Drums); ledger converts to base units</w:t>
      </w:r>
    </w:p>
    <w:p>
      <w:pPr>
        <w:pStyle w:val="ListParagraph"/>
        <w:numPr>
          <w:ilvl w:val="0"/>
          <w:numId w:val="2"/>
        </w:numPr>
        <w:spacing w:after="40" w:before="40"/>
      </w:pPr>
      <w:r>
        <w:rPr>
          <w:rFonts w:ascii="Arial" w:cs="Arial" w:eastAsia="Arial" w:hAnsi="Arial"/>
          <w:color w:val="444441"/>
          <w:sz w:val="20"/>
          <w:szCs w:val="20"/>
        </w:rPr>
        <w:t xml:space="preserve">Recipe ingredients are defined in preparation UOM (e.g., grams, ml, tots)</w:t>
      </w:r>
    </w:p>
    <w:p>
      <w:pPr>
        <w:spacing w:after="0" w:before="140"/>
      </w:pPr>
      <w:r>
        <w:t xml:space="preserve"/>
      </w:r>
    </w:p>
    <w:p>
      <w:pPr>
        <w:pStyle w:val="Heading2"/>
        <w:pBdr>
          <w:bottom w:val="single" w:color="1D9E75" w:sz="4" w:space="4"/>
        </w:pBdr>
        <w:spacing w:after="120" w:before="280"/>
      </w:pPr>
      <w:r>
        <w:rPr>
          <w:rFonts w:ascii="Arial" w:cs="Arial" w:eastAsia="Arial" w:hAnsi="Arial"/>
          <w:b/>
          <w:bCs/>
          <w:color w:val="1D9E75"/>
          <w:sz w:val="26"/>
          <w:szCs w:val="26"/>
        </w:rPr>
        <w:t xml:space="preserve">4.3 Goods Received Note (GRN)</w:t>
      </w:r>
    </w:p>
    <w:p>
      <w:pPr>
        <w:spacing w:after="60" w:before="60"/>
      </w:pPr>
      <w:r>
        <w:rPr>
          <w:rFonts w:ascii="Arial" w:cs="Arial" w:eastAsia="Arial" w:hAnsi="Arial"/>
          <w:color w:val="444441"/>
          <w:sz w:val="20"/>
          <w:szCs w:val="20"/>
        </w:rPr>
        <w:t xml:space="preserve">All stock entering the property must be recorded via a GRN. The GRN screen captures supplier, date, destination store, and line items with quantities, bulk UOM, unit cost, and optional expiry date.</w:t>
      </w:r>
    </w:p>
    <w:p>
      <w:pPr>
        <w:spacing w:after="0" w:before="60"/>
      </w:pPr>
      <w:r>
        <w:t xml:space="preserve"/>
      </w:r>
    </w:p>
    <w:p>
      <w:pPr>
        <w:pStyle w:val="ListParagraph"/>
        <w:numPr>
          <w:ilvl w:val="0"/>
          <w:numId w:val="2"/>
        </w:numPr>
        <w:spacing w:after="40" w:before="40"/>
      </w:pPr>
      <w:r>
        <w:rPr>
          <w:rFonts w:ascii="Arial" w:cs="Arial" w:eastAsia="Arial" w:hAnsi="Arial"/>
          <w:color w:val="444441"/>
          <w:sz w:val="20"/>
          <w:szCs w:val="20"/>
        </w:rPr>
        <w:t xml:space="preserve">GRN auto-calculates total line cost and total GRN value</w:t>
      </w:r>
    </w:p>
    <w:p>
      <w:pPr>
        <w:pStyle w:val="ListParagraph"/>
        <w:numPr>
          <w:ilvl w:val="0"/>
          <w:numId w:val="2"/>
        </w:numPr>
        <w:spacing w:after="40" w:before="40"/>
      </w:pPr>
      <w:r>
        <w:rPr>
          <w:rFonts w:ascii="Arial" w:cs="Arial" w:eastAsia="Arial" w:hAnsi="Arial"/>
          <w:color w:val="444441"/>
          <w:sz w:val="20"/>
          <w:szCs w:val="20"/>
        </w:rPr>
        <w:t xml:space="preserve">On posting, the system writes to the stock ledger (type: GRN) and triggers a GL journal entry</w:t>
      </w:r>
    </w:p>
    <w:p>
      <w:pPr>
        <w:pStyle w:val="ListParagraph"/>
        <w:numPr>
          <w:ilvl w:val="0"/>
          <w:numId w:val="2"/>
        </w:numPr>
        <w:spacing w:after="40" w:before="40"/>
      </w:pPr>
      <w:r>
        <w:rPr>
          <w:rFonts w:ascii="Arial" w:cs="Arial" w:eastAsia="Arial" w:hAnsi="Arial"/>
          <w:color w:val="444441"/>
          <w:sz w:val="20"/>
          <w:szCs w:val="20"/>
        </w:rPr>
        <w:t xml:space="preserve">GL entry: Debit Inventory Asset Account / Credit Accounts Payable</w:t>
      </w:r>
    </w:p>
    <w:p>
      <w:pPr>
        <w:pStyle w:val="ListParagraph"/>
        <w:numPr>
          <w:ilvl w:val="0"/>
          <w:numId w:val="2"/>
        </w:numPr>
        <w:spacing w:after="40" w:before="40"/>
      </w:pPr>
      <w:r>
        <w:rPr>
          <w:rFonts w:ascii="Arial" w:cs="Arial" w:eastAsia="Arial" w:hAnsi="Arial"/>
          <w:color w:val="444441"/>
          <w:sz w:val="20"/>
          <w:szCs w:val="20"/>
        </w:rPr>
        <w:t xml:space="preserve">GRN number is auto-generated in format: GRN-[YYYY]-[NNNN]</w:t>
      </w:r>
    </w:p>
    <w:p>
      <w:pPr>
        <w:pStyle w:val="ListParagraph"/>
        <w:numPr>
          <w:ilvl w:val="0"/>
          <w:numId w:val="2"/>
        </w:numPr>
        <w:spacing w:after="40" w:before="40"/>
      </w:pPr>
      <w:r>
        <w:rPr>
          <w:rFonts w:ascii="Arial" w:cs="Arial" w:eastAsia="Arial" w:hAnsi="Arial"/>
          <w:color w:val="444441"/>
          <w:sz w:val="20"/>
          <w:szCs w:val="20"/>
        </w:rPr>
        <w:t xml:space="preserve">Duplicate GRN posting must be blocked at the database level</w:t>
      </w:r>
    </w:p>
    <w:p>
      <w:pPr>
        <w:spacing w:after="0" w:before="140"/>
      </w:pPr>
      <w:r>
        <w:t xml:space="preserve"/>
      </w:r>
    </w:p>
    <w:p>
      <w:pPr>
        <w:pStyle w:val="Heading2"/>
        <w:pBdr>
          <w:bottom w:val="single" w:color="1D9E75" w:sz="4" w:space="4"/>
        </w:pBdr>
        <w:spacing w:after="120" w:before="280"/>
      </w:pPr>
      <w:r>
        <w:rPr>
          <w:rFonts w:ascii="Arial" w:cs="Arial" w:eastAsia="Arial" w:hAnsi="Arial"/>
          <w:b/>
          <w:bCs/>
          <w:color w:val="1D9E75"/>
          <w:sz w:val="26"/>
          <w:szCs w:val="26"/>
        </w:rPr>
        <w:t xml:space="preserve">4.4 Stock Transfer &amp; Breakdown</w:t>
      </w:r>
    </w:p>
    <w:p>
      <w:pPr>
        <w:spacing w:after="60" w:before="60"/>
      </w:pPr>
      <w:r>
        <w:rPr>
          <w:rFonts w:ascii="Arial" w:cs="Arial" w:eastAsia="Arial" w:hAnsi="Arial"/>
          <w:color w:val="444441"/>
          <w:sz w:val="20"/>
          <w:szCs w:val="20"/>
        </w:rPr>
        <w:t xml:space="preserve">Stock transfers move inventory between a source location and a destination location. Transfers require approval by an authorised manager before the stock ledger is updated.</w:t>
      </w:r>
    </w:p>
    <w:p>
      <w:pPr>
        <w:spacing w:after="0" w:before="60"/>
      </w:pPr>
      <w:r>
        <w:t xml:space="preserve"/>
      </w:r>
    </w:p>
    <w:p>
      <w:pPr>
        <w:pStyle w:val="ListParagraph"/>
        <w:numPr>
          <w:ilvl w:val="0"/>
          <w:numId w:val="2"/>
        </w:numPr>
        <w:spacing w:after="40" w:before="40"/>
      </w:pPr>
      <w:r>
        <w:rPr>
          <w:rFonts w:ascii="Arial" w:cs="Arial" w:eastAsia="Arial" w:hAnsi="Arial"/>
          <w:color w:val="444441"/>
          <w:sz w:val="20"/>
          <w:szCs w:val="20"/>
        </w:rPr>
        <w:t xml:space="preserve">Transfer creates two ledger entries: TRANSFER_OUT (source, negative) and TRANSFER_IN (destination, positive)</w:t>
      </w:r>
    </w:p>
    <w:p>
      <w:pPr>
        <w:pStyle w:val="ListParagraph"/>
        <w:numPr>
          <w:ilvl w:val="0"/>
          <w:numId w:val="2"/>
        </w:numPr>
        <w:spacing w:after="40" w:before="40"/>
      </w:pPr>
      <w:r>
        <w:rPr>
          <w:rFonts w:ascii="Arial" w:cs="Arial" w:eastAsia="Arial" w:hAnsi="Arial"/>
          <w:color w:val="444441"/>
          <w:sz w:val="20"/>
          <w:szCs w:val="20"/>
        </w:rPr>
        <w:t xml:space="preserve">If Breakdown is flagged, destination quantity is converted via the UOM engine before posting</w:t>
      </w:r>
    </w:p>
    <w:p>
      <w:pPr>
        <w:pStyle w:val="ListParagraph"/>
        <w:numPr>
          <w:ilvl w:val="0"/>
          <w:numId w:val="2"/>
        </w:numPr>
        <w:spacing w:after="40" w:before="40"/>
      </w:pPr>
      <w:r>
        <w:rPr>
          <w:rFonts w:ascii="Arial" w:cs="Arial" w:eastAsia="Arial" w:hAnsi="Arial"/>
          <w:color w:val="444441"/>
          <w:sz w:val="20"/>
          <w:szCs w:val="20"/>
        </w:rPr>
        <w:t xml:space="preserve">Current stock balance of the source location is displayed on the transfer line for validation</w:t>
      </w:r>
    </w:p>
    <w:p>
      <w:pPr>
        <w:pStyle w:val="ListParagraph"/>
        <w:numPr>
          <w:ilvl w:val="0"/>
          <w:numId w:val="2"/>
        </w:numPr>
        <w:spacing w:after="40" w:before="40"/>
      </w:pPr>
      <w:r>
        <w:rPr>
          <w:rFonts w:ascii="Arial" w:cs="Arial" w:eastAsia="Arial" w:hAnsi="Arial"/>
          <w:color w:val="444441"/>
          <w:sz w:val="20"/>
          <w:szCs w:val="20"/>
        </w:rPr>
        <w:t xml:space="preserve">Transfers cannot exceed available source balance — hard block at approval stage</w:t>
      </w:r>
    </w:p>
    <w:p>
      <w:pPr>
        <w:pStyle w:val="ListParagraph"/>
        <w:numPr>
          <w:ilvl w:val="0"/>
          <w:numId w:val="2"/>
        </w:numPr>
        <w:spacing w:after="40" w:before="40"/>
      </w:pPr>
      <w:r>
        <w:rPr>
          <w:rFonts w:ascii="Arial" w:cs="Arial" w:eastAsia="Arial" w:hAnsi="Arial"/>
          <w:color w:val="444441"/>
          <w:sz w:val="20"/>
          <w:szCs w:val="20"/>
        </w:rPr>
        <w:t xml:space="preserve">Reference field supports free text (e.g., "Restock Bar 1 — Saturday service")</w:t>
      </w:r>
    </w:p>
    <w:p>
      <w:pPr>
        <w:spacing w:after="0" w:before="140"/>
      </w:pPr>
      <w:r>
        <w:t xml:space="preserve"/>
      </w:r>
    </w:p>
    <w:p>
      <w:pPr>
        <w:pStyle w:val="Heading2"/>
        <w:pBdr>
          <w:bottom w:val="single" w:color="1D9E75" w:sz="4" w:space="4"/>
        </w:pBdr>
        <w:spacing w:after="120" w:before="280"/>
      </w:pPr>
      <w:r>
        <w:rPr>
          <w:rFonts w:ascii="Arial" w:cs="Arial" w:eastAsia="Arial" w:hAnsi="Arial"/>
          <w:b/>
          <w:bCs/>
          <w:color w:val="1D9E75"/>
          <w:sz w:val="26"/>
          <w:szCs w:val="26"/>
        </w:rPr>
        <w:t xml:space="preserve">4.5 Recipe Builder &amp; Bill of Materials</w:t>
      </w:r>
    </w:p>
    <w:p>
      <w:pPr>
        <w:spacing w:after="60" w:before="60"/>
      </w:pPr>
      <w:r>
        <w:rPr>
          <w:rFonts w:ascii="Arial" w:cs="Arial" w:eastAsia="Arial" w:hAnsi="Arial"/>
          <w:color w:val="444441"/>
          <w:sz w:val="20"/>
          <w:szCs w:val="20"/>
        </w:rPr>
        <w:t xml:space="preserve">The Menu Engineering function maps each POS SKU to a set of inventory ingredients with quantities and wastage factors. This is the Bill of Materials (BOM) for each menu item.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Ingredient</w:t>
            </w:r>
          </w:p>
        </w:tc>
        <w:tc>
          <w:tcPr>
            <w:tcW w:type="dxa" w:w="156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Qty Required</w:t>
            </w:r>
          </w:p>
        </w:tc>
        <w:tc>
          <w:tcPr>
            <w:tcW w:type="dxa" w:w="156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UOM</w:t>
            </w:r>
          </w:p>
        </w:tc>
        <w:tc>
          <w:tcPr>
            <w:tcW w:type="dxa" w:w="156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Wastage %</w:t>
            </w:r>
          </w:p>
        </w:tc>
        <w:tc>
          <w:tcPr>
            <w:tcW w:type="dxa" w:w="234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Effective Cost</w:t>
            </w:r>
          </w:p>
        </w:tc>
      </w:tr>
      <w:tr>
        <w:tc>
          <w:tcPr>
            <w:tcW w:type="dxa" w:w="234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Whole Chicken (1/4 portion)</w:t>
            </w:r>
          </w:p>
        </w:tc>
        <w:tc>
          <w:tcPr>
            <w:tcW w:type="dxa" w:w="156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350</w:t>
            </w:r>
          </w:p>
        </w:tc>
        <w:tc>
          <w:tcPr>
            <w:tcW w:type="dxa" w:w="156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grams</w:t>
            </w:r>
          </w:p>
        </w:tc>
        <w:tc>
          <w:tcPr>
            <w:tcW w:type="dxa" w:w="156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5%</w:t>
            </w:r>
          </w:p>
        </w:tc>
        <w:tc>
          <w:tcPr>
            <w:tcW w:type="dxa" w:w="234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Auto-calculated from current stock cost</w:t>
            </w:r>
          </w:p>
        </w:tc>
      </w:tr>
      <w:tr>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Cooking Oil</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30</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ml</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Auto-calculated from current stock cost</w:t>
            </w:r>
          </w:p>
        </w:tc>
      </w:tr>
      <w:tr>
        <w:tc>
          <w:tcPr>
            <w:tcW w:type="dxa" w:w="234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Coleslaw Mix</w:t>
            </w:r>
          </w:p>
        </w:tc>
        <w:tc>
          <w:tcPr>
            <w:tcW w:type="dxa" w:w="156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80</w:t>
            </w:r>
          </w:p>
        </w:tc>
        <w:tc>
          <w:tcPr>
            <w:tcW w:type="dxa" w:w="156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grams</w:t>
            </w:r>
          </w:p>
        </w:tc>
        <w:tc>
          <w:tcPr>
            <w:tcW w:type="dxa" w:w="156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8%</w:t>
            </w:r>
          </w:p>
        </w:tc>
        <w:tc>
          <w:tcPr>
            <w:tcW w:type="dxa" w:w="234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Auto-calculated from current stock cost</w:t>
            </w:r>
          </w:p>
        </w:tc>
      </w:tr>
    </w:tbl>
    <w:p>
      <w:pPr>
        <w:spacing w:after="0" w:before="100"/>
      </w:pPr>
      <w:r>
        <w:t xml:space="preserve"/>
      </w:r>
    </w:p>
    <w:p>
      <w:pPr>
        <w:pStyle w:val="ListParagraph"/>
        <w:numPr>
          <w:ilvl w:val="0"/>
          <w:numId w:val="2"/>
        </w:numPr>
        <w:spacing w:after="40" w:before="40"/>
      </w:pPr>
      <w:r>
        <w:rPr>
          <w:rFonts w:ascii="Arial" w:cs="Arial" w:eastAsia="Arial" w:hAnsi="Arial"/>
          <w:color w:val="444441"/>
          <w:sz w:val="20"/>
          <w:szCs w:val="20"/>
        </w:rPr>
        <w:t xml:space="preserve">Recipes are versioned — changes create a new version, preserving history for variance accuracy</w:t>
      </w:r>
    </w:p>
    <w:p>
      <w:pPr>
        <w:pStyle w:val="ListParagraph"/>
        <w:numPr>
          <w:ilvl w:val="0"/>
          <w:numId w:val="2"/>
        </w:numPr>
        <w:spacing w:after="40" w:before="40"/>
      </w:pPr>
      <w:r>
        <w:rPr>
          <w:rFonts w:ascii="Arial" w:cs="Arial" w:eastAsia="Arial" w:hAnsi="Arial"/>
          <w:color w:val="444441"/>
          <w:sz w:val="20"/>
          <w:szCs w:val="20"/>
        </w:rPr>
        <w:t xml:space="preserve">Theoretical cost is computed from current weighted average cost per base unit</w:t>
      </w:r>
    </w:p>
    <w:p>
      <w:pPr>
        <w:pStyle w:val="ListParagraph"/>
        <w:numPr>
          <w:ilvl w:val="0"/>
          <w:numId w:val="2"/>
        </w:numPr>
        <w:spacing w:after="40" w:before="40"/>
      </w:pPr>
      <w:r>
        <w:rPr>
          <w:rFonts w:ascii="Arial" w:cs="Arial" w:eastAsia="Arial" w:hAnsi="Arial"/>
          <w:color w:val="444441"/>
          <w:sz w:val="20"/>
          <w:szCs w:val="20"/>
        </w:rPr>
        <w:t xml:space="preserve">Recipes support both Food and Beverage categories with separate variance tabs on the dashboard</w:t>
      </w:r>
    </w:p>
    <w:p>
      <w:pPr>
        <w:spacing w:after="0" w:before="140"/>
      </w:pPr>
      <w:r>
        <w:t xml:space="preserve"/>
      </w:r>
    </w:p>
    <w:p>
      <w:pPr>
        <w:pStyle w:val="Heading2"/>
        <w:pBdr>
          <w:bottom w:val="single" w:color="1D9E75" w:sz="4" w:space="4"/>
        </w:pBdr>
        <w:spacing w:after="120" w:before="280"/>
      </w:pPr>
      <w:r>
        <w:rPr>
          <w:rFonts w:ascii="Arial" w:cs="Arial" w:eastAsia="Arial" w:hAnsi="Arial"/>
          <w:b/>
          <w:bCs/>
          <w:color w:val="1D9E75"/>
          <w:sz w:val="26"/>
          <w:szCs w:val="26"/>
        </w:rPr>
        <w:t xml:space="preserve">4.6 POS Sale Depletion Logic</w:t>
      </w:r>
    </w:p>
    <w:p>
      <w:pPr>
        <w:spacing w:after="60" w:before="60"/>
      </w:pPr>
      <w:r>
        <w:rPr>
          <w:rFonts w:ascii="Arial" w:cs="Arial" w:eastAsia="Arial" w:hAnsi="Arial"/>
          <w:color w:val="444441"/>
          <w:sz w:val="20"/>
          <w:szCs w:val="20"/>
        </w:rPr>
        <w:t xml:space="preserve">On each POS sale event, the system fetches the current recipe for the sold SKU and depletes each ingredient from the relevant outlet location stock.</w:t>
      </w:r>
    </w:p>
    <w:p>
      <w:pPr>
        <w:spacing w:after="0" w:before="60"/>
      </w:pPr>
      <w:r>
        <w:t xml:space="preserve"/>
      </w:r>
    </w:p>
    <w:p>
      <w:pPr>
        <w:pStyle w:val="ListParagraph"/>
        <w:numPr>
          <w:ilvl w:val="0"/>
          <w:numId w:val="3"/>
        </w:numPr>
        <w:spacing w:after="40" w:before="40"/>
      </w:pPr>
      <w:r>
        <w:rPr>
          <w:rFonts w:ascii="Arial" w:cs="Arial" w:eastAsia="Arial" w:hAnsi="Arial"/>
          <w:color w:val="444441"/>
          <w:sz w:val="20"/>
          <w:szCs w:val="20"/>
        </w:rPr>
        <w:t xml:space="preserve">POS fires a sale event with: SKU, quantity sold, outlet location, timestamp</w:t>
      </w:r>
    </w:p>
    <w:p>
      <w:pPr>
        <w:pStyle w:val="ListParagraph"/>
        <w:numPr>
          <w:ilvl w:val="0"/>
          <w:numId w:val="3"/>
        </w:numPr>
        <w:spacing w:after="40" w:before="40"/>
      </w:pPr>
      <w:r>
        <w:rPr>
          <w:rFonts w:ascii="Arial" w:cs="Arial" w:eastAsia="Arial" w:hAnsi="Arial"/>
          <w:color w:val="444441"/>
          <w:sz w:val="20"/>
          <w:szCs w:val="20"/>
        </w:rPr>
        <w:t xml:space="preserve">System retrieves the active recipe (is_current = true) for the SKU</w:t>
      </w:r>
    </w:p>
    <w:p>
      <w:pPr>
        <w:pStyle w:val="ListParagraph"/>
        <w:numPr>
          <w:ilvl w:val="0"/>
          <w:numId w:val="3"/>
        </w:numPr>
        <w:spacing w:after="40" w:before="40"/>
      </w:pPr>
      <w:r>
        <w:rPr>
          <w:rFonts w:ascii="Arial" w:cs="Arial" w:eastAsia="Arial" w:hAnsi="Arial"/>
          <w:color w:val="444441"/>
          <w:sz w:val="20"/>
          <w:szCs w:val="20"/>
        </w:rPr>
        <w:t xml:space="preserve">For each recipe ingredient: actual_qty = qty_required x qty_sold / (1 - wastage_pct / 100)</w:t>
      </w:r>
    </w:p>
    <w:p>
      <w:pPr>
        <w:pStyle w:val="ListParagraph"/>
        <w:numPr>
          <w:ilvl w:val="0"/>
          <w:numId w:val="3"/>
        </w:numPr>
        <w:spacing w:after="40" w:before="40"/>
      </w:pPr>
      <w:r>
        <w:rPr>
          <w:rFonts w:ascii="Arial" w:cs="Arial" w:eastAsia="Arial" w:hAnsi="Arial"/>
          <w:color w:val="444441"/>
          <w:sz w:val="20"/>
          <w:szCs w:val="20"/>
        </w:rPr>
        <w:t xml:space="preserve">Actual qty is converted to base units via the UOM engine</w:t>
      </w:r>
    </w:p>
    <w:p>
      <w:pPr>
        <w:pStyle w:val="ListParagraph"/>
        <w:numPr>
          <w:ilvl w:val="0"/>
          <w:numId w:val="3"/>
        </w:numPr>
        <w:spacing w:after="40" w:before="40"/>
      </w:pPr>
      <w:r>
        <w:rPr>
          <w:rFonts w:ascii="Arial" w:cs="Arial" w:eastAsia="Arial" w:hAnsi="Arial"/>
          <w:color w:val="444441"/>
          <w:sz w:val="20"/>
          <w:szCs w:val="20"/>
        </w:rPr>
        <w:t xml:space="preserve">Stock ledger is decremented: type = SALE_DEPLETION at the outlet location</w:t>
      </w:r>
    </w:p>
    <w:p>
      <w:pPr>
        <w:pStyle w:val="ListParagraph"/>
        <w:numPr>
          <w:ilvl w:val="0"/>
          <w:numId w:val="3"/>
        </w:numPr>
        <w:spacing w:after="40" w:before="40"/>
      </w:pPr>
      <w:r>
        <w:rPr>
          <w:rFonts w:ascii="Arial" w:cs="Arial" w:eastAsia="Arial" w:hAnsi="Arial"/>
          <w:color w:val="444441"/>
          <w:sz w:val="20"/>
          <w:szCs w:val="20"/>
        </w:rPr>
        <w:t xml:space="preserve">If outlet balance is insufficient, a warning is logged but the sale is NOT blocked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BA7517"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WARNING</w:t>
            </w:r>
          </w:p>
        </w:tc>
        <w:tc>
          <w:tcPr>
            <w:tcW w:type="dxa" w:w="7960"/>
            <w:tcBorders>
              <w:top w:val="none" w:color="FFFFFF" w:sz="0"/>
              <w:left w:val="none" w:color="FFFFFF" w:sz="0"/>
              <w:bottom w:val="none" w:color="FFFFFF" w:sz="0"/>
              <w:right w:val="none" w:color="FFFFFF" w:sz="0"/>
            </w:tcBorders>
            <w:shd w:fill="FAEEDA" w:val="clear"/>
            <w:tcMar>
              <w:top w:type="dxa" w:w="90"/>
              <w:left w:type="dxa" w:w="140"/>
              <w:bottom w:type="dxa" w:w="90"/>
              <w:right w:type="dxa" w:w="140"/>
            </w:tcMar>
          </w:tcPr>
          <w:p>
            <w:r>
              <w:rPr>
                <w:rFonts w:ascii="Arial" w:cs="Arial" w:eastAsia="Arial" w:hAnsi="Arial"/>
                <w:color w:val="444441"/>
                <w:sz w:val="19"/>
                <w:szCs w:val="19"/>
              </w:rPr>
              <w:t xml:space="preserve">Insufficient stock at outlet does not block POS sales. It flags a management alert and creates a negative balance entry, which is resolved by the next transfer or physical count adjustment.</w:t>
            </w:r>
          </w:p>
        </w:tc>
      </w:tr>
    </w:tbl>
    <w:p>
      <w:pPr>
        <w:spacing w:after="0" w:before="140"/>
      </w:pPr>
      <w:r>
        <w:t xml:space="preserve"/>
      </w:r>
    </w:p>
    <w:p>
      <w:pPr>
        <w:pStyle w:val="Heading2"/>
        <w:pBdr>
          <w:bottom w:val="single" w:color="1D9E75" w:sz="4" w:space="4"/>
        </w:pBdr>
        <w:spacing w:after="120" w:before="280"/>
      </w:pPr>
      <w:r>
        <w:rPr>
          <w:rFonts w:ascii="Arial" w:cs="Arial" w:eastAsia="Arial" w:hAnsi="Arial"/>
          <w:b/>
          <w:bCs/>
          <w:color w:val="1D9E75"/>
          <w:sz w:val="26"/>
          <w:szCs w:val="26"/>
        </w:rPr>
        <w:t xml:space="preserve">4.7 Variance Report</w:t>
      </w:r>
    </w:p>
    <w:p>
      <w:pPr>
        <w:spacing w:after="60" w:before="60"/>
      </w:pPr>
      <w:r>
        <w:rPr>
          <w:rFonts w:ascii="Arial" w:cs="Arial" w:eastAsia="Arial" w:hAnsi="Arial"/>
          <w:color w:val="444441"/>
          <w:sz w:val="20"/>
          <w:szCs w:val="20"/>
        </w:rPr>
        <w:t xml:space="preserve">The Variance Report is the financial control centrepiece of this module. It reconciles theoretical depletion (derived from POS sales x recipe) against actual depletion (physical count changes or direct ledger movements).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Alert Level</w:t>
            </w:r>
          </w:p>
        </w:tc>
        <w:tc>
          <w:tcPr>
            <w:tcW w:type="dxa" w:w="260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Variance Threshold</w:t>
            </w:r>
          </w:p>
        </w:tc>
        <w:tc>
          <w:tcPr>
            <w:tcW w:type="dxa" w:w="260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Visual Indicator</w:t>
            </w:r>
          </w:p>
        </w:tc>
        <w:tc>
          <w:tcPr>
            <w:tcW w:type="dxa" w:w="260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Action Required</w:t>
            </w:r>
          </w:p>
        </w:tc>
      </w:tr>
      <w:tr>
        <w:tc>
          <w:tcPr>
            <w:tcW w:type="dxa" w:w="1560"/>
            <w:tcBorders>
              <w:top w:val="single" w:color="CCCCCC" w:sz="1"/>
              <w:left w:val="single" w:color="CCCCCC" w:sz="1"/>
              <w:bottom w:val="single" w:color="CCCCCC" w:sz="1"/>
              <w:right w:val="single" w:color="CCCCCC" w:sz="1"/>
            </w:tcBorders>
            <w:shd w:fill="1D9E75"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OK</w:t>
            </w:r>
          </w:p>
        </w:tc>
        <w:tc>
          <w:tcPr>
            <w:tcW w:type="dxa" w:w="26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Variance &lt; 2%</w:t>
            </w:r>
          </w:p>
        </w:tc>
        <w:tc>
          <w:tcPr>
            <w:tcW w:type="dxa" w:w="26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Green badge</w:t>
            </w:r>
          </w:p>
        </w:tc>
        <w:tc>
          <w:tcPr>
            <w:tcW w:type="dxa" w:w="26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None — within tolerance</w:t>
            </w:r>
          </w:p>
        </w:tc>
      </w:tr>
      <w:tr>
        <w:tc>
          <w:tcPr>
            <w:tcW w:type="dxa" w:w="1560"/>
            <w:tcBorders>
              <w:top w:val="single" w:color="CCCCCC" w:sz="1"/>
              <w:left w:val="single" w:color="CCCCCC" w:sz="1"/>
              <w:bottom w:val="single" w:color="CCCCCC" w:sz="1"/>
              <w:right w:val="single" w:color="CCCCCC" w:sz="1"/>
            </w:tcBorders>
            <w:shd w:fill="BA7517"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WARNING</w:t>
            </w:r>
          </w:p>
        </w:tc>
        <w:tc>
          <w:tcPr>
            <w:tcW w:type="dxa" w:w="2600"/>
            <w:tcBorders>
              <w:top w:val="single" w:color="CCCCCC" w:sz="1"/>
              <w:left w:val="single" w:color="CCCCCC" w:sz="1"/>
              <w:bottom w:val="single" w:color="CCCCCC" w:sz="1"/>
              <w:right w:val="single" w:color="CCCCCC" w:sz="1"/>
            </w:tcBorders>
            <w:shd w:fill="FAEEDA"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Variance 2% to 5%</w:t>
            </w:r>
          </w:p>
        </w:tc>
        <w:tc>
          <w:tcPr>
            <w:tcW w:type="dxa" w:w="2600"/>
            <w:tcBorders>
              <w:top w:val="single" w:color="CCCCCC" w:sz="1"/>
              <w:left w:val="single" w:color="CCCCCC" w:sz="1"/>
              <w:bottom w:val="single" w:color="CCCCCC" w:sz="1"/>
              <w:right w:val="single" w:color="CCCCCC" w:sz="1"/>
            </w:tcBorders>
            <w:shd w:fill="FAEEDA"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Amber badge</w:t>
            </w:r>
          </w:p>
        </w:tc>
        <w:tc>
          <w:tcPr>
            <w:tcW w:type="dxa" w:w="2600"/>
            <w:tcBorders>
              <w:top w:val="single" w:color="CCCCCC" w:sz="1"/>
              <w:left w:val="single" w:color="CCCCCC" w:sz="1"/>
              <w:bottom w:val="single" w:color="CCCCCC" w:sz="1"/>
              <w:right w:val="single" w:color="CCCCCC" w:sz="1"/>
            </w:tcBorders>
            <w:shd w:fill="FAEEDA"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F&amp;B Manager review</w:t>
            </w:r>
          </w:p>
        </w:tc>
      </w:tr>
      <w:tr>
        <w:tc>
          <w:tcPr>
            <w:tcW w:type="dxa" w:w="1560"/>
            <w:tcBorders>
              <w:top w:val="single" w:color="CCCCCC" w:sz="1"/>
              <w:left w:val="single" w:color="CCCCCC" w:sz="1"/>
              <w:bottom w:val="single" w:color="CCCCCC" w:sz="1"/>
              <w:right w:val="single" w:color="CCCCCC" w:sz="1"/>
            </w:tcBorders>
            <w:shd w:fill="E24B4A"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CRITICAL</w:t>
            </w:r>
          </w:p>
        </w:tc>
        <w:tc>
          <w:tcPr>
            <w:tcW w:type="dxa" w:w="26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Variance &gt; 5%</w:t>
            </w:r>
          </w:p>
        </w:tc>
        <w:tc>
          <w:tcPr>
            <w:tcW w:type="dxa" w:w="26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Red badge</w:t>
            </w:r>
          </w:p>
        </w:tc>
        <w:tc>
          <w:tcPr>
            <w:tcW w:type="dxa" w:w="26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GM sign-off + investigation</w:t>
            </w:r>
          </w:p>
        </w:tc>
      </w:tr>
    </w:tbl>
    <w:p>
      <w:pPr>
        <w:spacing w:after="0" w:before="100"/>
      </w:pPr>
      <w:r>
        <w:t xml:space="preserve"/>
      </w:r>
    </w:p>
    <w:p>
      <w:pPr>
        <w:pStyle w:val="ListParagraph"/>
        <w:numPr>
          <w:ilvl w:val="0"/>
          <w:numId w:val="2"/>
        </w:numPr>
        <w:spacing w:after="40" w:before="40"/>
      </w:pPr>
      <w:r>
        <w:rPr>
          <w:rFonts w:ascii="Arial" w:cs="Arial" w:eastAsia="Arial" w:hAnsi="Arial"/>
          <w:color w:val="444441"/>
          <w:sz w:val="20"/>
          <w:szCs w:val="20"/>
        </w:rPr>
        <w:t xml:space="preserve">Report is generated automatically every Monday at 06:00 via scheduled cron job per location</w:t>
      </w:r>
    </w:p>
    <w:p>
      <w:pPr>
        <w:pStyle w:val="ListParagraph"/>
        <w:numPr>
          <w:ilvl w:val="0"/>
          <w:numId w:val="2"/>
        </w:numPr>
        <w:spacing w:after="40" w:before="40"/>
      </w:pPr>
      <w:r>
        <w:rPr>
          <w:rFonts w:ascii="Arial" w:cs="Arial" w:eastAsia="Arial" w:hAnsi="Arial"/>
          <w:color w:val="444441"/>
          <w:sz w:val="20"/>
          <w:szCs w:val="20"/>
        </w:rPr>
        <w:t xml:space="preserve">Users can also manually generate for any custom date range and location</w:t>
      </w:r>
    </w:p>
    <w:p>
      <w:pPr>
        <w:pStyle w:val="ListParagraph"/>
        <w:numPr>
          <w:ilvl w:val="0"/>
          <w:numId w:val="2"/>
        </w:numPr>
        <w:spacing w:after="40" w:before="40"/>
      </w:pPr>
      <w:r>
        <w:rPr>
          <w:rFonts w:ascii="Arial" w:cs="Arial" w:eastAsia="Arial" w:hAnsi="Arial"/>
          <w:color w:val="444441"/>
          <w:sz w:val="20"/>
          <w:szCs w:val="20"/>
        </w:rPr>
        <w:t xml:space="preserve">Export to PDF is available from the report viewer screen</w:t>
      </w:r>
    </w:p>
    <w:p>
      <w:pPr>
        <w:pStyle w:val="ListParagraph"/>
        <w:numPr>
          <w:ilvl w:val="0"/>
          <w:numId w:val="2"/>
        </w:numPr>
        <w:spacing w:after="40" w:before="40"/>
      </w:pPr>
      <w:r>
        <w:rPr>
          <w:rFonts w:ascii="Arial" w:cs="Arial" w:eastAsia="Arial" w:hAnsi="Arial"/>
          <w:color w:val="444441"/>
          <w:sz w:val="20"/>
          <w:szCs w:val="20"/>
        </w:rPr>
        <w:t xml:space="preserve">Columns: Item | UOM | POS Theoretical Qty | Physical Count | Variance Qty | Variance Value | Variance %</w:t>
      </w:r>
    </w:p>
    <w:p>
      <w:pPr>
        <w:spacing w:after="0" w:before="160"/>
      </w:pPr>
      <w:r>
        <w:t xml:space="preserve"/>
      </w:r>
    </w:p>
    <w:p>
      <w:r>
        <w:br w:type="page"/>
      </w:r>
    </w:p>
    <w:p>
      <w:pPr>
        <w:pStyle w:val="Heading1"/>
        <w:spacing w:after="160" w:before="360"/>
      </w:pPr>
      <w:r>
        <w:rPr>
          <w:rFonts w:ascii="Arial" w:cs="Arial" w:eastAsia="Arial" w:hAnsi="Arial"/>
          <w:b/>
          <w:bCs/>
          <w:color w:val="1A2332"/>
          <w:sz w:val="36"/>
          <w:szCs w:val="36"/>
        </w:rPr>
        <w:t xml:space="preserve">5. Technical Architecture</w:t>
      </w:r>
    </w:p>
    <w:p>
      <w:pPr>
        <w:pBdr>
          <w:bottom w:val="single" w:color="1D9E75" w:sz="6" w:space="1"/>
        </w:pBdr>
        <w:spacing w:after="40" w:before="40"/>
      </w:pPr>
      <w:r>
        <w:t xml:space="preserve"/>
      </w:r>
    </w:p>
    <w:p>
      <w:pPr>
        <w:spacing w:after="0" w:before="80"/>
      </w:pPr>
      <w:r>
        <w:t xml:space="preserve"/>
      </w:r>
    </w:p>
    <w:p>
      <w:pPr>
        <w:pStyle w:val="Heading2"/>
        <w:pBdr>
          <w:bottom w:val="single" w:color="1D9E75" w:sz="4" w:space="4"/>
        </w:pBdr>
        <w:spacing w:after="120" w:before="280"/>
      </w:pPr>
      <w:r>
        <w:rPr>
          <w:rFonts w:ascii="Arial" w:cs="Arial" w:eastAsia="Arial" w:hAnsi="Arial"/>
          <w:b/>
          <w:bCs/>
          <w:color w:val="1D9E75"/>
          <w:sz w:val="26"/>
          <w:szCs w:val="26"/>
        </w:rPr>
        <w:t xml:space="preserve">5.1 Database Schema Overview</w:t>
      </w:r>
    </w:p>
    <w:p>
      <w:pPr>
        <w:spacing w:after="60" w:before="60"/>
      </w:pPr>
      <w:r>
        <w:rPr>
          <w:rFonts w:ascii="Arial" w:cs="Arial" w:eastAsia="Arial" w:hAnsi="Arial"/>
          <w:color w:val="444441"/>
          <w:sz w:val="20"/>
          <w:szCs w:val="20"/>
        </w:rPr>
        <w:t xml:space="preserve">All new tables are namespaced with the inv_ prefix to prevent collision with existing COREPMS tables. No existing production tables are dropped or structurally altered.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Table Name</w:t>
            </w:r>
          </w:p>
        </w:tc>
        <w:tc>
          <w:tcPr>
            <w:tcW w:type="dxa" w:w="320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Purpose</w:t>
            </w:r>
          </w:p>
        </w:tc>
        <w:tc>
          <w:tcPr>
            <w:tcW w:type="dxa" w:w="356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Key Relationships</w:t>
            </w:r>
          </w:p>
        </w:tc>
      </w:tr>
      <w:tr>
        <w:tc>
          <w:tcPr>
            <w:tcW w:type="dxa" w:w="26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bCs/>
                <w:color w:val="1A2332"/>
                <w:sz w:val="18"/>
                <w:szCs w:val="18"/>
              </w:rPr>
              <w:t xml:space="preserve">inv_locations</w:t>
            </w:r>
          </w:p>
        </w:tc>
        <w:tc>
          <w:tcPr>
            <w:tcW w:type="dxa" w:w="32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Multi-location hierarchy with self-referencing parent</w:t>
            </w:r>
          </w:p>
        </w:tc>
        <w:tc>
          <w:tcPr>
            <w:tcW w:type="dxa" w:w="356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Parent location FK (self)</w:t>
            </w:r>
          </w:p>
        </w:tc>
      </w:tr>
      <w:tr>
        <w:tc>
          <w:tcPr>
            <w:tcW w:type="dxa" w:w="26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bCs/>
                <w:color w:val="1A2332"/>
                <w:sz w:val="18"/>
                <w:szCs w:val="18"/>
              </w:rPr>
              <w:t xml:space="preserve">inv_items</w:t>
            </w:r>
          </w:p>
        </w:tc>
        <w:tc>
          <w:tcPr>
            <w:tcW w:type="dxa" w:w="32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Inventory item master with wastage yield %</w:t>
            </w:r>
          </w:p>
        </w:tc>
        <w:tc>
          <w:tcPr>
            <w:tcW w:type="dxa" w:w="356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FK to uom_definitions (base UOM)</w:t>
            </w:r>
          </w:p>
        </w:tc>
      </w:tr>
      <w:tr>
        <w:tc>
          <w:tcPr>
            <w:tcW w:type="dxa" w:w="26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bCs/>
                <w:color w:val="1A2332"/>
                <w:sz w:val="18"/>
                <w:szCs w:val="18"/>
              </w:rPr>
              <w:t xml:space="preserve">inv_uom_definitions</w:t>
            </w:r>
          </w:p>
        </w:tc>
        <w:tc>
          <w:tcPr>
            <w:tcW w:type="dxa" w:w="32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Unit of measure master (Case, Bottle, Tot, ml)</w:t>
            </w:r>
          </w:p>
        </w:tc>
        <w:tc>
          <w:tcPr>
            <w:tcW w:type="dxa" w:w="356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Referenced by items, GRN lines, recipe lines</w:t>
            </w:r>
          </w:p>
        </w:tc>
      </w:tr>
      <w:tr>
        <w:tc>
          <w:tcPr>
            <w:tcW w:type="dxa" w:w="26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bCs/>
                <w:color w:val="1A2332"/>
                <w:sz w:val="18"/>
                <w:szCs w:val="18"/>
              </w:rPr>
              <w:t xml:space="preserve">inv_uom_conversions</w:t>
            </w:r>
          </w:p>
        </w:tc>
        <w:tc>
          <w:tcPr>
            <w:tcW w:type="dxa" w:w="32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Per-item conversion factors with breakdown flag</w:t>
            </w:r>
          </w:p>
        </w:tc>
        <w:tc>
          <w:tcPr>
            <w:tcW w:type="dxa" w:w="356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FK to items + from/to UOM definitions</w:t>
            </w:r>
          </w:p>
        </w:tc>
      </w:tr>
      <w:tr>
        <w:tc>
          <w:tcPr>
            <w:tcW w:type="dxa" w:w="26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bCs/>
                <w:color w:val="1A2332"/>
                <w:sz w:val="18"/>
                <w:szCs w:val="18"/>
              </w:rPr>
              <w:t xml:space="preserve">inv_grn_headers</w:t>
            </w:r>
          </w:p>
        </w:tc>
        <w:tc>
          <w:tcPr>
            <w:tcW w:type="dxa" w:w="32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GRN master: supplier, date, destination, status</w:t>
            </w:r>
          </w:p>
        </w:tc>
        <w:tc>
          <w:tcPr>
            <w:tcW w:type="dxa" w:w="356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FK to locations (destination)</w:t>
            </w:r>
          </w:p>
        </w:tc>
      </w:tr>
      <w:tr>
        <w:tc>
          <w:tcPr>
            <w:tcW w:type="dxa" w:w="26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bCs/>
                <w:color w:val="1A2332"/>
                <w:sz w:val="18"/>
                <w:szCs w:val="18"/>
              </w:rPr>
              <w:t xml:space="preserve">inv_grn_lines</w:t>
            </w:r>
          </w:p>
        </w:tc>
        <w:tc>
          <w:tcPr>
            <w:tcW w:type="dxa" w:w="32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GRN line items with qty, cost, expiry</w:t>
            </w:r>
          </w:p>
        </w:tc>
        <w:tc>
          <w:tcPr>
            <w:tcW w:type="dxa" w:w="356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FK to GRN headers, items, UOM</w:t>
            </w:r>
          </w:p>
        </w:tc>
      </w:tr>
      <w:tr>
        <w:tc>
          <w:tcPr>
            <w:tcW w:type="dxa" w:w="26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bCs/>
                <w:color w:val="1A2332"/>
                <w:sz w:val="18"/>
                <w:szCs w:val="18"/>
              </w:rPr>
              <w:t xml:space="preserve">inv_transfer_headers</w:t>
            </w:r>
          </w:p>
        </w:tc>
        <w:tc>
          <w:tcPr>
            <w:tcW w:type="dxa" w:w="32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Transfer note: source, destination, status</w:t>
            </w:r>
          </w:p>
        </w:tc>
        <w:tc>
          <w:tcPr>
            <w:tcW w:type="dxa" w:w="356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FK to locations (source + destination)</w:t>
            </w:r>
          </w:p>
        </w:tc>
      </w:tr>
      <w:tr>
        <w:tc>
          <w:tcPr>
            <w:tcW w:type="dxa" w:w="26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bCs/>
                <w:color w:val="1A2332"/>
                <w:sz w:val="18"/>
                <w:szCs w:val="18"/>
              </w:rPr>
              <w:t xml:space="preserve">inv_transfer_lines</w:t>
            </w:r>
          </w:p>
        </w:tc>
        <w:tc>
          <w:tcPr>
            <w:tcW w:type="dxa" w:w="32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Line items with breakdown flag and UOM</w:t>
            </w:r>
          </w:p>
        </w:tc>
        <w:tc>
          <w:tcPr>
            <w:tcW w:type="dxa" w:w="356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FK to transfer headers, items, UOM</w:t>
            </w:r>
          </w:p>
        </w:tc>
      </w:tr>
      <w:tr>
        <w:tc>
          <w:tcPr>
            <w:tcW w:type="dxa" w:w="26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bCs/>
                <w:color w:val="1A2332"/>
                <w:sz w:val="18"/>
                <w:szCs w:val="18"/>
              </w:rPr>
              <w:t xml:space="preserve">inv_stock_ledger</w:t>
            </w:r>
          </w:p>
        </w:tc>
        <w:tc>
          <w:tcPr>
            <w:tcW w:type="dxa" w:w="32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Single source of truth for all stock movements</w:t>
            </w:r>
          </w:p>
        </w:tc>
        <w:tc>
          <w:tcPr>
            <w:tcW w:type="dxa" w:w="356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FK to items, locations, UOM; GL account code</w:t>
            </w:r>
          </w:p>
        </w:tc>
      </w:tr>
      <w:tr>
        <w:tc>
          <w:tcPr>
            <w:tcW w:type="dxa" w:w="26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bCs/>
                <w:color w:val="1A2332"/>
                <w:sz w:val="18"/>
                <w:szCs w:val="18"/>
              </w:rPr>
              <w:t xml:space="preserve">inv_recipes</w:t>
            </w:r>
          </w:p>
        </w:tc>
        <w:tc>
          <w:tcPr>
            <w:tcW w:type="dxa" w:w="32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Recipe versions per menu item</w:t>
            </w:r>
          </w:p>
        </w:tc>
        <w:tc>
          <w:tcPr>
            <w:tcW w:type="dxa" w:w="356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FK to menu_items; version + is_current flag</w:t>
            </w:r>
          </w:p>
        </w:tc>
      </w:tr>
      <w:tr>
        <w:tc>
          <w:tcPr>
            <w:tcW w:type="dxa" w:w="26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bCs/>
                <w:color w:val="1A2332"/>
                <w:sz w:val="18"/>
                <w:szCs w:val="18"/>
              </w:rPr>
              <w:t xml:space="preserve">inv_recipe_lines</w:t>
            </w:r>
          </w:p>
        </w:tc>
        <w:tc>
          <w:tcPr>
            <w:tcW w:type="dxa" w:w="32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Ingredient lines with qty, UOM, wastage override</w:t>
            </w:r>
          </w:p>
        </w:tc>
        <w:tc>
          <w:tcPr>
            <w:tcW w:type="dxa" w:w="356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FK to recipes and inventory items</w:t>
            </w:r>
          </w:p>
        </w:tc>
      </w:tr>
      <w:tr>
        <w:tc>
          <w:tcPr>
            <w:tcW w:type="dxa" w:w="26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bCs/>
                <w:color w:val="1A2332"/>
                <w:sz w:val="18"/>
                <w:szCs w:val="18"/>
              </w:rPr>
              <w:t xml:space="preserve">inv_variance_reports</w:t>
            </w:r>
          </w:p>
        </w:tc>
        <w:tc>
          <w:tcPr>
            <w:tcW w:type="dxa" w:w="32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Report header: period, location, generated by</w:t>
            </w:r>
          </w:p>
        </w:tc>
        <w:tc>
          <w:tcPr>
            <w:tcW w:type="dxa" w:w="356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FK to locations</w:t>
            </w:r>
          </w:p>
        </w:tc>
      </w:tr>
      <w:tr>
        <w:tc>
          <w:tcPr>
            <w:tcW w:type="dxa" w:w="26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bCs/>
                <w:color w:val="1A2332"/>
                <w:sz w:val="18"/>
                <w:szCs w:val="18"/>
              </w:rPr>
              <w:t xml:space="preserve">inv_variance_lines</w:t>
            </w:r>
          </w:p>
        </w:tc>
        <w:tc>
          <w:tcPr>
            <w:tcW w:type="dxa" w:w="32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Per-item variance with alert level classification</w:t>
            </w:r>
          </w:p>
        </w:tc>
        <w:tc>
          <w:tcPr>
            <w:tcW w:type="dxa" w:w="356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FK to report headers and inventory items</w:t>
            </w:r>
          </w:p>
        </w:tc>
      </w:tr>
    </w:tbl>
    <w:p>
      <w:pPr>
        <w:spacing w:after="0" w:before="140"/>
      </w:pPr>
      <w:r>
        <w:t xml:space="preserve"/>
      </w:r>
    </w:p>
    <w:p>
      <w:pPr>
        <w:pStyle w:val="Heading2"/>
        <w:pBdr>
          <w:bottom w:val="single" w:color="1D9E75" w:sz="4" w:space="4"/>
        </w:pBdr>
        <w:spacing w:after="120" w:before="280"/>
      </w:pPr>
      <w:r>
        <w:rPr>
          <w:rFonts w:ascii="Arial" w:cs="Arial" w:eastAsia="Arial" w:hAnsi="Arial"/>
          <w:b/>
          <w:bCs/>
          <w:color w:val="1D9E75"/>
          <w:sz w:val="26"/>
          <w:szCs w:val="26"/>
        </w:rPr>
        <w:t xml:space="preserve">5.2 API Endpoint Summary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760"/>
        <w:gridCol w:w="4600"/>
      </w:tblGrid>
      <w:tr>
        <w:tc>
          <w:tcPr>
            <w:tcW w:type="dxa" w:w="100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Method</w:t>
            </w:r>
          </w:p>
        </w:tc>
        <w:tc>
          <w:tcPr>
            <w:tcW w:type="dxa" w:w="376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Endpoint</w:t>
            </w:r>
          </w:p>
        </w:tc>
        <w:tc>
          <w:tcPr>
            <w:tcW w:type="dxa" w:w="460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Description</w:t>
            </w:r>
          </w:p>
        </w:tc>
      </w:tr>
      <w:tr>
        <w:tc>
          <w:tcPr>
            <w:tcW w:type="dxa" w:w="1000"/>
            <w:tcBorders>
              <w:top w:val="single" w:color="CCCCCC" w:sz="1"/>
              <w:left w:val="single" w:color="CCCCCC" w:sz="1"/>
              <w:bottom w:val="single" w:color="CCCCCC" w:sz="1"/>
              <w:right w:val="single" w:color="CCCCCC" w:sz="1"/>
            </w:tcBorders>
            <w:shd w:fill="1D9E75"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POST</w:t>
            </w:r>
          </w:p>
        </w:tc>
        <w:tc>
          <w:tcPr>
            <w:tcW w:type="dxa" w:w="3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/api/v1/inventory/grn</w:t>
            </w:r>
          </w:p>
        </w:tc>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Create GRN header and lines</w:t>
            </w:r>
          </w:p>
        </w:tc>
      </w:tr>
      <w:tr>
        <w:tc>
          <w:tcPr>
            <w:tcW w:type="dxa" w:w="1000"/>
            <w:tcBorders>
              <w:top w:val="single" w:color="CCCCCC" w:sz="1"/>
              <w:left w:val="single" w:color="CCCCCC" w:sz="1"/>
              <w:bottom w:val="single" w:color="CCCCCC" w:sz="1"/>
              <w:right w:val="single" w:color="CCCCCC" w:sz="1"/>
            </w:tcBorders>
            <w:shd w:fill="1D9E75"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POST</w:t>
            </w:r>
          </w:p>
        </w:tc>
        <w:tc>
          <w:tcPr>
            <w:tcW w:type="dxa" w:w="376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/api/v1/inventory/grn/:id/post</w:t>
            </w:r>
          </w:p>
        </w:tc>
        <w:tc>
          <w:tcPr>
            <w:tcW w:type="dxa" w:w="46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Post GRN to ledger and trigger GL entry</w:t>
            </w:r>
          </w:p>
        </w:tc>
      </w:tr>
      <w:tr>
        <w:tc>
          <w:tcPr>
            <w:tcW w:type="dxa" w:w="1000"/>
            <w:tcBorders>
              <w:top w:val="single" w:color="CCCCCC" w:sz="1"/>
              <w:left w:val="single" w:color="CCCCCC" w:sz="1"/>
              <w:bottom w:val="single" w:color="CCCCCC" w:sz="1"/>
              <w:right w:val="single" w:color="CCCCCC" w:sz="1"/>
            </w:tcBorders>
            <w:shd w:fill="185FA5"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GET</w:t>
            </w:r>
          </w:p>
        </w:tc>
        <w:tc>
          <w:tcPr>
            <w:tcW w:type="dxa" w:w="3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/api/v1/inventory/grn</w:t>
            </w:r>
          </w:p>
        </w:tc>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List GRNs (paginated, filterable)</w:t>
            </w:r>
          </w:p>
        </w:tc>
      </w:tr>
      <w:tr>
        <w:tc>
          <w:tcPr>
            <w:tcW w:type="dxa" w:w="1000"/>
            <w:tcBorders>
              <w:top w:val="single" w:color="CCCCCC" w:sz="1"/>
              <w:left w:val="single" w:color="CCCCCC" w:sz="1"/>
              <w:bottom w:val="single" w:color="CCCCCC" w:sz="1"/>
              <w:right w:val="single" w:color="CCCCCC" w:sz="1"/>
            </w:tcBorders>
            <w:shd w:fill="1D9E75"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POST</w:t>
            </w:r>
          </w:p>
        </w:tc>
        <w:tc>
          <w:tcPr>
            <w:tcW w:type="dxa" w:w="376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/api/v1/inventory/transfer</w:t>
            </w:r>
          </w:p>
        </w:tc>
        <w:tc>
          <w:tcPr>
            <w:tcW w:type="dxa" w:w="46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Create stock transfer note</w:t>
            </w:r>
          </w:p>
        </w:tc>
      </w:tr>
      <w:tr>
        <w:tc>
          <w:tcPr>
            <w:tcW w:type="dxa" w:w="1000"/>
            <w:tcBorders>
              <w:top w:val="single" w:color="CCCCCC" w:sz="1"/>
              <w:left w:val="single" w:color="CCCCCC" w:sz="1"/>
              <w:bottom w:val="single" w:color="CCCCCC" w:sz="1"/>
              <w:right w:val="single" w:color="CCCCCC" w:sz="1"/>
            </w:tcBorders>
            <w:shd w:fill="1D9E75"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POST</w:t>
            </w:r>
          </w:p>
        </w:tc>
        <w:tc>
          <w:tcPr>
            <w:tcW w:type="dxa" w:w="3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/api/v1/inventory/transfer/:id/approve</w:t>
            </w:r>
          </w:p>
        </w:tc>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Approve and execute transfer</w:t>
            </w:r>
          </w:p>
        </w:tc>
      </w:tr>
      <w:tr>
        <w:tc>
          <w:tcPr>
            <w:tcW w:type="dxa" w:w="1000"/>
            <w:tcBorders>
              <w:top w:val="single" w:color="CCCCCC" w:sz="1"/>
              <w:left w:val="single" w:color="CCCCCC" w:sz="1"/>
              <w:bottom w:val="single" w:color="CCCCCC" w:sz="1"/>
              <w:right w:val="single" w:color="CCCCCC" w:sz="1"/>
            </w:tcBorders>
            <w:shd w:fill="185FA5"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GET</w:t>
            </w:r>
          </w:p>
        </w:tc>
        <w:tc>
          <w:tcPr>
            <w:tcW w:type="dxa" w:w="376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/api/v1/inventory/ledger</w:t>
            </w:r>
          </w:p>
        </w:tc>
        <w:tc>
          <w:tcPr>
            <w:tcW w:type="dxa" w:w="46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Query stock ledger entries</w:t>
            </w:r>
          </w:p>
        </w:tc>
      </w:tr>
      <w:tr>
        <w:tc>
          <w:tcPr>
            <w:tcW w:type="dxa" w:w="1000"/>
            <w:tcBorders>
              <w:top w:val="single" w:color="CCCCCC" w:sz="1"/>
              <w:left w:val="single" w:color="CCCCCC" w:sz="1"/>
              <w:bottom w:val="single" w:color="CCCCCC" w:sz="1"/>
              <w:right w:val="single" w:color="CCCCCC" w:sz="1"/>
            </w:tcBorders>
            <w:shd w:fill="185FA5"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GET</w:t>
            </w:r>
          </w:p>
        </w:tc>
        <w:tc>
          <w:tcPr>
            <w:tcW w:type="dxa" w:w="3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/api/v1/inventory/balance/:location_id</w:t>
            </w:r>
          </w:p>
        </w:tc>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Current balances per location</w:t>
            </w:r>
          </w:p>
        </w:tc>
      </w:tr>
      <w:tr>
        <w:tc>
          <w:tcPr>
            <w:tcW w:type="dxa" w:w="1000"/>
            <w:tcBorders>
              <w:top w:val="single" w:color="CCCCCC" w:sz="1"/>
              <w:left w:val="single" w:color="CCCCCC" w:sz="1"/>
              <w:bottom w:val="single" w:color="CCCCCC" w:sz="1"/>
              <w:right w:val="single" w:color="CCCCCC" w:sz="1"/>
            </w:tcBorders>
            <w:shd w:fill="1D9E75"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POST</w:t>
            </w:r>
          </w:p>
        </w:tc>
        <w:tc>
          <w:tcPr>
            <w:tcW w:type="dxa" w:w="376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/api/v1/inventory/deplete</w:t>
            </w:r>
          </w:p>
        </w:tc>
        <w:tc>
          <w:tcPr>
            <w:tcW w:type="dxa" w:w="46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Manual depletion trigger (testing)</w:t>
            </w:r>
          </w:p>
        </w:tc>
      </w:tr>
      <w:tr>
        <w:tc>
          <w:tcPr>
            <w:tcW w:type="dxa" w:w="1000"/>
            <w:tcBorders>
              <w:top w:val="single" w:color="CCCCCC" w:sz="1"/>
              <w:left w:val="single" w:color="CCCCCC" w:sz="1"/>
              <w:bottom w:val="single" w:color="CCCCCC" w:sz="1"/>
              <w:right w:val="single" w:color="CCCCCC" w:sz="1"/>
            </w:tcBorders>
            <w:shd w:fill="185FA5"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GET</w:t>
            </w:r>
          </w:p>
        </w:tc>
        <w:tc>
          <w:tcPr>
            <w:tcW w:type="dxa" w:w="3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/api/v1/inventory/recipe/:menu_item_id</w:t>
            </w:r>
          </w:p>
        </w:tc>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Fetch recipe with costing</w:t>
            </w:r>
          </w:p>
        </w:tc>
      </w:tr>
      <w:tr>
        <w:tc>
          <w:tcPr>
            <w:tcW w:type="dxa" w:w="1000"/>
            <w:tcBorders>
              <w:top w:val="single" w:color="CCCCCC" w:sz="1"/>
              <w:left w:val="single" w:color="CCCCCC" w:sz="1"/>
              <w:bottom w:val="single" w:color="CCCCCC" w:sz="1"/>
              <w:right w:val="single" w:color="CCCCCC" w:sz="1"/>
            </w:tcBorders>
            <w:shd w:fill="1D9E75"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POST</w:t>
            </w:r>
          </w:p>
        </w:tc>
        <w:tc>
          <w:tcPr>
            <w:tcW w:type="dxa" w:w="376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/api/v1/inventory/recipe</w:t>
            </w:r>
          </w:p>
        </w:tc>
        <w:tc>
          <w:tcPr>
            <w:tcW w:type="dxa" w:w="46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Create or update recipe version</w:t>
            </w:r>
          </w:p>
        </w:tc>
      </w:tr>
      <w:tr>
        <w:tc>
          <w:tcPr>
            <w:tcW w:type="dxa" w:w="1000"/>
            <w:tcBorders>
              <w:top w:val="single" w:color="CCCCCC" w:sz="1"/>
              <w:left w:val="single" w:color="CCCCCC" w:sz="1"/>
              <w:bottom w:val="single" w:color="CCCCCC" w:sz="1"/>
              <w:right w:val="single" w:color="CCCCCC" w:sz="1"/>
            </w:tcBorders>
            <w:shd w:fill="1D9E75"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POST</w:t>
            </w:r>
          </w:p>
        </w:tc>
        <w:tc>
          <w:tcPr>
            <w:tcW w:type="dxa" w:w="3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/api/v1/inventory/variance/generate</w:t>
            </w:r>
          </w:p>
        </w:tc>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Generate variance report</w:t>
            </w:r>
          </w:p>
        </w:tc>
      </w:tr>
      <w:tr>
        <w:tc>
          <w:tcPr>
            <w:tcW w:type="dxa" w:w="1000"/>
            <w:tcBorders>
              <w:top w:val="single" w:color="CCCCCC" w:sz="1"/>
              <w:left w:val="single" w:color="CCCCCC" w:sz="1"/>
              <w:bottom w:val="single" w:color="CCCCCC" w:sz="1"/>
              <w:right w:val="single" w:color="CCCCCC" w:sz="1"/>
            </w:tcBorders>
            <w:shd w:fill="185FA5"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GET</w:t>
            </w:r>
          </w:p>
        </w:tc>
        <w:tc>
          <w:tcPr>
            <w:tcW w:type="dxa" w:w="376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/api/v1/inventory/variance/:report_id</w:t>
            </w:r>
          </w:p>
        </w:tc>
        <w:tc>
          <w:tcPr>
            <w:tcW w:type="dxa" w:w="46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Fetch variance report detail</w:t>
            </w:r>
          </w:p>
        </w:tc>
      </w:tr>
    </w:tbl>
    <w:p>
      <w:pPr>
        <w:spacing w:after="0" w:before="140"/>
      </w:pPr>
      <w:r>
        <w:t xml:space="preserve"/>
      </w:r>
    </w:p>
    <w:p>
      <w:pPr>
        <w:pStyle w:val="Heading2"/>
        <w:pBdr>
          <w:bottom w:val="single" w:color="1D9E75" w:sz="4" w:space="4"/>
        </w:pBdr>
        <w:spacing w:after="120" w:before="280"/>
      </w:pPr>
      <w:r>
        <w:rPr>
          <w:rFonts w:ascii="Arial" w:cs="Arial" w:eastAsia="Arial" w:hAnsi="Arial"/>
          <w:b/>
          <w:bCs/>
          <w:color w:val="1D9E75"/>
          <w:sz w:val="26"/>
          <w:szCs w:val="26"/>
        </w:rPr>
        <w:t xml:space="preserve">5.3 Module Integration Map</w:t>
      </w:r>
    </w:p>
    <w:p>
      <w:pPr>
        <w:spacing w:after="60" w:before="60"/>
      </w:pPr>
      <w:r>
        <w:rPr>
          <w:rFonts w:ascii="Arial" w:cs="Arial" w:eastAsia="Arial" w:hAnsi="Arial"/>
          <w:color w:val="444441"/>
          <w:sz w:val="20"/>
          <w:szCs w:val="20"/>
        </w:rPr>
        <w:t xml:space="preserve">This module integrates with existing COREPMS modules using read-only bridges and append-only registrations. No existing module internals are modified.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Connected Module</w:t>
            </w:r>
          </w:p>
        </w:tc>
        <w:tc>
          <w:tcPr>
            <w:tcW w:type="dxa" w:w="200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Integration Type</w:t>
            </w:r>
          </w:p>
        </w:tc>
        <w:tc>
          <w:tcPr>
            <w:tcW w:type="dxa" w:w="496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bCs/>
                <w:color w:val="1A2332"/>
                <w:sz w:val="18"/>
                <w:szCs w:val="18"/>
              </w:rPr>
              <w:t xml:space="preserve">POS Module</w:t>
            </w:r>
          </w:p>
        </w:tc>
        <w:tc>
          <w:tcPr>
            <w:tcW w:type="dxa" w:w="2000"/>
            <w:tcBorders>
              <w:top w:val="single" w:color="CCCCCC" w:sz="1"/>
              <w:left w:val="single" w:color="CCCCCC" w:sz="1"/>
              <w:bottom w:val="single" w:color="CCCCCC" w:sz="1"/>
              <w:right w:val="single" w:color="CCCCCC" w:sz="1"/>
            </w:tcBorders>
            <w:shd w:fill="1D9E75"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Subscriber</w:t>
            </w:r>
          </w:p>
        </w:tc>
        <w:tc>
          <w:tcPr>
            <w:tcW w:type="dxa" w:w="496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Listens to sale_completed events to trigger ingredient depletion</w:t>
            </w:r>
          </w:p>
        </w:tc>
      </w:tr>
      <w:tr>
        <w:tc>
          <w:tcPr>
            <w:tcW w:type="dxa" w:w="24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bCs/>
                <w:color w:val="1A2332"/>
                <w:sz w:val="18"/>
                <w:szCs w:val="18"/>
              </w:rPr>
              <w:t xml:space="preserve">Accounting / GL</w:t>
            </w:r>
          </w:p>
        </w:tc>
        <w:tc>
          <w:tcPr>
            <w:tcW w:type="dxa" w:w="2000"/>
            <w:tcBorders>
              <w:top w:val="single" w:color="CCCCCC" w:sz="1"/>
              <w:left w:val="single" w:color="CCCCCC" w:sz="1"/>
              <w:bottom w:val="single" w:color="CCCCCC" w:sz="1"/>
              <w:right w:val="single" w:color="CCCCCC" w:sz="1"/>
            </w:tcBorders>
            <w:shd w:fill="185FA5"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Caller</w:t>
            </w:r>
          </w:p>
        </w:tc>
        <w:tc>
          <w:tcPr>
            <w:tcW w:type="dxa" w:w="496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POSTs structured journal entries to existing GL posting endpoint on GRN and transfer</w:t>
            </w:r>
          </w:p>
        </w:tc>
      </w:tr>
      <w:tr>
        <w:tc>
          <w:tcPr>
            <w:tcW w:type="dxa" w:w="24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bCs/>
                <w:color w:val="1A2332"/>
                <w:sz w:val="18"/>
                <w:szCs w:val="18"/>
              </w:rPr>
              <w:t xml:space="preserve">Reports Module</w:t>
            </w:r>
          </w:p>
        </w:tc>
        <w:tc>
          <w:tcPr>
            <w:tcW w:type="dxa" w:w="2000"/>
            <w:tcBorders>
              <w:top w:val="single" w:color="CCCCCC" w:sz="1"/>
              <w:left w:val="single" w:color="CCCCCC" w:sz="1"/>
              <w:bottom w:val="single" w:color="CCCCCC" w:sz="1"/>
              <w:right w:val="single" w:color="CCCCCC" w:sz="1"/>
            </w:tcBorders>
            <w:shd w:fill="1D9E75"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Registry</w:t>
            </w:r>
          </w:p>
        </w:tc>
        <w:tc>
          <w:tcPr>
            <w:tcW w:type="dxa" w:w="496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Appends Variance Report as a new Report Type — no existing reports modified</w:t>
            </w:r>
          </w:p>
        </w:tc>
      </w:tr>
      <w:tr>
        <w:tc>
          <w:tcPr>
            <w:tcW w:type="dxa" w:w="24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bCs/>
                <w:color w:val="1A2332"/>
                <w:sz w:val="18"/>
                <w:szCs w:val="18"/>
              </w:rPr>
              <w:t xml:space="preserve">Billing Module</w:t>
            </w:r>
          </w:p>
        </w:tc>
        <w:tc>
          <w:tcPr>
            <w:tcW w:type="dxa" w:w="2000"/>
            <w:tcBorders>
              <w:top w:val="single" w:color="CCCCCC" w:sz="1"/>
              <w:left w:val="single" w:color="CCCCCC" w:sz="1"/>
              <w:bottom w:val="single" w:color="CCCCCC" w:sz="1"/>
              <w:right w:val="single" w:color="CCCCCC" w:sz="1"/>
            </w:tcBorders>
            <w:shd w:fill="888780"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None</w:t>
            </w:r>
          </w:p>
        </w:tc>
        <w:tc>
          <w:tcPr>
            <w:tcW w:type="dxa" w:w="496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No direct integration. Inventory is upstream of billing — no connection needed</w:t>
            </w:r>
          </w:p>
        </w:tc>
      </w:tr>
      <w:tr>
        <w:tc>
          <w:tcPr>
            <w:tcW w:type="dxa" w:w="24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bCs/>
                <w:color w:val="1A2332"/>
                <w:sz w:val="18"/>
                <w:szCs w:val="18"/>
              </w:rPr>
              <w:t xml:space="preserve">Front Office / Rooms / Reservations</w:t>
            </w:r>
          </w:p>
        </w:tc>
        <w:tc>
          <w:tcPr>
            <w:tcW w:type="dxa" w:w="2000"/>
            <w:tcBorders>
              <w:top w:val="single" w:color="CCCCCC" w:sz="1"/>
              <w:left w:val="single" w:color="CCCCCC" w:sz="1"/>
              <w:bottom w:val="single" w:color="CCCCCC" w:sz="1"/>
              <w:right w:val="single" w:color="CCCCCC" w:sz="1"/>
            </w:tcBorders>
            <w:shd w:fill="888780"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None</w:t>
            </w:r>
          </w:p>
        </w:tc>
        <w:tc>
          <w:tcPr>
            <w:tcW w:type="dxa" w:w="496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Protected modules — no integration, no modification</w:t>
            </w:r>
          </w:p>
        </w:tc>
      </w:tr>
    </w:tbl>
    <w:p>
      <w:pPr>
        <w:spacing w:after="0" w:before="160"/>
      </w:pPr>
      <w:r>
        <w:t xml:space="preserve"/>
      </w:r>
    </w:p>
    <w:p>
      <w:r>
        <w:br w:type="page"/>
      </w:r>
    </w:p>
    <w:p>
      <w:pPr>
        <w:pStyle w:val="Heading1"/>
        <w:spacing w:after="160" w:before="360"/>
      </w:pPr>
      <w:r>
        <w:rPr>
          <w:rFonts w:ascii="Arial" w:cs="Arial" w:eastAsia="Arial" w:hAnsi="Arial"/>
          <w:b/>
          <w:bCs/>
          <w:color w:val="1A2332"/>
          <w:sz w:val="36"/>
          <w:szCs w:val="36"/>
        </w:rPr>
        <w:t xml:space="preserve">6. UI Design Requirements</w:t>
      </w:r>
    </w:p>
    <w:p>
      <w:pPr>
        <w:pBdr>
          <w:bottom w:val="single" w:color="1D9E75" w:sz="6" w:space="1"/>
        </w:pBdr>
        <w:spacing w:after="40" w:before="40"/>
      </w:pPr>
      <w:r>
        <w:t xml:space="preserve"/>
      </w:r>
    </w:p>
    <w:p>
      <w:pPr>
        <w:spacing w:after="0" w:before="80"/>
      </w:pPr>
      <w:r>
        <w:t xml:space="preserve"/>
      </w:r>
    </w:p>
    <w:p>
      <w:pPr>
        <w:pStyle w:val="Heading2"/>
        <w:pBdr>
          <w:bottom w:val="single" w:color="1D9E75" w:sz="4" w:space="4"/>
        </w:pBdr>
        <w:spacing w:after="120" w:before="280"/>
      </w:pPr>
      <w:r>
        <w:rPr>
          <w:rFonts w:ascii="Arial" w:cs="Arial" w:eastAsia="Arial" w:hAnsi="Arial"/>
          <w:b/>
          <w:bCs/>
          <w:color w:val="1D9E75"/>
          <w:sz w:val="26"/>
          <w:szCs w:val="26"/>
        </w:rPr>
        <w:t xml:space="preserve">6.1 Color Theme</w:t>
      </w:r>
    </w:p>
    <w:p>
      <w:pPr>
        <w:spacing w:after="60" w:before="60"/>
      </w:pPr>
      <w:r>
        <w:rPr>
          <w:rFonts w:ascii="Arial" w:cs="Arial" w:eastAsia="Arial" w:hAnsi="Arial"/>
          <w:color w:val="444441"/>
          <w:sz w:val="20"/>
          <w:szCs w:val="20"/>
        </w:rPr>
        <w:t xml:space="preserve">All UI components must match the existing COREPMS visual language exactly as defined in the system screenshots.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c>
          <w:tcPr>
            <w:tcW w:type="dxa" w:w="312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Element</w:t>
            </w:r>
          </w:p>
        </w:tc>
        <w:tc>
          <w:tcPr>
            <w:tcW w:type="dxa" w:w="212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Hex Color</w:t>
            </w:r>
          </w:p>
        </w:tc>
        <w:tc>
          <w:tcPr>
            <w:tcW w:type="dxa" w:w="412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Usage</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Sidebar background</w:t>
            </w:r>
          </w:p>
        </w:tc>
        <w:tc>
          <w:tcPr>
            <w:tcW w:type="dxa" w:w="21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bCs/>
                <w:color w:val="1D9E75"/>
                <w:sz w:val="18"/>
                <w:szCs w:val="18"/>
              </w:rPr>
              <w:t xml:space="preserve">#1A2332</w:t>
            </w:r>
          </w:p>
        </w:tc>
        <w:tc>
          <w:tcPr>
            <w:tcW w:type="dxa" w:w="41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Left navigation panel</w:t>
            </w:r>
          </w:p>
        </w:tc>
      </w:tr>
      <w:tr>
        <w:tc>
          <w:tcPr>
            <w:tcW w:type="dxa" w:w="312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Header / card header</w:t>
            </w:r>
          </w:p>
        </w:tc>
        <w:tc>
          <w:tcPr>
            <w:tcW w:type="dxa" w:w="212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bCs/>
                <w:color w:val="1D9E75"/>
                <w:sz w:val="18"/>
                <w:szCs w:val="18"/>
              </w:rPr>
              <w:t xml:space="preserve">#243447</w:t>
            </w:r>
          </w:p>
        </w:tc>
        <w:tc>
          <w:tcPr>
            <w:tcW w:type="dxa" w:w="412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Page header bar, card title bars</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Teal accent</w:t>
            </w:r>
          </w:p>
        </w:tc>
        <w:tc>
          <w:tcPr>
            <w:tcW w:type="dxa" w:w="21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bCs/>
                <w:color w:val="1D9E75"/>
                <w:sz w:val="18"/>
                <w:szCs w:val="18"/>
              </w:rPr>
              <w:t xml:space="preserve">#1D9E75</w:t>
            </w:r>
          </w:p>
        </w:tc>
        <w:tc>
          <w:tcPr>
            <w:tcW w:type="dxa" w:w="41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Primary buttons, active nav, positive variance</w:t>
            </w:r>
          </w:p>
        </w:tc>
      </w:tr>
      <w:tr>
        <w:tc>
          <w:tcPr>
            <w:tcW w:type="dxa" w:w="312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Page background</w:t>
            </w:r>
          </w:p>
        </w:tc>
        <w:tc>
          <w:tcPr>
            <w:tcW w:type="dxa" w:w="212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bCs/>
                <w:color w:val="1D9E75"/>
                <w:sz w:val="18"/>
                <w:szCs w:val="18"/>
              </w:rPr>
              <w:t xml:space="preserve">#F0F4F7</w:t>
            </w:r>
          </w:p>
        </w:tc>
        <w:tc>
          <w:tcPr>
            <w:tcW w:type="dxa" w:w="412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Content area background</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White card</w:t>
            </w:r>
          </w:p>
        </w:tc>
        <w:tc>
          <w:tcPr>
            <w:tcW w:type="dxa" w:w="21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bCs/>
                <w:color w:val="1D9E75"/>
                <w:sz w:val="18"/>
                <w:szCs w:val="18"/>
              </w:rPr>
              <w:t xml:space="preserve">#FFFFFF</w:t>
            </w:r>
          </w:p>
        </w:tc>
        <w:tc>
          <w:tcPr>
            <w:tcW w:type="dxa" w:w="41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Content cards and panels</w:t>
            </w:r>
          </w:p>
        </w:tc>
      </w:tr>
      <w:tr>
        <w:tc>
          <w:tcPr>
            <w:tcW w:type="dxa" w:w="312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Critical alert / red badge</w:t>
            </w:r>
          </w:p>
        </w:tc>
        <w:tc>
          <w:tcPr>
            <w:tcW w:type="dxa" w:w="212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bCs/>
                <w:color w:val="1D9E75"/>
                <w:sz w:val="18"/>
                <w:szCs w:val="18"/>
              </w:rPr>
              <w:t xml:space="preserve">#E24B4A</w:t>
            </w:r>
          </w:p>
        </w:tc>
        <w:tc>
          <w:tcPr>
            <w:tcW w:type="dxa" w:w="412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Negative variance, critical stock alerts</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Warning / amber badge</w:t>
            </w:r>
          </w:p>
        </w:tc>
        <w:tc>
          <w:tcPr>
            <w:tcW w:type="dxa" w:w="21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bCs/>
                <w:color w:val="1D9E75"/>
                <w:sz w:val="18"/>
                <w:szCs w:val="18"/>
              </w:rPr>
              <w:t xml:space="preserve">#F59E0B</w:t>
            </w:r>
          </w:p>
        </w:tc>
        <w:tc>
          <w:tcPr>
            <w:tcW w:type="dxa" w:w="41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Warning-level variance alerts</w:t>
            </w:r>
          </w:p>
        </w:tc>
      </w:tr>
      <w:tr>
        <w:tc>
          <w:tcPr>
            <w:tcW w:type="dxa" w:w="312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Sidebar text</w:t>
            </w:r>
          </w:p>
        </w:tc>
        <w:tc>
          <w:tcPr>
            <w:tcW w:type="dxa" w:w="212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bCs/>
                <w:color w:val="1D9E75"/>
                <w:sz w:val="18"/>
                <w:szCs w:val="18"/>
              </w:rPr>
              <w:t xml:space="preserve">#FFFFFF</w:t>
            </w:r>
          </w:p>
        </w:tc>
        <w:tc>
          <w:tcPr>
            <w:tcW w:type="dxa" w:w="412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Navigation item text</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Body text</w:t>
            </w:r>
          </w:p>
        </w:tc>
        <w:tc>
          <w:tcPr>
            <w:tcW w:type="dxa" w:w="21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bCs/>
                <w:color w:val="1D9E75"/>
                <w:sz w:val="18"/>
                <w:szCs w:val="18"/>
              </w:rPr>
              <w:t xml:space="preserve">#1A2332</w:t>
            </w:r>
          </w:p>
        </w:tc>
        <w:tc>
          <w:tcPr>
            <w:tcW w:type="dxa" w:w="41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Primary content text</w:t>
            </w:r>
          </w:p>
        </w:tc>
      </w:tr>
      <w:tr>
        <w:tc>
          <w:tcPr>
            <w:tcW w:type="dxa" w:w="312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Muted text</w:t>
            </w:r>
          </w:p>
        </w:tc>
        <w:tc>
          <w:tcPr>
            <w:tcW w:type="dxa" w:w="212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bCs/>
                <w:color w:val="1D9E75"/>
                <w:sz w:val="18"/>
                <w:szCs w:val="18"/>
              </w:rPr>
              <w:t xml:space="preserve">#6B7A8D</w:t>
            </w:r>
          </w:p>
        </w:tc>
        <w:tc>
          <w:tcPr>
            <w:tcW w:type="dxa" w:w="412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Secondary labels and metadata</w:t>
            </w:r>
          </w:p>
        </w:tc>
      </w:tr>
    </w:tbl>
    <w:p>
      <w:pPr>
        <w:spacing w:after="0" w:before="140"/>
      </w:pPr>
      <w:r>
        <w:t xml:space="preserve"/>
      </w:r>
    </w:p>
    <w:p>
      <w:pPr>
        <w:pStyle w:val="Heading2"/>
        <w:pBdr>
          <w:bottom w:val="single" w:color="1D9E75" w:sz="4" w:space="4"/>
        </w:pBdr>
        <w:spacing w:after="120" w:before="280"/>
      </w:pPr>
      <w:r>
        <w:rPr>
          <w:rFonts w:ascii="Arial" w:cs="Arial" w:eastAsia="Arial" w:hAnsi="Arial"/>
          <w:b/>
          <w:bCs/>
          <w:color w:val="1D9E75"/>
          <w:sz w:val="26"/>
          <w:szCs w:val="26"/>
        </w:rPr>
        <w:t xml:space="preserve">6.2 Screen Inventory</w:t>
      </w:r>
    </w:p>
    <w:p>
      <w:pPr>
        <w:pStyle w:val="ListParagraph"/>
        <w:numPr>
          <w:ilvl w:val="0"/>
          <w:numId w:val="2"/>
        </w:numPr>
        <w:spacing w:after="40" w:before="40"/>
      </w:pPr>
      <w:r>
        <w:rPr>
          <w:rFonts w:ascii="Arial" w:cs="Arial" w:eastAsia="Arial" w:hAnsi="Arial"/>
          <w:color w:val="444441"/>
          <w:sz w:val="20"/>
          <w:szCs w:val="20"/>
        </w:rPr>
        <w:t xml:space="preserve">Inventory Dashboard — KPI cards, critical stock alerts, recent GRNs, recipe cost variance table</w:t>
      </w:r>
    </w:p>
    <w:p>
      <w:pPr>
        <w:pStyle w:val="ListParagraph"/>
        <w:numPr>
          <w:ilvl w:val="0"/>
          <w:numId w:val="2"/>
        </w:numPr>
        <w:spacing w:after="40" w:before="40"/>
      </w:pPr>
      <w:r>
        <w:rPr>
          <w:rFonts w:ascii="Arial" w:cs="Arial" w:eastAsia="Arial" w:hAnsi="Arial"/>
          <w:color w:val="444441"/>
          <w:sz w:val="20"/>
          <w:szCs w:val="20"/>
        </w:rPr>
        <w:t xml:space="preserve">GRN Screen — New Goods Received Note form with line items grid and total footer</w:t>
      </w:r>
    </w:p>
    <w:p>
      <w:pPr>
        <w:pStyle w:val="ListParagraph"/>
        <w:numPr>
          <w:ilvl w:val="0"/>
          <w:numId w:val="2"/>
        </w:numPr>
        <w:spacing w:after="40" w:before="40"/>
      </w:pPr>
      <w:r>
        <w:rPr>
          <w:rFonts w:ascii="Arial" w:cs="Arial" w:eastAsia="Arial" w:hAnsi="Arial"/>
          <w:color w:val="444441"/>
          <w:sz w:val="20"/>
          <w:szCs w:val="20"/>
        </w:rPr>
        <w:t xml:space="preserve">Stock Transfer Screen — Source/destination selectors, breakdown toggle, Approve Transfer action</w:t>
      </w:r>
    </w:p>
    <w:p>
      <w:pPr>
        <w:pStyle w:val="ListParagraph"/>
        <w:numPr>
          <w:ilvl w:val="0"/>
          <w:numId w:val="2"/>
        </w:numPr>
        <w:spacing w:after="40" w:before="40"/>
      </w:pPr>
      <w:r>
        <w:rPr>
          <w:rFonts w:ascii="Arial" w:cs="Arial" w:eastAsia="Arial" w:hAnsi="Arial"/>
          <w:color w:val="444441"/>
          <w:sz w:val="20"/>
          <w:szCs w:val="20"/>
        </w:rPr>
        <w:t xml:space="preserve">Recipe Builder — POS SKU selector, ingredient lines with wastage %, theoretical cost summary</w:t>
      </w:r>
    </w:p>
    <w:p>
      <w:pPr>
        <w:pStyle w:val="ListParagraph"/>
        <w:numPr>
          <w:ilvl w:val="0"/>
          <w:numId w:val="2"/>
        </w:numPr>
        <w:spacing w:after="40" w:before="40"/>
      </w:pPr>
      <w:r>
        <w:rPr>
          <w:rFonts w:ascii="Arial" w:cs="Arial" w:eastAsia="Arial" w:hAnsi="Arial"/>
          <w:color w:val="444441"/>
          <w:sz w:val="20"/>
          <w:szCs w:val="20"/>
        </w:rPr>
        <w:t xml:space="preserve">Variance Report Viewer — Date range filter, summary bar, detail table with alert badges, PDF export</w:t>
      </w:r>
    </w:p>
    <w:p>
      <w:pPr>
        <w:spacing w:after="0" w:before="80"/>
      </w:pPr>
      <w:r>
        <w:t xml:space="preserve"/>
      </w:r>
    </w:p>
    <w:p>
      <w:pPr>
        <w:spacing w:after="60" w:before="60"/>
      </w:pPr>
      <w:r>
        <w:rPr>
          <w:rFonts w:ascii="Arial" w:cs="Arial" w:eastAsia="Arial" w:hAnsi="Arial"/>
          <w:color w:val="444441"/>
          <w:sz w:val="20"/>
          <w:szCs w:val="20"/>
        </w:rPr>
        <w:t xml:space="preserve">Navigation: The module adds the following items to the existing sidebar below the Dashboard entry:</w:t>
      </w:r>
    </w:p>
    <w:p>
      <w:pPr>
        <w:pStyle w:val="ListParagraph"/>
        <w:numPr>
          <w:ilvl w:val="0"/>
          <w:numId w:val="2"/>
        </w:numPr>
        <w:spacing w:after="40" w:before="40"/>
      </w:pPr>
      <w:r>
        <w:rPr>
          <w:rFonts w:ascii="Arial" w:cs="Arial" w:eastAsia="Arial" w:hAnsi="Arial"/>
          <w:color w:val="444441"/>
          <w:sz w:val="20"/>
          <w:szCs w:val="20"/>
        </w:rPr>
        <w:t xml:space="preserve">Receiving (GRN)</w:t>
      </w:r>
    </w:p>
    <w:p>
      <w:pPr>
        <w:pStyle w:val="ListParagraph"/>
        <w:numPr>
          <w:ilvl w:val="0"/>
          <w:numId w:val="2"/>
        </w:numPr>
        <w:spacing w:after="40" w:before="40"/>
      </w:pPr>
      <w:r>
        <w:rPr>
          <w:rFonts w:ascii="Arial" w:cs="Arial" w:eastAsia="Arial" w:hAnsi="Arial"/>
          <w:color w:val="444441"/>
          <w:sz w:val="20"/>
          <w:szCs w:val="20"/>
        </w:rPr>
        <w:t xml:space="preserve">Stock Transfer</w:t>
      </w:r>
    </w:p>
    <w:p>
      <w:pPr>
        <w:pStyle w:val="ListParagraph"/>
        <w:numPr>
          <w:ilvl w:val="0"/>
          <w:numId w:val="2"/>
        </w:numPr>
        <w:spacing w:after="40" w:before="40"/>
      </w:pPr>
      <w:r>
        <w:rPr>
          <w:rFonts w:ascii="Arial" w:cs="Arial" w:eastAsia="Arial" w:hAnsi="Arial"/>
          <w:color w:val="444441"/>
          <w:sz w:val="20"/>
          <w:szCs w:val="20"/>
        </w:rPr>
        <w:t xml:space="preserve">Menu Engineering</w:t>
      </w:r>
    </w:p>
    <w:p>
      <w:pPr>
        <w:pStyle w:val="ListParagraph"/>
        <w:numPr>
          <w:ilvl w:val="0"/>
          <w:numId w:val="2"/>
        </w:numPr>
        <w:spacing w:after="40" w:before="40"/>
      </w:pPr>
      <w:r>
        <w:rPr>
          <w:rFonts w:ascii="Arial" w:cs="Arial" w:eastAsia="Arial" w:hAnsi="Arial"/>
          <w:color w:val="444441"/>
          <w:sz w:val="20"/>
          <w:szCs w:val="20"/>
        </w:rPr>
        <w:t xml:space="preserve">Reports (extends existing Reports section)</w:t>
      </w:r>
    </w:p>
    <w:p>
      <w:pPr>
        <w:spacing w:after="0" w:before="160"/>
      </w:pPr>
      <w:r>
        <w:t xml:space="preserve"/>
      </w:r>
    </w:p>
    <w:p>
      <w:r>
        <w:br w:type="page"/>
      </w:r>
    </w:p>
    <w:p>
      <w:pPr>
        <w:pStyle w:val="Heading1"/>
        <w:spacing w:after="160" w:before="360"/>
      </w:pPr>
      <w:r>
        <w:rPr>
          <w:rFonts w:ascii="Arial" w:cs="Arial" w:eastAsia="Arial" w:hAnsi="Arial"/>
          <w:b/>
          <w:bCs/>
          <w:color w:val="1A2332"/>
          <w:sz w:val="36"/>
          <w:szCs w:val="36"/>
        </w:rPr>
        <w:t xml:space="preserve">7. AntiGravity Deployment Plan</w:t>
      </w:r>
    </w:p>
    <w:p>
      <w:pPr>
        <w:pBdr>
          <w:bottom w:val="single" w:color="1D9E75" w:sz="6" w:space="1"/>
        </w:pBdr>
        <w:spacing w:after="4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24B4A"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CRITICAL CONSTRAINT</w:t>
            </w:r>
          </w:p>
        </w:tc>
        <w:tc>
          <w:tcPr>
            <w:tcW w:type="dxa" w:w="7960"/>
            <w:tcBorders>
              <w:top w:val="none" w:color="FFFFFF" w:sz="0"/>
              <w:left w:val="none" w:color="FFFFFF" w:sz="0"/>
              <w:bottom w:val="none" w:color="FFFFFF" w:sz="0"/>
              <w:right w:val="none" w:color="FFFFFF" w:sz="0"/>
            </w:tcBorders>
            <w:shd w:fill="FCEBEB" w:val="clear"/>
            <w:tcMar>
              <w:top w:type="dxa" w:w="90"/>
              <w:left w:type="dxa" w:w="140"/>
              <w:bottom w:type="dxa" w:w="90"/>
              <w:right w:type="dxa" w:w="140"/>
            </w:tcMar>
          </w:tcPr>
          <w:p>
            <w:r>
              <w:rPr>
                <w:rFonts w:ascii="Arial" w:cs="Arial" w:eastAsia="Arial" w:hAnsi="Arial"/>
                <w:color w:val="444441"/>
                <w:sz w:val="19"/>
                <w:szCs w:val="19"/>
              </w:rPr>
              <w:t xml:space="preserve">DO NOT commit to any git branch. Run all tests locally only. Any test failure halts the process. Rollback checkpoint must be generated before any file or database modification.</w:t>
            </w:r>
          </w:p>
        </w:tc>
      </w:tr>
    </w:tbl>
    <w:p>
      <w:pPr>
        <w:spacing w:after="0" w:before="120"/>
      </w:pPr>
      <w:r>
        <w:t xml:space="preserve"/>
      </w:r>
    </w:p>
    <w:p>
      <w:pPr>
        <w:pStyle w:val="Heading2"/>
        <w:pBdr>
          <w:bottom w:val="single" w:color="1D9E75" w:sz="4" w:space="4"/>
        </w:pBdr>
        <w:spacing w:after="120" w:before="280"/>
      </w:pPr>
      <w:r>
        <w:rPr>
          <w:rFonts w:ascii="Arial" w:cs="Arial" w:eastAsia="Arial" w:hAnsi="Arial"/>
          <w:b/>
          <w:bCs/>
          <w:color w:val="1D9E75"/>
          <w:sz w:val="26"/>
          <w:szCs w:val="26"/>
        </w:rPr>
        <w:t xml:space="preserve">7.1 Agent Assignments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Agent</w:t>
            </w:r>
          </w:p>
        </w:tc>
        <w:tc>
          <w:tcPr>
            <w:tcW w:type="dxa" w:w="200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Specialisation</w:t>
            </w:r>
          </w:p>
        </w:tc>
        <w:tc>
          <w:tcPr>
            <w:tcW w:type="dxa" w:w="516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Primary Deliverables</w:t>
            </w:r>
          </w:p>
        </w:tc>
      </w:tr>
      <w:tr>
        <w:tc>
          <w:tcPr>
            <w:tcW w:type="dxa" w:w="22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bCs/>
                <w:color w:val="1A2332"/>
                <w:sz w:val="18"/>
                <w:szCs w:val="18"/>
              </w:rPr>
              <w:t xml:space="preserve">Agent 1</w:t>
            </w:r>
          </w:p>
        </w:tc>
        <w:tc>
          <w:tcPr>
            <w:tcW w:type="dxa" w:w="20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Schema &amp; Data</w:t>
            </w:r>
          </w:p>
        </w:tc>
        <w:tc>
          <w:tcPr>
            <w:tcW w:type="dxa" w:w="516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All inv_ database tables, migrations, rollback scripts, seed data</w:t>
            </w:r>
          </w:p>
        </w:tc>
      </w:tr>
      <w:tr>
        <w:tc>
          <w:tcPr>
            <w:tcW w:type="dxa" w:w="22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bCs/>
                <w:color w:val="1A2332"/>
                <w:sz w:val="18"/>
                <w:szCs w:val="18"/>
              </w:rPr>
              <w:t xml:space="preserve">Agent 2</w:t>
            </w:r>
          </w:p>
        </w:tc>
        <w:tc>
          <w:tcPr>
            <w:tcW w:type="dxa" w:w="20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Backend Logic</w:t>
            </w:r>
          </w:p>
        </w:tc>
        <w:tc>
          <w:tcPr>
            <w:tcW w:type="dxa" w:w="516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GRN service, transfer service, UOM engine, depletion logic, variance calculator, API endpoints</w:t>
            </w:r>
          </w:p>
        </w:tc>
      </w:tr>
      <w:tr>
        <w:tc>
          <w:tcPr>
            <w:tcW w:type="dxa" w:w="22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bCs/>
                <w:color w:val="1A2332"/>
                <w:sz w:val="18"/>
                <w:szCs w:val="18"/>
              </w:rPr>
              <w:t xml:space="preserve">Agent 3</w:t>
            </w:r>
          </w:p>
        </w:tc>
        <w:tc>
          <w:tcPr>
            <w:tcW w:type="dxa" w:w="20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UI / Frontend</w:t>
            </w:r>
          </w:p>
        </w:tc>
        <w:tc>
          <w:tcPr>
            <w:tcW w:type="dxa" w:w="516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React/Tailwind components for all 5 screens, matching COREPMS color theme</w:t>
            </w:r>
          </w:p>
        </w:tc>
      </w:tr>
      <w:tr>
        <w:tc>
          <w:tcPr>
            <w:tcW w:type="dxa" w:w="22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bCs/>
                <w:color w:val="1A2332"/>
                <w:sz w:val="18"/>
                <w:szCs w:val="18"/>
              </w:rPr>
              <w:t xml:space="preserve">Main Agent</w:t>
            </w:r>
          </w:p>
        </w:tc>
        <w:tc>
          <w:tcPr>
            <w:tcW w:type="dxa" w:w="20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Consolidation &amp; QA</w:t>
            </w:r>
          </w:p>
        </w:tc>
        <w:tc>
          <w:tcPr>
            <w:tcW w:type="dxa" w:w="516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Integration orchestration, full test suite execution, rollback artefact generation, deployment gate</w:t>
            </w:r>
          </w:p>
        </w:tc>
      </w:tr>
    </w:tbl>
    <w:p>
      <w:pPr>
        <w:spacing w:after="0" w:before="140"/>
      </w:pPr>
      <w:r>
        <w:t xml:space="preserve"/>
      </w:r>
    </w:p>
    <w:p>
      <w:pPr>
        <w:pStyle w:val="Heading2"/>
        <w:pBdr>
          <w:bottom w:val="single" w:color="1D9E75" w:sz="4" w:space="4"/>
        </w:pBdr>
        <w:spacing w:after="120" w:before="280"/>
      </w:pPr>
      <w:r>
        <w:rPr>
          <w:rFonts w:ascii="Arial" w:cs="Arial" w:eastAsia="Arial" w:hAnsi="Arial"/>
          <w:b/>
          <w:bCs/>
          <w:color w:val="1D9E75"/>
          <w:sz w:val="26"/>
          <w:szCs w:val="26"/>
        </w:rPr>
        <w:t xml:space="preserve">7.2 Execution Sequence</w:t>
      </w:r>
    </w:p>
    <w:p>
      <w:pPr>
        <w:pStyle w:val="ListParagraph"/>
        <w:numPr>
          <w:ilvl w:val="0"/>
          <w:numId w:val="3"/>
        </w:numPr>
        <w:spacing w:after="40" w:before="40"/>
      </w:pPr>
      <w:r>
        <w:rPr>
          <w:rFonts w:ascii="Arial" w:cs="Arial" w:eastAsia="Arial" w:hAnsi="Arial"/>
          <w:color w:val="444441"/>
          <w:sz w:val="20"/>
          <w:szCs w:val="20"/>
        </w:rPr>
        <w:t xml:space="preserve">Main Agent generates rollback checkpoint: DB snapshot + file backup to /corepms/rollback/v11_pre/</w:t>
      </w:r>
    </w:p>
    <w:p>
      <w:pPr>
        <w:pStyle w:val="ListParagraph"/>
        <w:numPr>
          <w:ilvl w:val="0"/>
          <w:numId w:val="3"/>
        </w:numPr>
        <w:spacing w:after="40" w:before="40"/>
      </w:pPr>
      <w:r>
        <w:rPr>
          <w:rFonts w:ascii="Arial" w:cs="Arial" w:eastAsia="Arial" w:hAnsi="Arial"/>
          <w:color w:val="444441"/>
          <w:sz w:val="20"/>
          <w:szCs w:val="20"/>
        </w:rPr>
        <w:t xml:space="preserve">Agent 1 runs database migrations inside a transaction — auto-rollback on any failure</w:t>
      </w:r>
    </w:p>
    <w:p>
      <w:pPr>
        <w:pStyle w:val="ListParagraph"/>
        <w:numPr>
          <w:ilvl w:val="0"/>
          <w:numId w:val="3"/>
        </w:numPr>
        <w:spacing w:after="40" w:before="40"/>
      </w:pPr>
      <w:r>
        <w:rPr>
          <w:rFonts w:ascii="Arial" w:cs="Arial" w:eastAsia="Arial" w:hAnsi="Arial"/>
          <w:color w:val="444441"/>
          <w:sz w:val="20"/>
          <w:szCs w:val="20"/>
        </w:rPr>
        <w:t xml:space="preserve">Agent 2 deploys backend services and passes all unit tests before proceeding</w:t>
      </w:r>
    </w:p>
    <w:p>
      <w:pPr>
        <w:pStyle w:val="ListParagraph"/>
        <w:numPr>
          <w:ilvl w:val="0"/>
          <w:numId w:val="3"/>
        </w:numPr>
        <w:spacing w:after="40" w:before="40"/>
      </w:pPr>
      <w:r>
        <w:rPr>
          <w:rFonts w:ascii="Arial" w:cs="Arial" w:eastAsia="Arial" w:hAnsi="Arial"/>
          <w:color w:val="444441"/>
          <w:sz w:val="20"/>
          <w:szCs w:val="20"/>
        </w:rPr>
        <w:t xml:space="preserve">Agent 3 builds UI components and confirms build compiles without errors</w:t>
      </w:r>
    </w:p>
    <w:p>
      <w:pPr>
        <w:pStyle w:val="ListParagraph"/>
        <w:numPr>
          <w:ilvl w:val="0"/>
          <w:numId w:val="3"/>
        </w:numPr>
        <w:spacing w:after="40" w:before="40"/>
      </w:pPr>
      <w:r>
        <w:rPr>
          <w:rFonts w:ascii="Arial" w:cs="Arial" w:eastAsia="Arial" w:hAnsi="Arial"/>
          <w:color w:val="444441"/>
          <w:sz w:val="20"/>
          <w:szCs w:val="20"/>
        </w:rPr>
        <w:t xml:space="preserve">Main Agent runs the full integration test suite (6 tests — see Section 7.3)</w:t>
      </w:r>
    </w:p>
    <w:p>
      <w:pPr>
        <w:pStyle w:val="ListParagraph"/>
        <w:numPr>
          <w:ilvl w:val="0"/>
          <w:numId w:val="3"/>
        </w:numPr>
        <w:spacing w:after="40" w:before="40"/>
      </w:pPr>
      <w:r>
        <w:rPr>
          <w:rFonts w:ascii="Arial" w:cs="Arial" w:eastAsia="Arial" w:hAnsi="Arial"/>
          <w:color w:val="444441"/>
          <w:sz w:val="20"/>
          <w:szCs w:val="20"/>
        </w:rPr>
        <w:t xml:space="preserve">If any test fails: STOP. Print failure report. Do not commit. Await human review.</w:t>
      </w:r>
    </w:p>
    <w:p>
      <w:pPr>
        <w:pStyle w:val="ListParagraph"/>
        <w:numPr>
          <w:ilvl w:val="0"/>
          <w:numId w:val="3"/>
        </w:numPr>
        <w:spacing w:after="40" w:before="40"/>
      </w:pPr>
      <w:r>
        <w:rPr>
          <w:rFonts w:ascii="Arial" w:cs="Arial" w:eastAsia="Arial" w:hAnsi="Arial"/>
          <w:color w:val="444441"/>
          <w:sz w:val="20"/>
          <w:szCs w:val="20"/>
        </w:rPr>
        <w:t xml:space="preserve">If all tests pass: Print "v11 READY FOR REVIEW" with rollback command available</w:t>
      </w:r>
    </w:p>
    <w:p>
      <w:pPr>
        <w:spacing w:after="0" w:before="140"/>
      </w:pPr>
      <w:r>
        <w:t xml:space="preserve"/>
      </w:r>
    </w:p>
    <w:p>
      <w:pPr>
        <w:pStyle w:val="Heading2"/>
        <w:pBdr>
          <w:bottom w:val="single" w:color="1D9E75" w:sz="4" w:space="4"/>
        </w:pBdr>
        <w:spacing w:after="120" w:before="280"/>
      </w:pPr>
      <w:r>
        <w:rPr>
          <w:rFonts w:ascii="Arial" w:cs="Arial" w:eastAsia="Arial" w:hAnsi="Arial"/>
          <w:b/>
          <w:bCs/>
          <w:color w:val="1D9E75"/>
          <w:sz w:val="26"/>
          <w:szCs w:val="26"/>
        </w:rPr>
        <w:t xml:space="preserve">7.3 Integration Test Suite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560"/>
        <w:gridCol w:w="2800"/>
      </w:tblGrid>
      <w:tr>
        <w:tc>
          <w:tcPr>
            <w:tcW w:type="dxa" w:w="60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Test Name</w:t>
            </w:r>
          </w:p>
        </w:tc>
        <w:tc>
          <w:tcPr>
            <w:tcW w:type="dxa" w:w="356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Scenario</w:t>
            </w:r>
          </w:p>
        </w:tc>
        <w:tc>
          <w:tcPr>
            <w:tcW w:type="dxa" w:w="280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Expected Outcome</w:t>
            </w:r>
          </w:p>
        </w:tc>
      </w:tr>
      <w:tr>
        <w:tc>
          <w:tcPr>
            <w:tcW w:type="dxa" w:w="60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bCs/>
                <w:color w:val="1A2332"/>
                <w:sz w:val="18"/>
                <w:szCs w:val="18"/>
              </w:rPr>
              <w:t xml:space="preserve">Full GRN Flow</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Create GRN: 10 Cases Jameson @ $180 to Main Cellar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Ledger: +120 Bottles Main Cellar; GL entry posted</w:t>
            </w:r>
          </w:p>
        </w:tc>
      </w:tr>
      <w:tr>
        <w:tc>
          <w:tcPr>
            <w:tcW w:type="dxa" w:w="60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2</w:t>
            </w:r>
          </w:p>
        </w:tc>
        <w:tc>
          <w:tcPr>
            <w:tcW w:type="dxa" w:w="24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bCs/>
                <w:color w:val="1A2332"/>
                <w:sz w:val="18"/>
                <w:szCs w:val="18"/>
              </w:rPr>
              <w:t xml:space="preserve">Transfer + Breakdown</w:t>
            </w:r>
          </w:p>
        </w:tc>
        <w:tc>
          <w:tcPr>
            <w:tcW w:type="dxa" w:w="356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Transfer 2 Bottles Jameson to Bar 1 with breakdown</w:t>
            </w:r>
          </w:p>
        </w:tc>
        <w:tc>
          <w:tcPr>
            <w:tcW w:type="dxa" w:w="28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Main Cellar -2 Bottles; Bar 1 +60 Tots in ledger</w:t>
            </w:r>
          </w:p>
        </w:tc>
      </w:tr>
      <w:tr>
        <w:tc>
          <w:tcPr>
            <w:tcW w:type="dxa" w:w="60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bCs/>
                <w:color w:val="1A2332"/>
                <w:sz w:val="18"/>
                <w:szCs w:val="18"/>
              </w:rPr>
              <w:t xml:space="preserve">POS Sale Depletion</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Sell 10 x Quarter Chicken at Restaurant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Chicken, Oil, Sides depleted per recipe x 10 x wastage</w:t>
            </w:r>
          </w:p>
        </w:tc>
      </w:tr>
      <w:tr>
        <w:tc>
          <w:tcPr>
            <w:tcW w:type="dxa" w:w="60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4</w:t>
            </w:r>
          </w:p>
        </w:tc>
        <w:tc>
          <w:tcPr>
            <w:tcW w:type="dxa" w:w="24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bCs/>
                <w:color w:val="1A2332"/>
                <w:sz w:val="18"/>
                <w:szCs w:val="18"/>
              </w:rPr>
              <w:t xml:space="preserve">Variance Calculation</w:t>
            </w:r>
          </w:p>
        </w:tc>
        <w:tc>
          <w:tcPr>
            <w:tcW w:type="dxa" w:w="356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300 Tots sold via POS; 12 bottles removed physically</w:t>
            </w:r>
          </w:p>
        </w:tc>
        <w:tc>
          <w:tcPr>
            <w:tcW w:type="dxa" w:w="28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Variance: 60 Tots; Alert Level: CRITICAL</w:t>
            </w:r>
          </w:p>
        </w:tc>
      </w:tr>
      <w:tr>
        <w:tc>
          <w:tcPr>
            <w:tcW w:type="dxa" w:w="60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bCs/>
                <w:color w:val="1A2332"/>
                <w:sz w:val="18"/>
                <w:szCs w:val="18"/>
              </w:rPr>
              <w:t xml:space="preserve">Module Isolation</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Check for writes to protected tables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Zero writes to reservations/rooms/billing tables</w:t>
            </w:r>
          </w:p>
        </w:tc>
      </w:tr>
      <w:tr>
        <w:tc>
          <w:tcPr>
            <w:tcW w:type="dxa" w:w="60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6</w:t>
            </w:r>
          </w:p>
        </w:tc>
        <w:tc>
          <w:tcPr>
            <w:tcW w:type="dxa" w:w="24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bCs/>
                <w:color w:val="1A2332"/>
                <w:sz w:val="18"/>
                <w:szCs w:val="18"/>
              </w:rPr>
              <w:t xml:space="preserve">Rollback Validation</w:t>
            </w:r>
          </w:p>
        </w:tc>
        <w:tc>
          <w:tcPr>
            <w:tcW w:type="dxa" w:w="356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Execute rollback script in test environment</w:t>
            </w:r>
          </w:p>
        </w:tc>
        <w:tc>
          <w:tcPr>
            <w:tcW w:type="dxa" w:w="280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All inv_ tables removed; files restored to pre-v11 state</w:t>
            </w:r>
          </w:p>
        </w:tc>
      </w:tr>
    </w:tbl>
    <w:p>
      <w:pPr>
        <w:spacing w:after="0" w:before="160"/>
      </w:pPr>
      <w:r>
        <w:t xml:space="preserve"/>
      </w:r>
    </w:p>
    <w:p>
      <w:r>
        <w:br w:type="page"/>
      </w:r>
    </w:p>
    <w:p>
      <w:pPr>
        <w:pStyle w:val="Heading1"/>
        <w:spacing w:after="160" w:before="360"/>
      </w:pPr>
      <w:r>
        <w:rPr>
          <w:rFonts w:ascii="Arial" w:cs="Arial" w:eastAsia="Arial" w:hAnsi="Arial"/>
          <w:b/>
          <w:bCs/>
          <w:color w:val="1A2332"/>
          <w:sz w:val="36"/>
          <w:szCs w:val="36"/>
        </w:rPr>
        <w:t xml:space="preserve">8. Non-Functional Requirements</w:t>
      </w:r>
    </w:p>
    <w:p>
      <w:pPr>
        <w:pBdr>
          <w:bottom w:val="single" w:color="1D9E75" w:sz="6" w:space="1"/>
        </w:pBdr>
        <w:spacing w:after="40" w:before="40"/>
      </w:pPr>
      <w:r>
        <w:t xml:space="preserve"/>
      </w:r>
    </w:p>
    <w:p>
      <w:pPr>
        <w:spacing w:after="0" w:before="80"/>
      </w:pPr>
      <w:r>
        <w:t xml:space="preserve"/>
      </w:r>
    </w:p>
    <w:p>
      <w:pPr>
        <w:pStyle w:val="Heading2"/>
        <w:pBdr>
          <w:bottom w:val="single" w:color="1D9E75" w:sz="4" w:space="4"/>
        </w:pBdr>
        <w:spacing w:after="120" w:before="280"/>
      </w:pPr>
      <w:r>
        <w:rPr>
          <w:rFonts w:ascii="Arial" w:cs="Arial" w:eastAsia="Arial" w:hAnsi="Arial"/>
          <w:b/>
          <w:bCs/>
          <w:color w:val="1D9E75"/>
          <w:sz w:val="26"/>
          <w:szCs w:val="26"/>
        </w:rPr>
        <w:t xml:space="preserve">8.1 Performance</w:t>
      </w:r>
    </w:p>
    <w:p>
      <w:pPr>
        <w:pStyle w:val="ListParagraph"/>
        <w:numPr>
          <w:ilvl w:val="0"/>
          <w:numId w:val="2"/>
        </w:numPr>
        <w:spacing w:after="40" w:before="40"/>
      </w:pPr>
      <w:r>
        <w:rPr>
          <w:rFonts w:ascii="Arial" w:cs="Arial" w:eastAsia="Arial" w:hAnsi="Arial"/>
          <w:color w:val="444441"/>
          <w:sz w:val="20"/>
          <w:szCs w:val="20"/>
        </w:rPr>
        <w:t xml:space="preserve">Stock ledger queries for any single location must return within 500ms for up to 100,000 rows</w:t>
      </w:r>
    </w:p>
    <w:p>
      <w:pPr>
        <w:pStyle w:val="ListParagraph"/>
        <w:numPr>
          <w:ilvl w:val="0"/>
          <w:numId w:val="2"/>
        </w:numPr>
        <w:spacing w:after="40" w:before="40"/>
      </w:pPr>
      <w:r>
        <w:rPr>
          <w:rFonts w:ascii="Arial" w:cs="Arial" w:eastAsia="Arial" w:hAnsi="Arial"/>
          <w:color w:val="444441"/>
          <w:sz w:val="20"/>
          <w:szCs w:val="20"/>
        </w:rPr>
        <w:t xml:space="preserve">Variance report generation must complete within 30 seconds for a full week of data</w:t>
      </w:r>
    </w:p>
    <w:p>
      <w:pPr>
        <w:pStyle w:val="ListParagraph"/>
        <w:numPr>
          <w:ilvl w:val="0"/>
          <w:numId w:val="2"/>
        </w:numPr>
        <w:spacing w:after="40" w:before="40"/>
      </w:pPr>
      <w:r>
        <w:rPr>
          <w:rFonts w:ascii="Arial" w:cs="Arial" w:eastAsia="Arial" w:hAnsi="Arial"/>
          <w:color w:val="444441"/>
          <w:sz w:val="20"/>
          <w:szCs w:val="20"/>
        </w:rPr>
        <w:t xml:space="preserve">GRN posting including GL entry must complete within 2 seconds</w:t>
      </w:r>
    </w:p>
    <w:p>
      <w:pPr>
        <w:spacing w:after="0" w:before="100"/>
      </w:pPr>
      <w:r>
        <w:t xml:space="preserve"/>
      </w:r>
    </w:p>
    <w:p>
      <w:pPr>
        <w:pStyle w:val="Heading2"/>
        <w:pBdr>
          <w:bottom w:val="single" w:color="1D9E75" w:sz="4" w:space="4"/>
        </w:pBdr>
        <w:spacing w:after="120" w:before="280"/>
      </w:pPr>
      <w:r>
        <w:rPr>
          <w:rFonts w:ascii="Arial" w:cs="Arial" w:eastAsia="Arial" w:hAnsi="Arial"/>
          <w:b/>
          <w:bCs/>
          <w:color w:val="1D9E75"/>
          <w:sz w:val="26"/>
          <w:szCs w:val="26"/>
        </w:rPr>
        <w:t xml:space="preserve">8.2 Data Integrity</w:t>
      </w:r>
    </w:p>
    <w:p>
      <w:pPr>
        <w:pStyle w:val="ListParagraph"/>
        <w:numPr>
          <w:ilvl w:val="0"/>
          <w:numId w:val="2"/>
        </w:numPr>
        <w:spacing w:after="40" w:before="40"/>
      </w:pPr>
      <w:r>
        <w:rPr>
          <w:rFonts w:ascii="Arial" w:cs="Arial" w:eastAsia="Arial" w:hAnsi="Arial"/>
          <w:color w:val="444441"/>
          <w:sz w:val="20"/>
          <w:szCs w:val="20"/>
        </w:rPr>
        <w:t xml:space="preserve">All stock movements are immutable once posted — corrections use reversal entries, not deletions</w:t>
      </w:r>
    </w:p>
    <w:p>
      <w:pPr>
        <w:pStyle w:val="ListParagraph"/>
        <w:numPr>
          <w:ilvl w:val="0"/>
          <w:numId w:val="2"/>
        </w:numPr>
        <w:spacing w:after="40" w:before="40"/>
      </w:pPr>
      <w:r>
        <w:rPr>
          <w:rFonts w:ascii="Arial" w:cs="Arial" w:eastAsia="Arial" w:hAnsi="Arial"/>
          <w:color w:val="444441"/>
          <w:sz w:val="20"/>
          <w:szCs w:val="20"/>
        </w:rPr>
        <w:t xml:space="preserve">Duplicate GRN numbers are blocked at the database constraint level</w:t>
      </w:r>
    </w:p>
    <w:p>
      <w:pPr>
        <w:pStyle w:val="ListParagraph"/>
        <w:numPr>
          <w:ilvl w:val="0"/>
          <w:numId w:val="2"/>
        </w:numPr>
        <w:spacing w:after="40" w:before="40"/>
      </w:pPr>
      <w:r>
        <w:rPr>
          <w:rFonts w:ascii="Arial" w:cs="Arial" w:eastAsia="Arial" w:hAnsi="Arial"/>
          <w:color w:val="444441"/>
          <w:sz w:val="20"/>
          <w:szCs w:val="20"/>
        </w:rPr>
        <w:t xml:space="preserve">Transfer approval must be performed by a different user than the transfer creator</w:t>
      </w:r>
    </w:p>
    <w:p>
      <w:pPr>
        <w:pStyle w:val="ListParagraph"/>
        <w:numPr>
          <w:ilvl w:val="0"/>
          <w:numId w:val="2"/>
        </w:numPr>
        <w:spacing w:after="40" w:before="40"/>
      </w:pPr>
      <w:r>
        <w:rPr>
          <w:rFonts w:ascii="Arial" w:cs="Arial" w:eastAsia="Arial" w:hAnsi="Arial"/>
          <w:color w:val="444441"/>
          <w:sz w:val="20"/>
          <w:szCs w:val="20"/>
        </w:rPr>
        <w:t xml:space="preserve">All tables include created_at, updated_at, and created_by audit fields</w:t>
      </w:r>
    </w:p>
    <w:p>
      <w:pPr>
        <w:spacing w:after="0" w:before="100"/>
      </w:pPr>
      <w:r>
        <w:t xml:space="preserve"/>
      </w:r>
    </w:p>
    <w:p>
      <w:pPr>
        <w:pStyle w:val="Heading2"/>
        <w:pBdr>
          <w:bottom w:val="single" w:color="1D9E75" w:sz="4" w:space="4"/>
        </w:pBdr>
        <w:spacing w:after="120" w:before="280"/>
      </w:pPr>
      <w:r>
        <w:rPr>
          <w:rFonts w:ascii="Arial" w:cs="Arial" w:eastAsia="Arial" w:hAnsi="Arial"/>
          <w:b/>
          <w:bCs/>
          <w:color w:val="1D9E75"/>
          <w:sz w:val="26"/>
          <w:szCs w:val="26"/>
        </w:rPr>
        <w:t xml:space="preserve">8.3 Security</w:t>
      </w:r>
    </w:p>
    <w:p>
      <w:pPr>
        <w:pStyle w:val="ListParagraph"/>
        <w:numPr>
          <w:ilvl w:val="0"/>
          <w:numId w:val="2"/>
        </w:numPr>
        <w:spacing w:after="40" w:before="40"/>
      </w:pPr>
      <w:r>
        <w:rPr>
          <w:rFonts w:ascii="Arial" w:cs="Arial" w:eastAsia="Arial" w:hAnsi="Arial"/>
          <w:color w:val="444441"/>
          <w:sz w:val="20"/>
          <w:szCs w:val="20"/>
        </w:rPr>
        <w:t xml:space="preserve">GRN creation: F&amp;B Staff and above</w:t>
      </w:r>
    </w:p>
    <w:p>
      <w:pPr>
        <w:pStyle w:val="ListParagraph"/>
        <w:numPr>
          <w:ilvl w:val="0"/>
          <w:numId w:val="2"/>
        </w:numPr>
        <w:spacing w:after="40" w:before="40"/>
      </w:pPr>
      <w:r>
        <w:rPr>
          <w:rFonts w:ascii="Arial" w:cs="Arial" w:eastAsia="Arial" w:hAnsi="Arial"/>
          <w:color w:val="444441"/>
          <w:sz w:val="20"/>
          <w:szCs w:val="20"/>
        </w:rPr>
        <w:t xml:space="preserve">GRN posting to ledger: F&amp;B Manager and above</w:t>
      </w:r>
    </w:p>
    <w:p>
      <w:pPr>
        <w:pStyle w:val="ListParagraph"/>
        <w:numPr>
          <w:ilvl w:val="0"/>
          <w:numId w:val="2"/>
        </w:numPr>
        <w:spacing w:after="40" w:before="40"/>
      </w:pPr>
      <w:r>
        <w:rPr>
          <w:rFonts w:ascii="Arial" w:cs="Arial" w:eastAsia="Arial" w:hAnsi="Arial"/>
          <w:color w:val="444441"/>
          <w:sz w:val="20"/>
          <w:szCs w:val="20"/>
        </w:rPr>
        <w:t xml:space="preserve">Transfer approval: F&amp;B Manager and above</w:t>
      </w:r>
    </w:p>
    <w:p>
      <w:pPr>
        <w:pStyle w:val="ListParagraph"/>
        <w:numPr>
          <w:ilvl w:val="0"/>
          <w:numId w:val="2"/>
        </w:numPr>
        <w:spacing w:after="40" w:before="40"/>
      </w:pPr>
      <w:r>
        <w:rPr>
          <w:rFonts w:ascii="Arial" w:cs="Arial" w:eastAsia="Arial" w:hAnsi="Arial"/>
          <w:color w:val="444441"/>
          <w:sz w:val="20"/>
          <w:szCs w:val="20"/>
        </w:rPr>
        <w:t xml:space="preserve">Recipe management: F&amp;B Manager and above</w:t>
      </w:r>
    </w:p>
    <w:p>
      <w:pPr>
        <w:pStyle w:val="ListParagraph"/>
        <w:numPr>
          <w:ilvl w:val="0"/>
          <w:numId w:val="2"/>
        </w:numPr>
        <w:spacing w:after="40" w:before="40"/>
      </w:pPr>
      <w:r>
        <w:rPr>
          <w:rFonts w:ascii="Arial" w:cs="Arial" w:eastAsia="Arial" w:hAnsi="Arial"/>
          <w:color w:val="444441"/>
          <w:sz w:val="20"/>
          <w:szCs w:val="20"/>
        </w:rPr>
        <w:t xml:space="preserve">Variance report access: Management roles only</w:t>
      </w:r>
    </w:p>
    <w:p>
      <w:pPr>
        <w:pStyle w:val="ListParagraph"/>
        <w:numPr>
          <w:ilvl w:val="0"/>
          <w:numId w:val="2"/>
        </w:numPr>
        <w:spacing w:after="40" w:before="40"/>
      </w:pPr>
      <w:r>
        <w:rPr>
          <w:rFonts w:ascii="Arial" w:cs="Arial" w:eastAsia="Arial" w:hAnsi="Arial"/>
          <w:color w:val="444441"/>
          <w:sz w:val="20"/>
          <w:szCs w:val="20"/>
        </w:rPr>
        <w:t xml:space="preserve">All API endpoints protected by existing COREPMS JWT authentication middleware</w:t>
      </w:r>
    </w:p>
    <w:p>
      <w:pPr>
        <w:spacing w:after="0" w:before="100"/>
      </w:pPr>
      <w:r>
        <w:t xml:space="preserve"/>
      </w:r>
    </w:p>
    <w:p>
      <w:pPr>
        <w:pStyle w:val="Heading2"/>
        <w:pBdr>
          <w:bottom w:val="single" w:color="1D9E75" w:sz="4" w:space="4"/>
        </w:pBdr>
        <w:spacing w:after="120" w:before="280"/>
      </w:pPr>
      <w:r>
        <w:rPr>
          <w:rFonts w:ascii="Arial" w:cs="Arial" w:eastAsia="Arial" w:hAnsi="Arial"/>
          <w:b/>
          <w:bCs/>
          <w:color w:val="1D9E75"/>
          <w:sz w:val="26"/>
          <w:szCs w:val="26"/>
        </w:rPr>
        <w:t xml:space="preserve">8.4 Rollback &amp; Recovery</w:t>
      </w:r>
    </w:p>
    <w:p>
      <w:pPr>
        <w:pStyle w:val="ListParagraph"/>
        <w:numPr>
          <w:ilvl w:val="0"/>
          <w:numId w:val="2"/>
        </w:numPr>
        <w:spacing w:after="40" w:before="40"/>
      </w:pPr>
      <w:r>
        <w:rPr>
          <w:rFonts w:ascii="Arial" w:cs="Arial" w:eastAsia="Arial" w:hAnsi="Arial"/>
          <w:color w:val="444441"/>
          <w:sz w:val="20"/>
          <w:szCs w:val="20"/>
        </w:rPr>
        <w:t xml:space="preserve">Pre-deployment rollback checkpoint generated before any changes</w:t>
      </w:r>
    </w:p>
    <w:p>
      <w:pPr>
        <w:pStyle w:val="ListParagraph"/>
        <w:numPr>
          <w:ilvl w:val="0"/>
          <w:numId w:val="2"/>
        </w:numPr>
        <w:spacing w:after="40" w:before="40"/>
      </w:pPr>
      <w:r>
        <w:rPr>
          <w:rFonts w:ascii="Arial" w:cs="Arial" w:eastAsia="Arial" w:hAnsi="Arial"/>
          <w:color w:val="444441"/>
          <w:sz w:val="20"/>
          <w:szCs w:val="20"/>
        </w:rPr>
        <w:t xml:space="preserve">Rollback script executable with single command: /corepms/scripts/rollback_v11.sh</w:t>
      </w:r>
    </w:p>
    <w:p>
      <w:pPr>
        <w:pStyle w:val="ListParagraph"/>
        <w:numPr>
          <w:ilvl w:val="0"/>
          <w:numId w:val="2"/>
        </w:numPr>
        <w:spacing w:after="40" w:before="40"/>
      </w:pPr>
      <w:r>
        <w:rPr>
          <w:rFonts w:ascii="Arial" w:cs="Arial" w:eastAsia="Arial" w:hAnsi="Arial"/>
          <w:color w:val="444441"/>
          <w:sz w:val="20"/>
          <w:szCs w:val="20"/>
        </w:rPr>
        <w:t xml:space="preserve">Rollback restores DB to pre-migration state and reverts all modified source files</w:t>
      </w:r>
    </w:p>
    <w:p>
      <w:pPr>
        <w:pStyle w:val="ListParagraph"/>
        <w:numPr>
          <w:ilvl w:val="0"/>
          <w:numId w:val="2"/>
        </w:numPr>
        <w:spacing w:after="40" w:before="40"/>
      </w:pPr>
      <w:r>
        <w:rPr>
          <w:rFonts w:ascii="Arial" w:cs="Arial" w:eastAsia="Arial" w:hAnsi="Arial"/>
          <w:color w:val="444441"/>
          <w:sz w:val="20"/>
          <w:szCs w:val="20"/>
        </w:rPr>
        <w:t xml:space="preserve">Rollback must complete within 5 minutes with zero data loss to live hotel operations</w:t>
      </w:r>
    </w:p>
    <w:p>
      <w:pPr>
        <w:spacing w:after="0" w:before="160"/>
      </w:pPr>
      <w:r>
        <w:t xml:space="preserve"/>
      </w:r>
    </w:p>
    <w:p>
      <w:r>
        <w:br w:type="page"/>
      </w:r>
    </w:p>
    <w:p>
      <w:pPr>
        <w:pStyle w:val="Heading1"/>
        <w:spacing w:after="160" w:before="360"/>
      </w:pPr>
      <w:r>
        <w:rPr>
          <w:rFonts w:ascii="Arial" w:cs="Arial" w:eastAsia="Arial" w:hAnsi="Arial"/>
          <w:b/>
          <w:bCs/>
          <w:color w:val="1A2332"/>
          <w:sz w:val="36"/>
          <w:szCs w:val="36"/>
        </w:rPr>
        <w:t xml:space="preserve">9. Acceptance Criteria</w:t>
      </w:r>
    </w:p>
    <w:p>
      <w:pPr>
        <w:pBdr>
          <w:bottom w:val="single" w:color="1D9E75" w:sz="6" w:space="1"/>
        </w:pBdr>
        <w:spacing w:after="40" w:before="40"/>
      </w:pPr>
      <w:r>
        <w:t xml:space="preserve"/>
      </w:r>
    </w:p>
    <w:p>
      <w:pPr>
        <w:spacing w:after="0" w:before="80"/>
      </w:pPr>
      <w:r>
        <w:t xml:space="preserve"/>
      </w:r>
    </w:p>
    <w:p>
      <w:pPr>
        <w:spacing w:after="60" w:before="60"/>
      </w:pPr>
      <w:r>
        <w:rPr>
          <w:rFonts w:ascii="Arial" w:cs="Arial" w:eastAsia="Arial" w:hAnsi="Arial"/>
          <w:color w:val="444441"/>
          <w:sz w:val="20"/>
          <w:szCs w:val="20"/>
        </w:rPr>
        <w:t xml:space="preserve">The module is accepted for production deployment when ALL of the following criteria are met:</w:t>
      </w:r>
    </w:p>
    <w:p>
      <w:pPr>
        <w:spacing w:after="0" w:before="80"/>
      </w:pPr>
      <w:r>
        <w:t xml:space="preserve"/>
      </w:r>
    </w:p>
    <w:p>
      <w:pPr>
        <w:pStyle w:val="ListParagraph"/>
        <w:numPr>
          <w:ilvl w:val="0"/>
          <w:numId w:val="3"/>
        </w:numPr>
        <w:spacing w:after="40" w:before="40"/>
      </w:pPr>
      <w:r>
        <w:rPr>
          <w:rFonts w:ascii="Arial" w:cs="Arial" w:eastAsia="Arial" w:hAnsi="Arial"/>
          <w:color w:val="444441"/>
          <w:sz w:val="20"/>
          <w:szCs w:val="20"/>
        </w:rPr>
        <w:t xml:space="preserve">All 6 integration tests pass with zero failures in the local test environment</w:t>
      </w:r>
    </w:p>
    <w:p>
      <w:pPr>
        <w:pStyle w:val="ListParagraph"/>
        <w:numPr>
          <w:ilvl w:val="0"/>
          <w:numId w:val="3"/>
        </w:numPr>
        <w:spacing w:after="40" w:before="40"/>
      </w:pPr>
      <w:r>
        <w:rPr>
          <w:rFonts w:ascii="Arial" w:cs="Arial" w:eastAsia="Arial" w:hAnsi="Arial"/>
          <w:color w:val="444441"/>
          <w:sz w:val="20"/>
          <w:szCs w:val="20"/>
        </w:rPr>
        <w:t xml:space="preserve">No writes detected on protected module tables during test suite execution</w:t>
      </w:r>
    </w:p>
    <w:p>
      <w:pPr>
        <w:pStyle w:val="ListParagraph"/>
        <w:numPr>
          <w:ilvl w:val="0"/>
          <w:numId w:val="3"/>
        </w:numPr>
        <w:spacing w:after="40" w:before="40"/>
      </w:pPr>
      <w:r>
        <w:rPr>
          <w:rFonts w:ascii="Arial" w:cs="Arial" w:eastAsia="Arial" w:hAnsi="Arial"/>
          <w:color w:val="444441"/>
          <w:sz w:val="20"/>
          <w:szCs w:val="20"/>
        </w:rPr>
        <w:t xml:space="preserve">Dashboard displays live stock valuation, critical alerts, and recipe variance data correctly</w:t>
      </w:r>
    </w:p>
    <w:p>
      <w:pPr>
        <w:pStyle w:val="ListParagraph"/>
        <w:numPr>
          <w:ilvl w:val="0"/>
          <w:numId w:val="3"/>
        </w:numPr>
        <w:spacing w:after="40" w:before="40"/>
      </w:pPr>
      <w:r>
        <w:rPr>
          <w:rFonts w:ascii="Arial" w:cs="Arial" w:eastAsia="Arial" w:hAnsi="Arial"/>
          <w:color w:val="444441"/>
          <w:sz w:val="20"/>
          <w:szCs w:val="20"/>
        </w:rPr>
        <w:t xml:space="preserve">GRN screen allows creation, line item entry, and posting with correct ledger and GL output</w:t>
      </w:r>
    </w:p>
    <w:p>
      <w:pPr>
        <w:pStyle w:val="ListParagraph"/>
        <w:numPr>
          <w:ilvl w:val="0"/>
          <w:numId w:val="3"/>
        </w:numPr>
        <w:spacing w:after="40" w:before="40"/>
      </w:pPr>
      <w:r>
        <w:rPr>
          <w:rFonts w:ascii="Arial" w:cs="Arial" w:eastAsia="Arial" w:hAnsi="Arial"/>
          <w:color w:val="444441"/>
          <w:sz w:val="20"/>
          <w:szCs w:val="20"/>
        </w:rPr>
        <w:t xml:space="preserve">Stock transfer with breakdown correctly converts Bottles to Tots in the destination ledger</w:t>
      </w:r>
    </w:p>
    <w:p>
      <w:pPr>
        <w:pStyle w:val="ListParagraph"/>
        <w:numPr>
          <w:ilvl w:val="0"/>
          <w:numId w:val="3"/>
        </w:numPr>
        <w:spacing w:after="40" w:before="40"/>
      </w:pPr>
      <w:r>
        <w:rPr>
          <w:rFonts w:ascii="Arial" w:cs="Arial" w:eastAsia="Arial" w:hAnsi="Arial"/>
          <w:color w:val="444441"/>
          <w:sz w:val="20"/>
          <w:szCs w:val="20"/>
        </w:rPr>
        <w:t xml:space="preserve">POS sale depletion correctly decrements recipe ingredients with wastage factor applied</w:t>
      </w:r>
    </w:p>
    <w:p>
      <w:pPr>
        <w:pStyle w:val="ListParagraph"/>
        <w:numPr>
          <w:ilvl w:val="0"/>
          <w:numId w:val="3"/>
        </w:numPr>
        <w:spacing w:after="40" w:before="40"/>
      </w:pPr>
      <w:r>
        <w:rPr>
          <w:rFonts w:ascii="Arial" w:cs="Arial" w:eastAsia="Arial" w:hAnsi="Arial"/>
          <w:color w:val="444441"/>
          <w:sz w:val="20"/>
          <w:szCs w:val="20"/>
        </w:rPr>
        <w:t xml:space="preserve">Weekly variance report generated on schedule shows correct 60-tot whiskey variance in test data</w:t>
      </w:r>
    </w:p>
    <w:p>
      <w:pPr>
        <w:pStyle w:val="ListParagraph"/>
        <w:numPr>
          <w:ilvl w:val="0"/>
          <w:numId w:val="3"/>
        </w:numPr>
        <w:spacing w:after="40" w:before="40"/>
      </w:pPr>
      <w:r>
        <w:rPr>
          <w:rFonts w:ascii="Arial" w:cs="Arial" w:eastAsia="Arial" w:hAnsi="Arial"/>
          <w:color w:val="444441"/>
          <w:sz w:val="20"/>
          <w:szCs w:val="20"/>
        </w:rPr>
        <w:t xml:space="preserve">Rollback script successfully restores system to pre-v11 state in test environment</w:t>
      </w:r>
    </w:p>
    <w:p>
      <w:pPr>
        <w:pStyle w:val="ListParagraph"/>
        <w:numPr>
          <w:ilvl w:val="0"/>
          <w:numId w:val="3"/>
        </w:numPr>
        <w:spacing w:after="40" w:before="40"/>
      </w:pPr>
      <w:r>
        <w:rPr>
          <w:rFonts w:ascii="Arial" w:cs="Arial" w:eastAsia="Arial" w:hAnsi="Arial"/>
          <w:color w:val="444441"/>
          <w:sz w:val="20"/>
          <w:szCs w:val="20"/>
        </w:rPr>
        <w:t xml:space="preserve">UI color theme matches COREPMS screenshots — navy sidebar, teal accent, white cards</w:t>
      </w:r>
    </w:p>
    <w:p>
      <w:pPr>
        <w:pStyle w:val="ListParagraph"/>
        <w:numPr>
          <w:ilvl w:val="0"/>
          <w:numId w:val="3"/>
        </w:numPr>
        <w:spacing w:after="40" w:before="40"/>
      </w:pPr>
      <w:r>
        <w:rPr>
          <w:rFonts w:ascii="Arial" w:cs="Arial" w:eastAsia="Arial" w:hAnsi="Arial"/>
          <w:color w:val="444441"/>
          <w:sz w:val="20"/>
          <w:szCs w:val="20"/>
        </w:rPr>
        <w:t xml:space="preserve">Zero errors logged during a 30-minute soak test with simulated concurrent GRN, transfer, and sale events</w:t>
      </w:r>
    </w:p>
    <w:p>
      <w:pPr>
        <w:spacing w:after="0" w:before="160"/>
      </w:pPr>
      <w:r>
        <w:t xml:space="preserve"/>
      </w:r>
    </w:p>
    <w:p>
      <w:pPr>
        <w:pStyle w:val="Heading1"/>
        <w:spacing w:after="160" w:before="360"/>
      </w:pPr>
      <w:r>
        <w:rPr>
          <w:rFonts w:ascii="Arial" w:cs="Arial" w:eastAsia="Arial" w:hAnsi="Arial"/>
          <w:b/>
          <w:bCs/>
          <w:color w:val="1A2332"/>
          <w:sz w:val="36"/>
          <w:szCs w:val="36"/>
        </w:rPr>
        <w:t xml:space="preserve">10. Glossary</w:t>
      </w:r>
    </w:p>
    <w:p>
      <w:pPr>
        <w:pBdr>
          <w:bottom w:val="single" w:color="1D9E75" w:sz="6" w:space="1"/>
        </w:pBdr>
        <w:spacing w:after="4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Term</w:t>
            </w:r>
          </w:p>
        </w:tc>
        <w:tc>
          <w:tcPr>
            <w:tcW w:type="dxa" w:w="696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Definition</w:t>
            </w:r>
          </w:p>
        </w:tc>
      </w:tr>
      <w:tr>
        <w:tc>
          <w:tcPr>
            <w:tcW w:type="dxa" w:w="24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bCs/>
                <w:color w:val="1A2332"/>
                <w:sz w:val="18"/>
                <w:szCs w:val="18"/>
              </w:rPr>
              <w:t xml:space="preserve">BOM</w:t>
            </w:r>
          </w:p>
        </w:tc>
        <w:tc>
          <w:tcPr>
            <w:tcW w:type="dxa" w:w="696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Bill of Materials — the list of ingredients and quantities required to produce one unit of a menu item</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bCs/>
                <w:color w:val="1A2332"/>
                <w:sz w:val="18"/>
                <w:szCs w:val="18"/>
              </w:rPr>
              <w:t xml:space="preserve">GRN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Goods Received Note — a record of stock received from a supplier into a storage location</w:t>
            </w:r>
          </w:p>
        </w:tc>
      </w:tr>
      <w:tr>
        <w:tc>
          <w:tcPr>
            <w:tcW w:type="dxa" w:w="24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bCs/>
                <w:color w:val="1A2332"/>
                <w:sz w:val="18"/>
                <w:szCs w:val="18"/>
              </w:rPr>
              <w:t xml:space="preserve">GL</w:t>
            </w:r>
          </w:p>
        </w:tc>
        <w:tc>
          <w:tcPr>
            <w:tcW w:type="dxa" w:w="696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General Ledger — the master accounting record; inventory movements post debit/credit entries here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bCs/>
                <w:color w:val="1A2332"/>
                <w:sz w:val="18"/>
                <w:szCs w:val="18"/>
              </w:rPr>
              <w:t xml:space="preserve">SKU</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Stock Keeping Unit — a unique identifier for a menu item in the POS system</w:t>
            </w:r>
          </w:p>
        </w:tc>
      </w:tr>
      <w:tr>
        <w:tc>
          <w:tcPr>
            <w:tcW w:type="dxa" w:w="24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bCs/>
                <w:color w:val="1A2332"/>
                <w:sz w:val="18"/>
                <w:szCs w:val="18"/>
              </w:rPr>
              <w:t xml:space="preserve">USALI</w:t>
            </w:r>
          </w:p>
        </w:tc>
        <w:tc>
          <w:tcPr>
            <w:tcW w:type="dxa" w:w="696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Uniform System of Accounts for the Lodging Industry — the hospitality accounting standard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bCs/>
                <w:color w:val="1A2332"/>
                <w:sz w:val="18"/>
                <w:szCs w:val="18"/>
              </w:rPr>
              <w:t xml:space="preserve">UOM</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Unit of Measure — the unit in which a stock item is counted (e.g. Bottle, Tot, Gram, ml)</w:t>
            </w:r>
          </w:p>
        </w:tc>
      </w:tr>
      <w:tr>
        <w:tc>
          <w:tcPr>
            <w:tcW w:type="dxa" w:w="24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bCs/>
                <w:color w:val="1A2332"/>
                <w:sz w:val="18"/>
                <w:szCs w:val="18"/>
              </w:rPr>
              <w:t xml:space="preserve">Variance</w:t>
            </w:r>
          </w:p>
        </w:tc>
        <w:tc>
          <w:tcPr>
            <w:tcW w:type="dxa" w:w="696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The difference between theoretical depletion (from POS sales) and actual depletion (physical count)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bCs/>
                <w:color w:val="1A2332"/>
                <w:sz w:val="18"/>
                <w:szCs w:val="18"/>
              </w:rPr>
              <w:t xml:space="preserve">Wastage %</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The percentage of an ingredient lost in preparation (e.g. trimming, spillage, evaporation)</w:t>
            </w:r>
          </w:p>
        </w:tc>
      </w:tr>
      <w:tr>
        <w:tc>
          <w:tcPr>
            <w:tcW w:type="dxa" w:w="24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bCs/>
                <w:color w:val="1A2332"/>
                <w:sz w:val="18"/>
                <w:szCs w:val="18"/>
              </w:rPr>
              <w:t xml:space="preserve">Breakdown</w:t>
            </w:r>
          </w:p>
        </w:tc>
        <w:tc>
          <w:tcPr>
            <w:tcW w:type="dxa" w:w="696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The conversion of a bulk storage unit into smaller service units at the outlet (e.g. Bottles to Tots)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bCs/>
                <w:color w:val="1A2332"/>
                <w:sz w:val="18"/>
                <w:szCs w:val="18"/>
              </w:rPr>
              <w:t xml:space="preserve">Stock Ledger</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The single source of truth table recording every inventory movement with running balance</w:t>
            </w:r>
          </w:p>
        </w:tc>
      </w:tr>
    </w:tbl>
    <w:p>
      <w:pPr>
        <w:spacing w:after="0" w:before="160"/>
      </w:pPr>
      <w:r>
        <w:t xml:space="preserve"/>
      </w:r>
    </w:p>
    <w:p>
      <w:pPr>
        <w:pStyle w:val="Heading1"/>
        <w:spacing w:after="160" w:before="360"/>
      </w:pPr>
      <w:r>
        <w:rPr>
          <w:rFonts w:ascii="Arial" w:cs="Arial" w:eastAsia="Arial" w:hAnsi="Arial"/>
          <w:b/>
          <w:bCs/>
          <w:color w:val="1A2332"/>
          <w:sz w:val="36"/>
          <w:szCs w:val="36"/>
        </w:rPr>
        <w:t xml:space="preserve">Document Approval</w:t>
      </w:r>
    </w:p>
    <w:p>
      <w:pPr>
        <w:pBdr>
          <w:bottom w:val="single" w:color="1D9E75" w:sz="6" w:space="1"/>
        </w:pBdr>
        <w:spacing w:after="40" w:before="40"/>
      </w:pPr>
      <w:r>
        <w:t xml:space="preserv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Role</w:t>
            </w:r>
          </w:p>
        </w:tc>
        <w:tc>
          <w:tcPr>
            <w:tcW w:type="dxa" w:w="312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Name</w:t>
            </w:r>
          </w:p>
        </w:tc>
        <w:tc>
          <w:tcPr>
            <w:tcW w:type="dxa" w:w="3120"/>
            <w:tcBorders>
              <w:top w:val="single" w:color="CCCCCC" w:sz="1"/>
              <w:left w:val="single" w:color="CCCCCC" w:sz="1"/>
              <w:bottom w:val="single" w:color="CCCCCC" w:sz="1"/>
              <w:right w:val="single" w:color="CCCCCC" w:sz="1"/>
            </w:tcBorders>
            <w:shd w:fill="1A2332"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Signature &amp; Date</w:t>
            </w:r>
          </w:p>
        </w:tc>
      </w:tr>
      <w:tr>
        <w:tc>
          <w:tcPr>
            <w:tcW w:type="dxa" w:w="312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Finance &amp; Technology Director</w:t>
            </w:r>
          </w:p>
        </w:tc>
        <w:tc>
          <w:tcPr>
            <w:tcW w:type="dxa" w:w="312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Vhukile Matenda</w:t>
            </w:r>
          </w:p>
        </w:tc>
        <w:tc>
          <w:tcPr>
            <w:tcW w:type="dxa" w:w="312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F&amp;B Manager</w:t>
            </w:r>
          </w:p>
        </w:tc>
        <w:tc>
          <w:tcPr>
            <w:tcW w:type="dxa" w:w="31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
            </w:r>
          </w:p>
        </w:tc>
      </w:tr>
      <w:tr>
        <w:tc>
          <w:tcPr>
            <w:tcW w:type="dxa" w:w="312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General Manager</w:t>
            </w:r>
          </w:p>
        </w:tc>
        <w:tc>
          <w:tcPr>
            <w:tcW w:type="dxa" w:w="312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
            </w:r>
          </w:p>
        </w:tc>
        <w:tc>
          <w:tcPr>
            <w:tcW w:type="dxa" w:w="3120"/>
            <w:tcBorders>
              <w:top w:val="single" w:color="CCCCCC" w:sz="1"/>
              <w:left w:val="single" w:color="CCCCCC" w:sz="1"/>
              <w:bottom w:val="single" w:color="CCCCCC" w:sz="1"/>
              <w:right w:val="single" w:color="CCCCCC" w:sz="1"/>
            </w:tcBorders>
            <w:shd w:fill="F7FAF9" w:val="clear"/>
            <w:tcMar>
              <w:top w:type="dxa" w:w="90"/>
              <w:left w:type="dxa" w:w="140"/>
              <w:bottom w:type="dxa" w:w="90"/>
              <w:right w:type="dxa" w:w="140"/>
            </w:tcMar>
            <w:vAlign w:val="center"/>
          </w:tcPr>
          <w:p>
            <w:r>
              <w:rPr>
                <w:rFonts w:ascii="Arial" w:cs="Arial" w:eastAsia="Arial" w:hAnsi="Arial"/>
                <w:b w:val="false"/>
                <w:bCs w:val="false"/>
                <w:color w:val="444441"/>
                <w:sz w:val="18"/>
                <w:szCs w:val="18"/>
              </w:rPr>
              <w:t xml:space="preserve"/>
            </w:r>
          </w:p>
        </w:tc>
      </w:tr>
    </w:tbl>
    <w:p>
      <w:pPr>
        <w:spacing w:after="0" w:before="80"/>
      </w:pPr>
      <w:r>
        <w:t xml:space="preserve"/>
      </w:r>
    </w:p>
    <w:p>
      <w:pPr>
        <w:spacing w:after="60" w:before="60"/>
      </w:pPr>
      <w:r>
        <w:rPr>
          <w:rFonts w:ascii="Arial" w:cs="Arial" w:eastAsia="Arial" w:hAnsi="Arial"/>
          <w:i/>
          <w:iCs/>
          <w:color w:val="888780"/>
          <w:sz w:val="20"/>
          <w:szCs w:val="20"/>
        </w:rPr>
        <w:t xml:space="preserve">This document is confidential and intended solely for internal COREPMS development use. Unauthorized distribution is prohibited.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9E75" w:sz="4" w:space="4"/>
      </w:pBdr>
      <w:tabs>
        <w:tab w:val="right" w:pos="9026"/>
      </w:tabs>
    </w:pPr>
    <w:r>
      <w:rPr>
        <w:rFonts w:ascii="Arial" w:cs="Arial" w:eastAsia="Arial" w:hAnsi="Arial"/>
        <w:color w:val="888780"/>
        <w:sz w:val="17"/>
        <w:szCs w:val="17"/>
      </w:rPr>
      <w:t xml:space="preserve">Villa Gianni Boutique Hotel  |  COREPMS v11  |  Confidential</w:t>
    </w:r>
    <w:r>
      <w:rPr>
        <w:rFonts w:ascii="Arial" w:cs="Arial" w:eastAsia="Arial" w:hAnsi="Arial"/>
        <w:color w:val="888780"/>
        <w:sz w:val="17"/>
        <w:szCs w:val="17"/>
      </w:rPr>
      <w:t xml:space="preserve">	Page </w:t>
    </w:r>
    <w: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shd w:fill="1A2332" w:val="clear"/>
          <w:tcMar>
            <w:top w:type="dxa" w:w="60"/>
            <w:left w:type="dxa" w:w="140"/>
            <w:bottom w:type="dxa" w:w="60"/>
            <w:right w:type="dxa" w:w="140"/>
          </w:tcMar>
        </w:tcPr>
        <w:p>
          <w:r>
            <w:rPr>
              <w:rFonts w:ascii="Arial" w:cs="Arial" w:eastAsia="Arial" w:hAnsi="Arial"/>
              <w:b/>
              <w:bCs/>
              <w:color w:val="FFFFFF"/>
              <w:sz w:val="18"/>
              <w:szCs w:val="18"/>
            </w:rPr>
            <w:t xml:space="preserve">CORE</w:t>
          </w:r>
          <w:r>
            <w:rPr>
              <w:rFonts w:ascii="Arial" w:cs="Arial" w:eastAsia="Arial" w:hAnsi="Arial"/>
              <w:b/>
              <w:bCs/>
              <w:color w:val="1D9E75"/>
              <w:sz w:val="18"/>
              <w:szCs w:val="18"/>
            </w:rPr>
            <w:t xml:space="preserve">PMS</w:t>
          </w:r>
          <w:r>
            <w:rPr>
              <w:rFonts w:ascii="Arial" w:cs="Arial" w:eastAsia="Arial" w:hAnsi="Arial"/>
              <w:color w:val="9FE1CB"/>
              <w:sz w:val="17"/>
              <w:szCs w:val="17"/>
            </w:rPr>
            <w:t xml:space="preserve">  |  Advanced Inventory &amp; Menu Engineering — PRD v11</w:t>
          </w:r>
        </w:p>
      </w:tc>
      <w:tc>
        <w:tcPr>
          <w:tcW w:type="dxa" w:w="5040"/>
          <w:tcBorders>
            <w:top w:val="none" w:color="FFFFFF" w:sz="0"/>
            <w:left w:val="none" w:color="FFFFFF" w:sz="0"/>
            <w:bottom w:val="none" w:color="FFFFFF" w:sz="0"/>
            <w:right w:val="none" w:color="FFFFFF" w:sz="0"/>
          </w:tcBorders>
          <w:shd w:fill="1A2332" w:val="clear"/>
          <w:tcMar>
            <w:top w:type="dxa" w:w="60"/>
            <w:left w:type="dxa" w:w="140"/>
            <w:bottom w:type="dxa" w:w="60"/>
            <w:right w:type="dxa" w:w="140"/>
          </w:tcMar>
        </w:tcPr>
        <w:p>
          <w:pPr>
            <w:jc w:val="right"/>
          </w:pPr>
          <w:r>
            <w:rPr>
              <w:rFonts w:ascii="Arial" w:cs="Arial" w:eastAsia="Arial" w:hAnsi="Arial"/>
              <w:color w:val="9FE1CB"/>
              <w:sz w:val="17"/>
              <w:szCs w:val="17"/>
            </w:rPr>
            <w:t xml:space="preserve">CONFIDENTIAL  |  April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332"/>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D9E7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23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2026-04-08T19:08:57.573Z</dcterms:created>
  <dcterms:modified xsi:type="dcterms:W3CDTF">2026-04-08T19:08:57.575Z</dcterms:modified>
</cp:coreProperties>
</file>

<file path=docProps/custom.xml><?xml version="1.0" encoding="utf-8"?>
<Properties xmlns="http://schemas.openxmlformats.org/officeDocument/2006/custom-properties" xmlns:vt="http://schemas.openxmlformats.org/officeDocument/2006/docPropsVTypes"/>
</file>