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JPMorgan</w:t>
      </w:r>
      <w:r>
        <w:t xml:space="preserve"> </w:t>
      </w:r>
      <w:r>
        <w:t xml:space="preserve">Chase</w:t>
      </w:r>
      <w:r>
        <w:t xml:space="preserve"> </w:t>
      </w:r>
      <w:r>
        <w:t xml:space="preserve">2014:</w:t>
      </w:r>
      <w:r>
        <w:t xml:space="preserve"> </w:t>
      </w:r>
      <w:r>
        <w:t xml:space="preserve">GRC</w:t>
      </w:r>
      <w:r>
        <w:t xml:space="preserve"> </w:t>
      </w:r>
      <w:r>
        <w:t xml:space="preserve">Case</w:t>
      </w:r>
      <w:r>
        <w:t xml:space="preserve"> </w:t>
      </w:r>
      <w:r>
        <w:t xml:space="preserve">Study</w:t>
      </w:r>
    </w:p>
    <w:p>
      <w:pPr>
        <w:pStyle w:val="Subtitle"/>
      </w:pPr>
      <w:r>
        <w:t xml:space="preserve">Case</w:t>
      </w:r>
      <w:r>
        <w:t xml:space="preserve"> </w:t>
      </w:r>
      <w:r>
        <w:t xml:space="preserve">Study</w:t>
      </w:r>
    </w:p>
    <w:p>
      <w:pPr>
        <w:pStyle w:val="Author"/>
      </w:pPr>
      <w:r>
        <w:t xml:space="preserve">Girish</w:t>
      </w:r>
      <w:r>
        <w:t xml:space="preserve"> </w:t>
      </w:r>
      <w:r>
        <w:t xml:space="preserve">Nair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FirstParagraph"/>
      </w:pPr>
      <w:r>
        <w:rPr>
          <w:bCs/>
          <w:b/>
        </w:rPr>
        <w:t xml:space="preserve">GRC Case Study | Financial Services Cybersecurity</w:t>
      </w:r>
    </w:p>
    <w:p>
      <w:pPr>
        <w:pStyle w:val="BodyText"/>
      </w:pPr>
      <w:r>
        <w:rPr>
          <w:bCs/>
          <w:b/>
        </w:rPr>
        <w:t xml:space="preserve">JPMorgan Chase Data Breach</w:t>
      </w:r>
    </w:p>
    <w:p>
      <w:pPr>
        <w:pStyle w:val="BodyText"/>
      </w:pPr>
      <w:r>
        <w:rPr>
          <w:bCs/>
          <w:b/>
        </w:rPr>
        <w:t xml:space="preserve">2014</w:t>
      </w:r>
    </w:p>
    <w:p>
      <w:pPr>
        <w:pStyle w:val="BlockText"/>
      </w:pPr>
      <w:r>
        <w:rPr>
          <w:bCs/>
          <w:b/>
        </w:rPr>
        <w:t xml:space="preserve">76M Households · 7M Small Businesses · Single Unpatched Server · $250M Annual Security Budget</w:t>
      </w:r>
    </w:p>
    <w:bookmarkStart w:id="20" w:name="executive-summary"/>
    <w:p>
      <w:pPr>
        <w:pStyle w:val="Heading1"/>
      </w:pPr>
      <w:r>
        <w:t xml:space="preserve">Executive Summary</w:t>
      </w:r>
    </w:p>
    <w:p>
      <w:pPr>
        <w:pStyle w:val="FirstParagraph"/>
      </w:pPr>
      <w:r>
        <w:t xml:space="preserve">The 2014 JPMorgan Chase data breach is the defining case study for the paradox at the heart of enterprise cybersecurity governance: an organization can spend a quarter of a billion dollars annually on security, employ hundreds of cybersecurity professionals, and still be compromised through a single server that was not included in a standard security upgrade. At the time of the breach, JPMorgan Chase was unquestionably one of the most security-conscious financial institutions in the world. It was also the victim of the largest breach of a U.S. financial institution in history.</w:t>
      </w:r>
    </w:p>
    <w:p>
      <w:pPr>
        <w:pStyle w:val="BodyText"/>
      </w:pPr>
      <w:r>
        <w:t xml:space="preserve">Attackers -- later identified as a criminal network whose members were indicted by US federal prosecutors in 2015 -- gained initial access through a third-party corporate challenge website operated by JPMorgan. That server had not been upgraded to two-factor authentication when the bank rolled out 2FA across its enterprise. It was not a zero-day exploit, not a sophisticated nation-state technique, and not a gap in JPMorgan's security policy. It was an exception to a completed upgrade programme that nobody had caught. One server. Among thousands. Missed.</w:t>
      </w:r>
    </w:p>
    <w:p>
      <w:pPr>
        <w:pStyle w:val="BodyText"/>
      </w:pPr>
      <w:r>
        <w:t xml:space="preserve">The attackers used that single foothold to move laterally through JPMorgan's network, ultimately accessing names, addresses, phone numbers, and email addresses for 76 million households and 7 million small businesses. No financial data, account numbers, passwords, or Social Security numbers were confirmed stolen. Despite the enormous scale of records accessed, no direct financial fraud was attributed to the JPMorgan breach itself. The breach is significant not for what the attackers took, but for what the case reveals about the governance challenge of securing a complex, large-scale enterprise: at sufficient scale, exception management becomes a security programme in its own right.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Organization</w:t>
            </w:r>
          </w:p>
        </w:tc>
        <w:tc>
          <w:tcPr/>
          <w:p>
            <w:pPr>
              <w:pStyle w:val="Compact"/>
              <w:jc w:val="left"/>
            </w:pPr>
            <w:r>
              <w:rPr>
                <w:bCs/>
                <w:b/>
              </w:rPr>
              <w:t xml:space="preserve">Breach Discovered</w:t>
            </w:r>
          </w:p>
        </w:tc>
        <w:tc>
          <w:tcPr/>
          <w:p>
            <w:pPr>
              <w:pStyle w:val="Compact"/>
              <w:jc w:val="left"/>
            </w:pPr>
            <w:r>
              <w:rPr>
                <w:bCs/>
                <w:b/>
              </w:rPr>
              <w:t xml:space="preserve">Records Exposed</w:t>
            </w:r>
          </w:p>
        </w:tc>
        <w:tc>
          <w:tcPr/>
          <w:p>
            <w:pPr>
              <w:pStyle w:val="Compact"/>
              <w:jc w:val="left"/>
            </w:pPr>
            <w:r>
              <w:rPr>
                <w:bCs/>
                <w:b/>
              </w:rPr>
              <w:t xml:space="preserve">Root Cause</w:t>
            </w:r>
          </w:p>
        </w:tc>
      </w:tr>
      <w:tr>
        <w:tc>
          <w:tcPr/>
          <w:p>
            <w:pPr>
              <w:pStyle w:val="Compact"/>
              <w:jc w:val="left"/>
            </w:pPr>
            <w:r>
              <w:t xml:space="preserve">JPMorgan Chase -- largest U.S. bank by assets ($2.6T)</w:t>
            </w:r>
          </w:p>
        </w:tc>
        <w:tc>
          <w:tcPr/>
          <w:p>
            <w:pPr>
              <w:pStyle w:val="Compact"/>
              <w:jc w:val="left"/>
            </w:pPr>
            <w:r>
              <w:t xml:space="preserve">Late July / August 2014 (breach began June 2014)</w:t>
            </w:r>
          </w:p>
        </w:tc>
        <w:tc>
          <w:tcPr/>
          <w:p>
            <w:pPr>
              <w:pStyle w:val="Compact"/>
              <w:jc w:val="left"/>
            </w:pPr>
            <w:r>
              <w:t xml:space="preserve">76M households | 7M small businesses -- contact data only</w:t>
            </w:r>
          </w:p>
        </w:tc>
        <w:tc>
          <w:tcPr/>
          <w:p>
            <w:pPr>
              <w:pStyle w:val="Compact"/>
              <w:jc w:val="left"/>
            </w:pPr>
            <w:r>
              <w:t xml:space="preserve">Single server missed in 2FA upgrade | no MFA | unpatched vulnerability</w:t>
            </w:r>
          </w:p>
        </w:tc>
      </w:tr>
    </w:tbl>
    <w:bookmarkEnd w:id="20"/>
    <w:bookmarkStart w:id="21" w:name="incident-timeline"/>
    <w:p>
      <w:pPr>
        <w:pStyle w:val="Heading1"/>
      </w:pPr>
      <w:r>
        <w:t xml:space="preserve">Incident Timeline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Date / Period</w:t>
            </w:r>
          </w:p>
        </w:tc>
        <w:tc>
          <w:tcPr/>
          <w:p>
            <w:pPr>
              <w:pStyle w:val="Compact"/>
              <w:jc w:val="left"/>
            </w:pPr>
            <w:r>
              <w:rPr>
                <w:bCs/>
                <w:b/>
              </w:rPr>
              <w:t xml:space="preserve">Event</w:t>
            </w:r>
          </w:p>
        </w:tc>
      </w:tr>
      <w:tr>
        <w:tc>
          <w:tcPr/>
          <w:p>
            <w:pPr>
              <w:pStyle w:val="Compact"/>
              <w:jc w:val="left"/>
            </w:pPr>
            <w:r>
              <w:rPr>
                <w:bCs/>
                <w:b/>
              </w:rPr>
              <w:t xml:space="preserve">Spring 2014</w:t>
            </w:r>
          </w:p>
        </w:tc>
        <w:tc>
          <w:tcPr/>
          <w:p>
            <w:pPr>
              <w:pStyle w:val="Compact"/>
              <w:jc w:val="left"/>
            </w:pPr>
            <w:r>
              <w:t xml:space="preserve">Attackers conduct reconnaissance of JPMorgan Chase's public-facing infrastructure. The JPMorgan Corporate Challenge -- a charitable running event with a dedicated microsite -- is identified as a potential entry point. The microsite runs on JPMorgan infrastructure but is managed by a separate team outside the core technology organization.</w:t>
            </w:r>
          </w:p>
        </w:tc>
      </w:tr>
      <w:tr>
        <w:tc>
          <w:tcPr/>
          <w:p>
            <w:pPr>
              <w:pStyle w:val="Compact"/>
              <w:jc w:val="left"/>
            </w:pPr>
            <w:r>
              <w:rPr>
                <w:bCs/>
                <w:b/>
              </w:rPr>
              <w:t xml:space="preserve">June 2014</w:t>
            </w:r>
          </w:p>
        </w:tc>
        <w:tc>
          <w:tcPr/>
          <w:p>
            <w:pPr>
              <w:pStyle w:val="Compact"/>
              <w:jc w:val="left"/>
            </w:pPr>
            <w:r>
              <w:t xml:space="preserve">Initial compromise achieved. Attackers obtain login credentials for a JPMorgan employee -- likely through a phishing attack or credential theft from a third-party breach. The targeted server hosting the Corporate Challenge microsite had not been included in JPMorgan's enterprise-wide two-factor authentication rollout. Single-factor authentication -- a username and password -- is sufficient for full access. Attackers log in.</w:t>
            </w:r>
          </w:p>
        </w:tc>
      </w:tr>
      <w:tr>
        <w:tc>
          <w:tcPr/>
          <w:p>
            <w:pPr>
              <w:pStyle w:val="Compact"/>
              <w:jc w:val="left"/>
            </w:pPr>
            <w:r>
              <w:rPr>
                <w:bCs/>
                <w:b/>
              </w:rPr>
              <w:t xml:space="preserve">June -- July 2014</w:t>
            </w:r>
          </w:p>
        </w:tc>
        <w:tc>
          <w:tcPr/>
          <w:p>
            <w:pPr>
              <w:pStyle w:val="Compact"/>
              <w:jc w:val="left"/>
            </w:pPr>
            <w:r>
              <w:t xml:space="preserve">Attackers conduct lateral movement through JPMorgan's internal network. Starting from the Corporate Challenge server, they move progressively through the network, exploiting the trust relationships and connectivity between internal systems. Over this period, attackers gain access to approximately 90 JPMorgan servers. They identify and access a customer list database containing contact information for retail banking and small business customers.</w:t>
            </w:r>
          </w:p>
        </w:tc>
      </w:tr>
      <w:tr>
        <w:tc>
          <w:tcPr/>
          <w:p>
            <w:pPr>
              <w:pStyle w:val="Compact"/>
              <w:jc w:val="left"/>
            </w:pPr>
            <w:r>
              <w:rPr>
                <w:bCs/>
                <w:b/>
              </w:rPr>
              <w:t xml:space="preserve">Late July 2014</w:t>
            </w:r>
          </w:p>
        </w:tc>
        <w:tc>
          <w:tcPr/>
          <w:p>
            <w:pPr>
              <w:pStyle w:val="Compact"/>
              <w:jc w:val="left"/>
            </w:pPr>
            <w:r>
              <w:t xml:space="preserve">JPMorgan Chase security team identifies suspicious activity on its network. The bank's security operations team detects anomalous behavior consistent with an intrusion. Internal investigation begins. The FBI is notified. External forensic investigators are engaged. Containment actions are initiated.</w:t>
            </w:r>
          </w:p>
        </w:tc>
      </w:tr>
      <w:tr>
        <w:tc>
          <w:tcPr/>
          <w:p>
            <w:pPr>
              <w:pStyle w:val="Compact"/>
              <w:jc w:val="left"/>
            </w:pPr>
            <w:r>
              <w:rPr>
                <w:bCs/>
                <w:b/>
              </w:rPr>
              <w:t xml:space="preserve">August 2014</w:t>
            </w:r>
          </w:p>
        </w:tc>
        <w:tc>
          <w:tcPr/>
          <w:p>
            <w:pPr>
              <w:pStyle w:val="Compact"/>
              <w:jc w:val="left"/>
            </w:pPr>
            <w:r>
              <w:t xml:space="preserve">Breach is confirmed and contained. JPMorgan notifies the FBI and works with investigators to scope the compromise. Determination made the breach involved approximately 90 servers and the customer contact data of 76 million households and 7 million small businesses. Critically, investigators confirm that no financial account data, Social Security numbers, passwords, or account credentials were taken.</w:t>
            </w:r>
          </w:p>
        </w:tc>
      </w:tr>
      <w:tr>
        <w:tc>
          <w:tcPr/>
          <w:p>
            <w:pPr>
              <w:pStyle w:val="Compact"/>
              <w:jc w:val="left"/>
            </w:pPr>
            <w:r>
              <w:rPr>
                <w:bCs/>
                <w:b/>
              </w:rPr>
              <w:t xml:space="preserve">October 2014</w:t>
            </w:r>
          </w:p>
        </w:tc>
        <w:tc>
          <w:tcPr/>
          <w:p>
            <w:pPr>
              <w:pStyle w:val="Compact"/>
              <w:jc w:val="left"/>
            </w:pPr>
            <w:r>
              <w:t xml:space="preserve">JPMorgan Chase publicly discloses the breach via SEC filing, as required under securities regulations. The disclosure confirms the scope -- 76 million households and 7 million small businesses -- and notes that the data accessed was limited to contact information. The bank states it has closed the vulnerability and there is no evidence of fraud directly attributable to the breach.</w:t>
            </w:r>
          </w:p>
        </w:tc>
      </w:tr>
      <w:tr>
        <w:tc>
          <w:tcPr/>
          <w:p>
            <w:pPr>
              <w:pStyle w:val="Compact"/>
              <w:jc w:val="left"/>
            </w:pPr>
            <w:r>
              <w:rPr>
                <w:bCs/>
                <w:b/>
              </w:rPr>
              <w:t xml:space="preserve">2015 -- 2016</w:t>
            </w:r>
          </w:p>
        </w:tc>
        <w:tc>
          <w:tcPr/>
          <w:p>
            <w:pPr>
              <w:pStyle w:val="Compact"/>
              <w:jc w:val="left"/>
            </w:pPr>
            <w:r>
              <w:t xml:space="preserve">U.S. federal prosecutors indict the alleged operators of the hacking and criminal enterprise. Charges include securities fraud, wire fraud, identity theft, and computer hacking. The group operated a criminal network that included pump-and-dump stock schemes, illegal Bitcoin exchanges, and online casinos funded by the stolen customer data.</w:t>
            </w:r>
          </w:p>
        </w:tc>
      </w:tr>
      <w:tr>
        <w:tc>
          <w:tcPr/>
          <w:p>
            <w:pPr>
              <w:pStyle w:val="Compact"/>
              <w:jc w:val="left"/>
            </w:pPr>
            <w:r>
              <w:rPr>
                <w:bCs/>
                <w:b/>
              </w:rPr>
              <w:t xml:space="preserve">2015 onward</w:t>
            </w:r>
          </w:p>
        </w:tc>
        <w:tc>
          <w:tcPr/>
          <w:p>
            <w:pPr>
              <w:pStyle w:val="Compact"/>
              <w:jc w:val="left"/>
            </w:pPr>
            <w:r>
              <w:t xml:space="preserve">Prosecution of the network's members proceeds in U.S. federal court. The criminal enterprise is estimated to have generated hundreds of millions of dollars through securities fraud and related schemes, with JPMorgan customer contact data used to identify and target victims for stock manipulation campaigns.</w:t>
            </w:r>
          </w:p>
        </w:tc>
      </w:tr>
    </w:tbl>
    <w:bookmarkEnd w:id="21"/>
    <w:bookmarkStart w:id="28" w:name="grc-failure-analysis"/>
    <w:p>
      <w:pPr>
        <w:pStyle w:val="Heading1"/>
      </w:pPr>
      <w:r>
        <w:t xml:space="preserve">GRC Failure Analysis</w:t>
      </w:r>
    </w:p>
    <w:p>
      <w:pPr>
        <w:pStyle w:val="BlockText"/>
      </w:pPr>
      <w:r>
        <w:rPr>
          <w:iCs/>
          <w:i/>
        </w:rPr>
        <w:t xml:space="preserve">Core GRC Thesis: JPMorgan Chase spent approximately $250 million on cybersecurity in 2014 -- more than most countries spend on national cyber</w:t>
      </w:r>
      <w:r>
        <w:t xml:space="preserve"> </w:t>
      </w:r>
      <w:r>
        <w:rPr>
          <w:iCs/>
          <w:i/>
        </w:rPr>
        <w:t xml:space="preserve">defense</w:t>
      </w:r>
      <w:r>
        <w:t xml:space="preserve">*. The breach was not caused by an underfunded security programme, a lack of qualified professionals, or absent security technology. It was caused by an asset inventory and exception management failure at enterprise scale: one server was not in the upgrade programme. The lesson is not that security investment is insufficient -- it is that governance completeness is as important as governance intensity.*</w:t>
      </w:r>
    </w:p>
    <w:bookmarkStart w:id="22" w:name="Xd5c512b5aef3f2cc640852189869c5f837ebe37"/>
    <w:p>
      <w:pPr>
        <w:pStyle w:val="Heading2"/>
      </w:pPr>
      <w:r>
        <w:t xml:space="preserve">1. Asset Inventory -- The Completeness Problem</w:t>
      </w:r>
    </w:p>
    <w:p>
      <w:pPr>
        <w:pStyle w:val="FirstParagraph"/>
      </w:pPr>
      <w:r>
        <w:t xml:space="preserve">The Corporate Challenge microsite server was part of JPMorgan's infrastructure. It ran on JPMorgan systems. It held JPMorgan employee credentials. And it was not in the asset inventory that drove the enterprise 2FA upgrade programme. This is the foundational governance failure: JPMorgan did not have a complete, accurate, and current inventory of all systems that required inclusion in the 2FA rollout.</w:t>
      </w:r>
    </w:p>
    <w:p>
      <w:pPr>
        <w:pStyle w:val="BodyText"/>
      </w:pPr>
      <w:r>
        <w:t xml:space="preserve">At the scale of a global bank with tens of thousands of servers across multiple data centers, cloud environments, and business units, maintaining a complete asset inventory is an active governance discipline -- not a one-time exercise. Shadow IT, corporate microsites, marketing platforms, partner portals, and project-specific infrastructure are the categories most likely to be missed. These systems are often managed by business lines rather than central IT, operate outside standard provisioning processes, and are built for short-term purposes but persist indefinitely.</w:t>
      </w:r>
    </w:p>
    <w:p>
      <w:pPr>
        <w:pStyle w:val="BodyText"/>
      </w:pPr>
      <w:r>
        <w:t xml:space="preserve">The governance question is not "do we have an asset inventory?" but "how do we know the inventory is complete?" Completeness requires a defined process for identifying and registering new assets at creation, a reconciliation mechanism that compares the inventory against network discovery scans, and an exception process that tracks systems excluded from standard controls until they are remediated.</w:t>
      </w:r>
    </w:p>
    <w:p>
      <w:pPr>
        <w:pStyle w:val="BlockText"/>
      </w:pPr>
      <w:r>
        <w:rPr>
          <w:iCs/>
          <w:i/>
        </w:rPr>
        <w:t xml:space="preserve">Asset inventory completeness is not a technology problem -- it is a governance problem. Every major breach that exploited a "missed" system (Target 2013: missed vendor access path; Equifax 2017: missed vulnerable server; JPMorgan 2014: missed microsite server) reflects the same root cause: the inventory that drove the security upgrade did not include the system that was breached. At enterprise scale, an incomplete inventory is a guaranteed control gap.</w:t>
      </w:r>
    </w:p>
    <w:p>
      <w:pPr>
        <w:pStyle w:val="FirstParagraph"/>
      </w:pPr>
      <w:r>
        <w:rPr>
          <w:bCs/>
          <w:b/>
        </w:rPr>
        <w:t xml:space="preserve">Governing Framework:</w:t>
      </w:r>
      <w:r>
        <w:t xml:space="preserve"> </w:t>
      </w:r>
      <w:r>
        <w:t xml:space="preserve">NIST SP 800-53 CM-8 (System Component Inventory). CIS Controls v8 Control 1 (Inventory and Control of Enterprise Assets). FFIEC Cybersecurity Assessment Tool -- Domain 1 (Cyber Risk Management and Oversight).</w:t>
      </w:r>
    </w:p>
    <w:bookmarkEnd w:id="22"/>
    <w:bookmarkStart w:id="23" w:name="Xfa874580977f57bb56a4cfd145a2911a7f622a5"/>
    <w:p>
      <w:pPr>
        <w:pStyle w:val="Heading2"/>
      </w:pPr>
      <w:r>
        <w:t xml:space="preserve">2. Multi-Factor Authentication -- Upgrade Programme Governance</w:t>
      </w:r>
    </w:p>
    <w:p>
      <w:pPr>
        <w:pStyle w:val="FirstParagraph"/>
      </w:pPr>
      <w:r>
        <w:t xml:space="preserve">JPMorgan Chase had a company-wide policy requiring two-factor authentication for access to internal systems. It had rolled out 2FA across its enterprise. The Corporate Challenge server was the exception -- the one system in the rollout programme that had not yet been upgraded. One system without 2FA, in an estate of thousands, was the entry point for the largest financial institution breach in U.S. history.</w:t>
      </w:r>
    </w:p>
    <w:p>
      <w:pPr>
        <w:pStyle w:val="BodyText"/>
      </w:pPr>
      <w:r>
        <w:t xml:space="preserve">The governance failure is not that the 2FA rollout was incomplete -- large-scale security upgrade program always have a tail of outstanding items. The failure is the absence of a closed-loop exception management process: a mechanism that tracked every system not yet upgraded to 2FA, assigned an owner and remediation date, required compensating controls for the interim period, and escalated unresolved exceptions above a defined age threshold. Without such a process, incomplete security upgrades create an invisible map of unprotected entry points.</w:t>
      </w:r>
    </w:p>
    <w:p>
      <w:pPr>
        <w:pStyle w:val="BodyText"/>
      </w:pPr>
      <w:r>
        <w:t xml:space="preserve">An effective 2FA rollout programme requires more than a deployment plan. It requires a formal exception register, updated in real time as systems are upgraded, with every outstanding exception treated as a tracked risk item. Exceptions approaching defined age thresholds (30, 60, 90 days) should trigger escalation to the CISO and, for exceptions in externally accessible systems, to senior management.</w:t>
      </w:r>
    </w:p>
    <w:p>
      <w:pPr>
        <w:pStyle w:val="BlockText"/>
      </w:pPr>
      <w:r>
        <w:rPr>
          <w:iCs/>
          <w:i/>
        </w:rPr>
        <w:t xml:space="preserve">The JPMorgan case established a principle that is now embedded in FFIEC guidance and the NIST CSF GOVERN function: security controls must apply to all systems within their defined scope, and any system excluded from a mandatory control must be tracked as a formal exception with documented compensating controls, an owner, and a remediation timeline. A security policy that applies to "all systems except the ones we missed" provides no policy assurance at all.</w:t>
      </w:r>
    </w:p>
    <w:p>
      <w:pPr>
        <w:pStyle w:val="FirstParagraph"/>
      </w:pPr>
      <w:r>
        <w:rPr>
          <w:bCs/>
          <w:b/>
        </w:rPr>
        <w:t xml:space="preserve">Governing Framework:</w:t>
      </w:r>
      <w:r>
        <w:t xml:space="preserve"> </w:t>
      </w:r>
      <w:r>
        <w:t xml:space="preserve">NIST SP 800-53 IA-2 (Identification and Authentication). FFIEC Authentication Guidance (2011, updated 2021). PCI-DSS Requirement 8 (Identify Users and Authenticate Access). CIS Controls v8 Control 6 (Access Control Management).</w:t>
      </w:r>
    </w:p>
    <w:bookmarkEnd w:id="23"/>
    <w:bookmarkStart w:id="24" w:name="Xb81e0ef075f9078e29a43a9209514db55bc436e"/>
    <w:p>
      <w:pPr>
        <w:pStyle w:val="Heading2"/>
      </w:pPr>
      <w:r>
        <w:t xml:space="preserve">3. Third-Party and Corporate Portal Governance</w:t>
      </w:r>
    </w:p>
    <w:p>
      <w:pPr>
        <w:pStyle w:val="FirstParagraph"/>
      </w:pPr>
      <w:r>
        <w:t xml:space="preserve">The Corporate Challenge was a charitable running event organized by JPMorgan Chase. Its associated microsite -- hosted on JPMorgan infrastructure -- was built and maintained outside the core technology organization, by a team focused on event management rather than information security. This is the category of asset most likely to fall outside standard security governance: purpose-built, short-lived in intent but persistent in practice, managed by a business team rather than IT, and connected to the corporate network through legitimate operational necessity.</w:t>
      </w:r>
    </w:p>
    <w:p>
      <w:pPr>
        <w:pStyle w:val="BodyText"/>
      </w:pPr>
      <w:r>
        <w:t xml:space="preserve">Any server connected to JPMorgan's internal network -- regardless of its business purpose, its managing team, or its perceived criticality -- is within the scope of JPMorgan's security controls. The security boundary is defined by network connectivity, not by business function. A charitable running event microsite on JPMorgan infrastructure is as much a potential entry point as a core banking server -- and in this case, it was a more attractive one because it was less monitored.</w:t>
      </w:r>
    </w:p>
    <w:p>
      <w:pPr>
        <w:pStyle w:val="BodyText"/>
      </w:pPr>
      <w:r>
        <w:t xml:space="preserve">The governance response is a defined process for corporate portal and microsite governance: every externally accessible web property hosted on corporate infrastructure must be registered in the asset inventory, assessed for security controls during commissioning, included in the vulnerability management and MFA program, and subject to annual security review. The process must be embedded in the business unit that commissions the property -- not left to IT to discover retrospectively.</w:t>
      </w:r>
    </w:p>
    <w:p>
      <w:pPr>
        <w:pStyle w:val="BodyText"/>
      </w:pPr>
      <w:r>
        <w:rPr>
          <w:bCs/>
          <w:b/>
        </w:rPr>
        <w:t xml:space="preserve">Governing Framework:</w:t>
      </w:r>
      <w:r>
        <w:t xml:space="preserve"> </w:t>
      </w:r>
      <w:r>
        <w:t xml:space="preserve">NIST SP 800-53 CA-9 (Internal System Connections). OWASP Application Security Verification Standard (ASVS). ISO 27001 A.14.2 (Security in Development and Support Processes).</w:t>
      </w:r>
    </w:p>
    <w:bookmarkEnd w:id="24"/>
    <w:bookmarkStart w:id="25" w:name="X271a84adf39e1c5d1360f1f72b3b57ee43a12ab"/>
    <w:p>
      <w:pPr>
        <w:pStyle w:val="Heading2"/>
      </w:pPr>
      <w:r>
        <w:t xml:space="preserve">4. Lateral Movement and Network Segmentation</w:t>
      </w:r>
    </w:p>
    <w:p>
      <w:pPr>
        <w:pStyle w:val="FirstParagraph"/>
      </w:pPr>
      <w:r>
        <w:t xml:space="preserve">From a single compromised server -- the Corporate Challenge microsite -- the attackers were able to access approximately 90 JPMorgan servers and ultimately the customer database containing 76 million household records. This lateral movement path reflects inadequate network segmentation between a low-criticality, externally accessible microsite and the high-criticality internal systems containing customer data.</w:t>
      </w:r>
    </w:p>
    <w:p>
      <w:pPr>
        <w:pStyle w:val="BodyText"/>
      </w:pPr>
      <w:r>
        <w:t xml:space="preserve">The principle of least privilege and network segmentation requires that a web server hosting a charitable running event should have no direct or indirect connectivity to a customer database containing 76 million records. The network architecture that permitted this connectivity -- whether through explicit routing, shared service accounts, or trust relationships between systems -- represents a design-level governance failure. Security architecture reviews should have identified and closed this path.</w:t>
      </w:r>
    </w:p>
    <w:p>
      <w:pPr>
        <w:pStyle w:val="BodyText"/>
      </w:pPr>
      <w:r>
        <w:t xml:space="preserve">At JPMorgan's scale, network segmentation governance requires a defined security zone architecture: externally accessible systems in a perimeter DMZ with no direct access to internal customer data systems; internal systems segmented by data classification; and explicit approval required for any connectivity between zones. Every firewall rule permitting cross-zone traffic should be documented, reviewed annually, and justified against business need.</w:t>
      </w:r>
    </w:p>
    <w:p>
      <w:pPr>
        <w:pStyle w:val="BodyText"/>
      </w:pPr>
      <w:r>
        <w:rPr>
          <w:bCs/>
          <w:b/>
        </w:rPr>
        <w:t xml:space="preserve">Governing Framework:</w:t>
      </w:r>
      <w:r>
        <w:t xml:space="preserve"> </w:t>
      </w:r>
      <w:r>
        <w:t xml:space="preserve">NIST SP 800-53 SC-7 (Boundary Protection). NIST SP 800-53 AC-4 (Information Flow Enforcement). FFIEC Information Security Booklet (Network Architecture).</w:t>
      </w:r>
    </w:p>
    <w:bookmarkEnd w:id="25"/>
    <w:bookmarkStart w:id="26" w:name="X51ffe7e6600fb377b34b23895f47cfb44dc9705"/>
    <w:p>
      <w:pPr>
        <w:pStyle w:val="Heading2"/>
      </w:pPr>
      <w:r>
        <w:t xml:space="preserve">5. Detection and Dwell Time</w:t>
      </w:r>
    </w:p>
    <w:p>
      <w:pPr>
        <w:pStyle w:val="FirstParagraph"/>
      </w:pPr>
      <w:r>
        <w:t xml:space="preserve">The breach began in June 2014 and was detected in late July 2014 -- a dwell time of approximately six to eight weeks. The detection occurred through JPMorgan's internal security monitoring capability, not through an external notification (unlike the Target breach, where the Department of Justice notified Target). This represents a relative success for JPMorgan's detection programme: a six-week dwell time is significantly shorter than the industry average at the time (205 days per the 2014 Mandiant M-Trends report) and far shorter than the nine months it took Dixons Carphone to detect its breach.</w:t>
      </w:r>
    </w:p>
    <w:p>
      <w:pPr>
        <w:pStyle w:val="BodyText"/>
      </w:pPr>
      <w:r>
        <w:t xml:space="preserve">However, a six-week dwell time during which attackers accessed 90 servers and harvested 76 million records reflects a detection programme that identified the breach after, not during, the data exfiltration. An effective detection programme for an institution of JPMorgan's scale and data sensitivity should be designed to detect anomalous access patterns -- including unusual authentication patterns, unexpected lateral movement between network segments, and bulk data access -- within hours, not weeks.</w:t>
      </w:r>
    </w:p>
    <w:p>
      <w:pPr>
        <w:pStyle w:val="BodyText"/>
      </w:pPr>
      <w:r>
        <w:rPr>
          <w:bCs/>
          <w:b/>
        </w:rPr>
        <w:t xml:space="preserve">Governing Framework:</w:t>
      </w:r>
      <w:r>
        <w:t xml:space="preserve"> </w:t>
      </w:r>
      <w:r>
        <w:t xml:space="preserve">NIST CSF DETECT (DE.AE-1 through DE.CM-7). NIST SP 800-53 AU-6 (Audit Record Review). FFIEC Cybersecurity Assessment Tool -- Domain 4 (External Dependency Management).</w:t>
      </w:r>
    </w:p>
    <w:bookmarkEnd w:id="26"/>
    <w:bookmarkStart w:id="27" w:name="X8672cac34c29459ed1bddc5716ab4e53946a647"/>
    <w:p>
      <w:pPr>
        <w:pStyle w:val="Heading2"/>
      </w:pPr>
      <w:r>
        <w:t xml:space="preserve">6. The Scale Paradox -- Governance at $250M Security Budget</w:t>
      </w:r>
    </w:p>
    <w:p>
      <w:pPr>
        <w:pStyle w:val="FirstParagraph"/>
      </w:pPr>
      <w:r>
        <w:t xml:space="preserve">The JPMorgan breach raises a governance question that is unique to large, sophisticated organizations: can an organization with an industry-leading security programme and a $250 million annual security budget be compromised through a single missed server? The answer is clearly yes and the reason is important for GRC practitioners to understand.</w:t>
      </w:r>
    </w:p>
    <w:p>
      <w:pPr>
        <w:pStyle w:val="BodyText"/>
      </w:pPr>
      <w:r>
        <w:t xml:space="preserve">Security investment buys capability: technology tools, qualified professionals, threat intelligence, advanced monitoring, and response capacity. It does not automatically buy completeness: the assurance that every system is within the scope of every applicable control. At the scale of a global bank, completeness requires governance infrastructure -- asset inventory processes, exception management programs, control coverage reporting, and assurance testing that specifically looks for systems outside the expected scope. These are not technology investments. They are governance investments. And they are the category most commonly underfunded relative to technology spend.</w:t>
      </w:r>
    </w:p>
    <w:p>
      <w:pPr>
        <w:pStyle w:val="BlockText"/>
      </w:pPr>
      <w:r>
        <w:rPr>
          <w:iCs/>
          <w:i/>
        </w:rPr>
        <w:t xml:space="preserve">The JPMorgan case is the definitive argument that cybersecurity investment must be balanced between capability (technology and people) and governance (completeness, exception management, and assurance). A $250M security budget applied without governance completeness leaves an</w:t>
      </w:r>
      <w:r>
        <w:t xml:space="preserve"> </w:t>
      </w:r>
      <w:r>
        <w:rPr>
          <w:iCs/>
          <w:i/>
        </w:rPr>
        <w:t xml:space="preserve">organization</w:t>
      </w:r>
      <w:r>
        <w:t xml:space="preserve"> </w:t>
      </w:r>
      <w:r>
        <w:rPr>
          <w:iCs/>
          <w:i/>
        </w:rPr>
        <w:t xml:space="preserve">vulnerable to exactly the type of exception-exploitation attack that JPMorgan experienced. Governance investment is not overhead -- it is the mechanism through which capability investment achieves its intended effect.</w:t>
      </w:r>
    </w:p>
    <w:p>
      <w:pPr>
        <w:pStyle w:val="FirstParagraph"/>
      </w:pPr>
      <w:r>
        <w:rPr>
          <w:bCs/>
          <w:b/>
        </w:rPr>
        <w:t xml:space="preserve">Governing Framework:</w:t>
      </w:r>
      <w:r>
        <w:t xml:space="preserve"> </w:t>
      </w:r>
      <w:r>
        <w:t xml:space="preserve">COSO ERM 2017 (Performance -- Portfolio View of Risk). ISO 31000 -- Principle 5 (Best Available Information). NIST CSF GOVERN (GV.SC-09 -- Completeness of security programme).</w:t>
      </w:r>
    </w:p>
    <w:bookmarkEnd w:id="27"/>
    <w:bookmarkEnd w:id="28"/>
    <w:bookmarkStart w:id="31" w:name="framework-control-mapping"/>
    <w:p>
      <w:pPr>
        <w:pStyle w:val="Heading1"/>
      </w:pPr>
      <w:r>
        <w:t xml:space="preserve">Framework Control Mapping</w:t>
      </w:r>
    </w:p>
    <w:bookmarkStart w:id="29" w:name="Xfd5067a57de1d63f89f97802af137d124dd5510"/>
    <w:p>
      <w:pPr>
        <w:pStyle w:val="Heading2"/>
      </w:pPr>
      <w:r>
        <w:t xml:space="preserve">NIST Cybersecurity Framework (CSF) Assessment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Function</w:t>
            </w:r>
          </w:p>
        </w:tc>
        <w:tc>
          <w:tcPr/>
          <w:p>
            <w:pPr>
              <w:pStyle w:val="Compact"/>
              <w:jc w:val="left"/>
            </w:pPr>
            <w:r>
              <w:rPr>
                <w:bCs/>
                <w:b/>
              </w:rPr>
              <w:t xml:space="preserve">Assessment</w:t>
            </w:r>
          </w:p>
        </w:tc>
        <w:tc>
          <w:tcPr/>
          <w:p>
            <w:pPr>
              <w:pStyle w:val="Compact"/>
              <w:jc w:val="left"/>
            </w:pPr>
            <w:r>
              <w:rPr>
                <w:bCs/>
                <w:b/>
              </w:rPr>
              <w:t xml:space="preserve">Key Gaps</w:t>
            </w:r>
          </w:p>
        </w:tc>
      </w:tr>
      <w:tr>
        <w:tc>
          <w:tcPr/>
          <w:p>
            <w:pPr>
              <w:pStyle w:val="Compact"/>
              <w:jc w:val="left"/>
            </w:pPr>
            <w:r>
              <w:rPr>
                <w:bCs/>
                <w:b/>
              </w:rPr>
              <w:t xml:space="preserve">IDENTIFY</w:t>
            </w:r>
          </w:p>
        </w:tc>
        <w:tc>
          <w:tcPr/>
          <w:p>
            <w:pPr>
              <w:pStyle w:val="Compact"/>
              <w:jc w:val="left"/>
            </w:pPr>
            <w:r>
              <w:rPr>
                <w:bCs/>
                <w:b/>
              </w:rPr>
              <w:t xml:space="preserve">PARTIAL</w:t>
            </w:r>
          </w:p>
        </w:tc>
        <w:tc>
          <w:tcPr/>
          <w:p>
            <w:pPr>
              <w:pStyle w:val="Compact"/>
              <w:jc w:val="left"/>
            </w:pPr>
            <w:r>
              <w:t xml:space="preserve">Asset inventory incomplete -- Corporate Challenge server not registered. No process for identifying externally accessible corporate microsites managed outside central IT. Network architecture review did not identify microsite-to-customer-data connectivity path.</w:t>
            </w:r>
          </w:p>
        </w:tc>
      </w:tr>
      <w:tr>
        <w:tc>
          <w:tcPr/>
          <w:p>
            <w:pPr>
              <w:pStyle w:val="Compact"/>
              <w:jc w:val="left"/>
            </w:pPr>
            <w:r>
              <w:rPr>
                <w:bCs/>
                <w:b/>
              </w:rPr>
              <w:t xml:space="preserve">PROTECT</w:t>
            </w:r>
          </w:p>
        </w:tc>
        <w:tc>
          <w:tcPr/>
          <w:p>
            <w:pPr>
              <w:pStyle w:val="Compact"/>
              <w:jc w:val="left"/>
            </w:pPr>
            <w:r>
              <w:rPr>
                <w:bCs/>
                <w:b/>
              </w:rPr>
              <w:t xml:space="preserve">PARTIAL</w:t>
            </w:r>
          </w:p>
        </w:tc>
        <w:tc>
          <w:tcPr/>
          <w:p>
            <w:pPr>
              <w:pStyle w:val="Compact"/>
              <w:jc w:val="left"/>
            </w:pPr>
            <w:r>
              <w:t xml:space="preserve">2FA policy in place and broadly deployed -- but exception management failed. No compensating controls for the single server outside the upgrade programme. No network segmentation preventing lateral movement from microsite to customer database.</w:t>
            </w:r>
          </w:p>
        </w:tc>
      </w:tr>
      <w:tr>
        <w:tc>
          <w:tcPr/>
          <w:p>
            <w:pPr>
              <w:pStyle w:val="Compact"/>
              <w:jc w:val="left"/>
            </w:pPr>
            <w:r>
              <w:rPr>
                <w:bCs/>
                <w:b/>
              </w:rPr>
              <w:t xml:space="preserve">DETECT</w:t>
            </w:r>
          </w:p>
        </w:tc>
        <w:tc>
          <w:tcPr/>
          <w:p>
            <w:pPr>
              <w:pStyle w:val="Compact"/>
              <w:jc w:val="left"/>
            </w:pPr>
            <w:r>
              <w:rPr>
                <w:bCs/>
                <w:b/>
              </w:rPr>
              <w:t xml:space="preserve">ADEQUATE</w:t>
            </w:r>
          </w:p>
        </w:tc>
        <w:tc>
          <w:tcPr/>
          <w:p>
            <w:pPr>
              <w:pStyle w:val="Compact"/>
              <w:jc w:val="left"/>
            </w:pPr>
            <w:r>
              <w:t xml:space="preserve">Detection achieved internally within 6--8 weeks -- better than industry average. JPMorgan's own security team identified the breach before external notification. Detection programme prevented potentially far greater exposure.</w:t>
            </w:r>
          </w:p>
        </w:tc>
      </w:tr>
      <w:tr>
        <w:tc>
          <w:tcPr/>
          <w:p>
            <w:pPr>
              <w:pStyle w:val="Compact"/>
              <w:jc w:val="left"/>
            </w:pPr>
            <w:r>
              <w:rPr>
                <w:bCs/>
                <w:b/>
              </w:rPr>
              <w:t xml:space="preserve">RESPOND</w:t>
            </w:r>
          </w:p>
        </w:tc>
        <w:tc>
          <w:tcPr/>
          <w:p>
            <w:pPr>
              <w:pStyle w:val="Compact"/>
              <w:jc w:val="left"/>
            </w:pPr>
            <w:r>
              <w:rPr>
                <w:bCs/>
                <w:b/>
              </w:rPr>
              <w:t xml:space="preserve">EFFECTIVE</w:t>
            </w:r>
          </w:p>
        </w:tc>
        <w:tc>
          <w:tcPr/>
          <w:p>
            <w:pPr>
              <w:pStyle w:val="Compact"/>
              <w:jc w:val="left"/>
            </w:pPr>
            <w:r>
              <w:t xml:space="preserve">Once detected, response was rapid. FBI notified. Forensics engaged. Breach contained. Vulnerability closed. Customer notification via SEC disclosure handled appropriately.</w:t>
            </w:r>
          </w:p>
        </w:tc>
      </w:tr>
      <w:tr>
        <w:tc>
          <w:tcPr/>
          <w:p>
            <w:pPr>
              <w:pStyle w:val="Compact"/>
              <w:jc w:val="left"/>
            </w:pPr>
            <w:r>
              <w:rPr>
                <w:bCs/>
                <w:b/>
              </w:rPr>
              <w:t xml:space="preserve">RECOVER</w:t>
            </w:r>
          </w:p>
        </w:tc>
        <w:tc>
          <w:tcPr/>
          <w:p>
            <w:pPr>
              <w:pStyle w:val="Compact"/>
              <w:jc w:val="left"/>
            </w:pPr>
            <w:r>
              <w:rPr>
                <w:bCs/>
                <w:b/>
              </w:rPr>
              <w:t xml:space="preserve">EFFECTIVE</w:t>
            </w:r>
          </w:p>
        </w:tc>
        <w:tc>
          <w:tcPr/>
          <w:p>
            <w:pPr>
              <w:pStyle w:val="Compact"/>
              <w:jc w:val="left"/>
            </w:pPr>
            <w:r>
              <w:t xml:space="preserve">No financial data compromised -- recovery did not require mass account notification or card reissuance. Post-breach security investment and governance reforms were substantial. JPMorgan doubled its security budget commitment to $500M by 2016.</w:t>
            </w:r>
          </w:p>
        </w:tc>
      </w:tr>
    </w:tbl>
    <w:bookmarkEnd w:id="29"/>
    <w:bookmarkStart w:id="30" w:name="X88c35f145b2b9cd8a982a3f7db3fe82034ea9ce"/>
    <w:p>
      <w:pPr>
        <w:pStyle w:val="Heading2"/>
      </w:pPr>
      <w:r>
        <w:t xml:space="preserve">Financial Sector Regulatory Framework Assessment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Framework / Requirement</w:t>
            </w:r>
          </w:p>
        </w:tc>
        <w:tc>
          <w:tcPr/>
          <w:p>
            <w:pPr>
              <w:pStyle w:val="Compact"/>
              <w:jc w:val="left"/>
            </w:pPr>
            <w:r>
              <w:rPr>
                <w:bCs/>
                <w:b/>
              </w:rPr>
              <w:t xml:space="preserve">Assessment</w:t>
            </w:r>
          </w:p>
        </w:tc>
        <w:tc>
          <w:tcPr/>
          <w:p>
            <w:pPr>
              <w:pStyle w:val="Compact"/>
              <w:jc w:val="left"/>
            </w:pPr>
            <w:r>
              <w:rPr>
                <w:bCs/>
                <w:b/>
              </w:rPr>
              <w:t xml:space="preserve">Breach Implication</w:t>
            </w:r>
          </w:p>
        </w:tc>
      </w:tr>
      <w:tr>
        <w:tc>
          <w:tcPr/>
          <w:p>
            <w:pPr>
              <w:pStyle w:val="Compact"/>
              <w:jc w:val="left"/>
            </w:pPr>
            <w:r>
              <w:rPr>
                <w:bCs/>
                <w:b/>
              </w:rPr>
              <w:t xml:space="preserve">FFIEC Cybersecurity Assessment Tool -- Domain 1 (Cyber Risk Management)</w:t>
            </w:r>
          </w:p>
        </w:tc>
        <w:tc>
          <w:tcPr/>
          <w:p>
            <w:pPr>
              <w:pStyle w:val="Compact"/>
              <w:jc w:val="left"/>
            </w:pPr>
            <w:r>
              <w:rPr>
                <w:bCs/>
                <w:b/>
              </w:rPr>
              <w:t xml:space="preserve">Gap</w:t>
            </w:r>
          </w:p>
        </w:tc>
        <w:tc>
          <w:tcPr/>
          <w:p>
            <w:pPr>
              <w:pStyle w:val="Compact"/>
              <w:jc w:val="left"/>
            </w:pPr>
            <w:r>
              <w:t xml:space="preserve">Asset inventory completeness is a Domain 1 baseline requirement. A server accessible from the internet, connected to internal networks, and outside the 2FA programme reflects an inventory and risk management gap directly addressed by FFIEC CAT expectations.</w:t>
            </w:r>
          </w:p>
        </w:tc>
      </w:tr>
      <w:tr>
        <w:tc>
          <w:tcPr/>
          <w:p>
            <w:pPr>
              <w:pStyle w:val="Compact"/>
              <w:jc w:val="left"/>
            </w:pPr>
            <w:r>
              <w:rPr>
                <w:bCs/>
                <w:b/>
              </w:rPr>
              <w:t xml:space="preserve">FFIEC Authentication Guidance (Updated 2021)</w:t>
            </w:r>
          </w:p>
        </w:tc>
        <w:tc>
          <w:tcPr/>
          <w:p>
            <w:pPr>
              <w:pStyle w:val="Compact"/>
              <w:jc w:val="left"/>
            </w:pPr>
            <w:r>
              <w:rPr>
                <w:bCs/>
                <w:b/>
              </w:rPr>
              <w:t xml:space="preserve">Violated</w:t>
            </w:r>
          </w:p>
        </w:tc>
        <w:tc>
          <w:tcPr/>
          <w:p>
            <w:pPr>
              <w:pStyle w:val="Compact"/>
              <w:jc w:val="left"/>
            </w:pPr>
            <w:r>
              <w:t xml:space="preserve">FFIEC guidance requires MFA for all high-risk transactions and remote access. An externally accessible server with single-factor authentication falls directly within the scope of this requirement. The exception to the 2FA upgrade is a direct compliance failure.</w:t>
            </w:r>
          </w:p>
        </w:tc>
      </w:tr>
      <w:tr>
        <w:tc>
          <w:tcPr/>
          <w:p>
            <w:pPr>
              <w:pStyle w:val="Compact"/>
              <w:jc w:val="left"/>
            </w:pPr>
            <w:r>
              <w:rPr>
                <w:bCs/>
                <w:b/>
              </w:rPr>
              <w:t xml:space="preserve">OCC Heightened Standards (12 CFR Part 30)</w:t>
            </w:r>
          </w:p>
        </w:tc>
        <w:tc>
          <w:tcPr/>
          <w:p>
            <w:pPr>
              <w:pStyle w:val="Compact"/>
              <w:jc w:val="left"/>
            </w:pPr>
            <w:r>
              <w:rPr>
                <w:bCs/>
                <w:b/>
              </w:rPr>
              <w:t xml:space="preserve">Gap</w:t>
            </w:r>
          </w:p>
        </w:tc>
        <w:tc>
          <w:tcPr/>
          <w:p>
            <w:pPr>
              <w:pStyle w:val="Compact"/>
              <w:jc w:val="left"/>
            </w:pPr>
            <w:r>
              <w:t xml:space="preserve">OCC Heightened Standards require large banks to maintain comprehensive front-line risk management programs covering all material risks. A missing system in the MFA upgrade programme reflects a front-line risk management gap at the asset inventory level.</w:t>
            </w:r>
          </w:p>
        </w:tc>
      </w:tr>
      <w:tr>
        <w:tc>
          <w:tcPr/>
          <w:p>
            <w:pPr>
              <w:pStyle w:val="Compact"/>
              <w:jc w:val="left"/>
            </w:pPr>
            <w:r>
              <w:rPr>
                <w:bCs/>
                <w:b/>
              </w:rPr>
              <w:t xml:space="preserve">Gramm-Leach-Bliley Act (GLBA) Safeguards Rule</w:t>
            </w:r>
          </w:p>
        </w:tc>
        <w:tc>
          <w:tcPr/>
          <w:p>
            <w:pPr>
              <w:pStyle w:val="Compact"/>
              <w:jc w:val="left"/>
            </w:pPr>
            <w:r>
              <w:rPr>
                <w:bCs/>
                <w:b/>
              </w:rPr>
              <w:t xml:space="preserve">Gap</w:t>
            </w:r>
          </w:p>
        </w:tc>
        <w:tc>
          <w:tcPr/>
          <w:p>
            <w:pPr>
              <w:pStyle w:val="Compact"/>
              <w:jc w:val="left"/>
            </w:pPr>
            <w:r>
              <w:t xml:space="preserve">GLBA requires a comprehensive information security programme covering all customer data systems. A server with connectivity to 76 million customer records without MFA is a Safeguards Rule compliance gap.</w:t>
            </w:r>
          </w:p>
        </w:tc>
      </w:tr>
      <w:tr>
        <w:tc>
          <w:tcPr/>
          <w:p>
            <w:pPr>
              <w:pStyle w:val="Compact"/>
              <w:jc w:val="left"/>
            </w:pPr>
            <w:r>
              <w:rPr>
                <w:bCs/>
                <w:b/>
              </w:rPr>
              <w:t xml:space="preserve">SEC Cybersecurity Disclosure Rules (2023)</w:t>
            </w:r>
          </w:p>
        </w:tc>
        <w:tc>
          <w:tcPr/>
          <w:p>
            <w:pPr>
              <w:pStyle w:val="Compact"/>
              <w:jc w:val="left"/>
            </w:pPr>
            <w:r>
              <w:rPr>
                <w:bCs/>
                <w:b/>
              </w:rPr>
              <w:t xml:space="preserve">Context</w:t>
            </w:r>
          </w:p>
        </w:tc>
        <w:tc>
          <w:tcPr/>
          <w:p>
            <w:pPr>
              <w:pStyle w:val="Compact"/>
              <w:jc w:val="left"/>
            </w:pPr>
            <w:r>
              <w:t xml:space="preserve">Under today's SEC rules (effective 2023), a breach of this scale would require Form 8-K disclosure within 4 business days of determining materiality. The 2014 breach was disclosed via quarterly SEC filing -- within the norms of that era but not sufficient under current standards.</w:t>
            </w:r>
          </w:p>
        </w:tc>
      </w:tr>
    </w:tbl>
    <w:bookmarkEnd w:id="30"/>
    <w:bookmarkEnd w:id="31"/>
    <w:bookmarkStart w:id="32" w:name="regulatory--legal-consequences"/>
    <w:p>
      <w:pPr>
        <w:pStyle w:val="Heading1"/>
      </w:pPr>
      <w:r>
        <w:t xml:space="preserve">Regulatory &amp; Legal Consequences</w:t>
      </w:r>
    </w:p>
    <w:p>
      <w:pPr>
        <w:pStyle w:val="FirstParagraph"/>
      </w:pPr>
      <w:r>
        <w:t xml:space="preserve">The regulatory and legal consequences of the JPMorgan breach were notably limited in direct financial penalty terms, reflecting two factors: the data stolen was limited to contact information (no financial data, no SSNs, no passwords), and JPMorgan's incident response was considered relatively effective. The more significant consequences were reputational, competitive, and strategic -- and the criminal prosecution of the attackers provides the most detailed account of what the stolen data was ultimately used for.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Action / Consequence</w:t>
            </w:r>
          </w:p>
        </w:tc>
        <w:tc>
          <w:tcPr/>
          <w:p>
            <w:pPr>
              <w:pStyle w:val="Compact"/>
              <w:jc w:val="left"/>
            </w:pPr>
            <w:r>
              <w:rPr>
                <w:bCs/>
                <w:b/>
              </w:rPr>
              <w:t xml:space="preserve">Impact</w:t>
            </w:r>
          </w:p>
        </w:tc>
        <w:tc>
          <w:tcPr/>
          <w:p>
            <w:pPr>
              <w:pStyle w:val="Compact"/>
              <w:jc w:val="left"/>
            </w:pPr>
            <w:r>
              <w:rPr>
                <w:bCs/>
                <w:b/>
              </w:rPr>
              <w:t xml:space="preserve">Detail</w:t>
            </w:r>
          </w:p>
        </w:tc>
      </w:tr>
      <w:tr>
        <w:tc>
          <w:tcPr/>
          <w:p>
            <w:pPr>
              <w:pStyle w:val="Compact"/>
              <w:jc w:val="left"/>
            </w:pPr>
            <w:r>
              <w:rPr>
                <w:bCs/>
                <w:b/>
              </w:rPr>
              <w:t xml:space="preserve">Criminal Prosecution of Attackers</w:t>
            </w:r>
          </w:p>
        </w:tc>
        <w:tc>
          <w:tcPr/>
          <w:p>
            <w:pPr>
              <w:pStyle w:val="Compact"/>
              <w:jc w:val="left"/>
            </w:pPr>
            <w:r>
              <w:rPr>
                <w:bCs/>
                <w:b/>
              </w:rPr>
              <w:t xml:space="preserve">Significant</w:t>
            </w:r>
          </w:p>
        </w:tc>
        <w:tc>
          <w:tcPr/>
          <w:p>
            <w:pPr>
              <w:pStyle w:val="Compact"/>
              <w:jc w:val="left"/>
            </w:pPr>
            <w:r>
              <w:t xml:space="preserve">Alleged operators indicted by U.S. federal prosecutors in 2015; prosecution follows. Criminal network operated pump-and-dump stock schemes, illegal Bitcoin exchanges, and casinos using stolen customer contact data to target victims for financial fraud. Estimated hundreds of millions in criminal proceeds.</w:t>
            </w:r>
          </w:p>
        </w:tc>
      </w:tr>
      <w:tr>
        <w:tc>
          <w:tcPr/>
          <w:p>
            <w:pPr>
              <w:pStyle w:val="Compact"/>
              <w:jc w:val="left"/>
            </w:pPr>
            <w:r>
              <w:rPr>
                <w:bCs/>
                <w:b/>
              </w:rPr>
              <w:t xml:space="preserve">SEC Disclosure and Congressional Scrutiny</w:t>
            </w:r>
          </w:p>
        </w:tc>
        <w:tc>
          <w:tcPr/>
          <w:p>
            <w:pPr>
              <w:pStyle w:val="Compact"/>
              <w:jc w:val="left"/>
            </w:pPr>
            <w:r>
              <w:rPr>
                <w:bCs/>
                <w:b/>
              </w:rPr>
              <w:t xml:space="preserve">Reputational</w:t>
            </w:r>
          </w:p>
        </w:tc>
        <w:tc>
          <w:tcPr/>
          <w:p>
            <w:pPr>
              <w:pStyle w:val="Compact"/>
              <w:jc w:val="left"/>
            </w:pPr>
            <w:r>
              <w:t xml:space="preserve">Public disclosure via SEC filing in October 2014 triggered significant media coverage and congressional enquiries into financial sector cybersecurity standards. Elevated regulatory expectations across the banking sector.</w:t>
            </w:r>
          </w:p>
        </w:tc>
      </w:tr>
      <w:tr>
        <w:tc>
          <w:tcPr/>
          <w:p>
            <w:pPr>
              <w:pStyle w:val="Compact"/>
              <w:jc w:val="left"/>
            </w:pPr>
            <w:r>
              <w:rPr>
                <w:bCs/>
                <w:b/>
              </w:rPr>
              <w:t xml:space="preserve">No Direct Financial Penalty</w:t>
            </w:r>
          </w:p>
        </w:tc>
        <w:tc>
          <w:tcPr/>
          <w:p>
            <w:pPr>
              <w:pStyle w:val="Compact"/>
              <w:jc w:val="left"/>
            </w:pPr>
            <w:r>
              <w:rPr>
                <w:bCs/>
                <w:b/>
              </w:rPr>
              <w:t xml:space="preserve">Favorable</w:t>
            </w:r>
          </w:p>
        </w:tc>
        <w:tc>
          <w:tcPr/>
          <w:p>
            <w:pPr>
              <w:pStyle w:val="Compact"/>
              <w:jc w:val="left"/>
            </w:pPr>
            <w:r>
              <w:t xml:space="preserve">Regulators did not impose direct financial penalties on JPMorgan following the breach, in part because no financial account data was compromised and the bank's response was considered cooperative and effective. This outcome is unlikely to recur under current OCC / FFIEC enforcement posture.</w:t>
            </w:r>
          </w:p>
        </w:tc>
      </w:tr>
      <w:tr>
        <w:tc>
          <w:tcPr/>
          <w:p>
            <w:pPr>
              <w:pStyle w:val="Compact"/>
              <w:jc w:val="left"/>
            </w:pPr>
            <w:r>
              <w:rPr>
                <w:bCs/>
                <w:b/>
              </w:rPr>
              <w:t xml:space="preserve">Accelerated Security Investment</w:t>
            </w:r>
          </w:p>
        </w:tc>
        <w:tc>
          <w:tcPr/>
          <w:p>
            <w:pPr>
              <w:pStyle w:val="Compact"/>
              <w:jc w:val="left"/>
            </w:pPr>
            <w:r>
              <w:rPr>
                <w:bCs/>
                <w:b/>
              </w:rPr>
              <w:t xml:space="preserve">Strategic</w:t>
            </w:r>
          </w:p>
        </w:tc>
        <w:tc>
          <w:tcPr/>
          <w:p>
            <w:pPr>
              <w:pStyle w:val="Compact"/>
              <w:jc w:val="left"/>
            </w:pPr>
            <w:r>
              <w:t xml:space="preserve">JPMorgan committed to doubling its cybersecurity budget to approximately $500M by 2016. The breach accelerated the industry-wide recognition of cybersecurity as a board-level strategic priority.</w:t>
            </w:r>
          </w:p>
        </w:tc>
      </w:tr>
      <w:tr>
        <w:tc>
          <w:tcPr/>
          <w:p>
            <w:pPr>
              <w:pStyle w:val="Compact"/>
              <w:jc w:val="left"/>
            </w:pPr>
            <w:r>
              <w:rPr>
                <w:bCs/>
                <w:b/>
              </w:rPr>
              <w:t xml:space="preserve">FFIEC Sector-Wide Guidance</w:t>
            </w:r>
          </w:p>
        </w:tc>
        <w:tc>
          <w:tcPr/>
          <w:p>
            <w:pPr>
              <w:pStyle w:val="Compact"/>
              <w:jc w:val="left"/>
            </w:pPr>
            <w:r>
              <w:rPr>
                <w:bCs/>
                <w:b/>
              </w:rPr>
              <w:t xml:space="preserve">Industry</w:t>
            </w:r>
          </w:p>
        </w:tc>
        <w:tc>
          <w:tcPr/>
          <w:p>
            <w:pPr>
              <w:pStyle w:val="Compact"/>
              <w:jc w:val="left"/>
            </w:pPr>
            <w:r>
              <w:t xml:space="preserve">The breach contributed to FFIEC updating its authentication guidance and issuing stronger expectations for asset inventory completeness, MFA deployment, and exception management across the banking sector. The 2021 updated FFIEC Authentication Guidance directly addresses the type of gap the JPMorgan breach exposed.</w:t>
            </w:r>
          </w:p>
        </w:tc>
      </w:tr>
    </w:tbl>
    <w:bookmarkEnd w:id="32"/>
    <w:bookmarkStart w:id="38" w:name="key-grc-lessons--recommendations"/>
    <w:p>
      <w:pPr>
        <w:pStyle w:val="Heading1"/>
      </w:pPr>
      <w:r>
        <w:t xml:space="preserve">Key GRC Lessons &amp; Recommendations</w:t>
      </w:r>
    </w:p>
    <w:bookmarkStart w:id="33" w:name="X752a0bd56d92c571f40817b043e3b54400fe899"/>
    <w:p>
      <w:pPr>
        <w:pStyle w:val="Heading2"/>
      </w:pPr>
      <w:r>
        <w:t xml:space="preserve">Lesson 1 -- Asset Inventory Completeness Is the Foundation of Every Security Control</w:t>
      </w:r>
    </w:p>
    <w:p>
      <w:pPr>
        <w:pStyle w:val="FirstParagraph"/>
      </w:pPr>
      <w:r>
        <w:t xml:space="preserve">Every security control -- 2FA, patch management, vulnerability scanning, network monitoring -- has a defined scope. That scope is determined by the asset inventory. A security programme that has not invested in verifying the completeness of its asset inventory cannot know whether its controls have achieved their intended coverage. The JPMorgan breach demonstrates that at scale, even a well-funded, well-governed security programme can have invisible gaps -- and attackers will find them.</w:t>
      </w:r>
    </w:p>
    <w:p>
      <w:pPr>
        <w:pStyle w:val="BlockText"/>
      </w:pPr>
      <w:r>
        <w:rPr>
          <w:iCs/>
          <w:i/>
        </w:rPr>
        <w:t xml:space="preserve">Recommendation: Implement a continuous asset discovery programme that supplements the managed inventory with automated network scanning, cloud resource enumeration, and DNS enumeration to identify assets outside the managed estate. Reconcile discovery output against the managed inventory monthly. Any discovered asset not in the managed inventory is an exception requiring immediate classification and inclusion in applicable control programs.</w:t>
      </w:r>
    </w:p>
    <w:bookmarkEnd w:id="33"/>
    <w:bookmarkStart w:id="34" w:name="X83db4e514987b88197a455626391d12f84e3fcf"/>
    <w:p>
      <w:pPr>
        <w:pStyle w:val="Heading2"/>
      </w:pPr>
      <w:r>
        <w:t xml:space="preserve">Lesson 2 -- Exception Management Is a Security Programme, Not a Side Process</w:t>
      </w:r>
    </w:p>
    <w:p>
      <w:pPr>
        <w:pStyle w:val="FirstParagraph"/>
      </w:pPr>
      <w:r>
        <w:t xml:space="preserve">The JPMorgan breach was enabled by an exception: one server not yet upgraded in a completed 2FA rollout. Exceptions to security controls are inevitable in large organizations. The governance question is not how to eliminate exceptions but how to manage them: track everyone, assign an owner and remediation date, require compensating controls for the duration, and escalate exceptions above defined age thresholds. An untracked exception is an unmanaged risk.</w:t>
      </w:r>
    </w:p>
    <w:p>
      <w:pPr>
        <w:pStyle w:val="BlockText"/>
      </w:pPr>
      <w:r>
        <w:rPr>
          <w:iCs/>
          <w:i/>
        </w:rPr>
        <w:t xml:space="preserve">Recommendation: Implement a formal exception management programme for all mandatory security controls. Every exception must have: a named owner, a remediation date no more than 90 days from registration, documented compensating controls for the interim period, and an escalation path that requires CISO sign-off for exceptions involving externally accessible systems. Exceptions older than 90 days require executive approval and board awareness.</w:t>
      </w:r>
    </w:p>
    <w:bookmarkEnd w:id="34"/>
    <w:bookmarkStart w:id="35" w:name="Xfc70a7eb3bff56deaa16d3c79dd237e2aad4406"/>
    <w:p>
      <w:pPr>
        <w:pStyle w:val="Heading2"/>
      </w:pPr>
      <w:r>
        <w:t xml:space="preserve">Lesson 3 -- Corporate Portals and Microsites Are Within the Security Perimeter</w:t>
      </w:r>
    </w:p>
    <w:p>
      <w:pPr>
        <w:pStyle w:val="FirstParagraph"/>
      </w:pPr>
      <w:r>
        <w:t xml:space="preserve">A charitable running event microsite on corporate infrastructure is within the corporate security perimeter. Any server connected to the corporate network -- regardless of its business purpose, its managing team, or its perceived criticality -- is a potential entry point. Business units that commission external web properties must be required to register those assets, include them in security control programs, and apply for security review before launch. The security team cannot protect assets it does not know exist.</w:t>
      </w:r>
    </w:p>
    <w:p>
      <w:pPr>
        <w:pStyle w:val="BlockText"/>
      </w:pPr>
      <w:r>
        <w:rPr>
          <w:iCs/>
          <w:i/>
        </w:rPr>
        <w:t xml:space="preserve">Recommendation: Establish a corporate web property registration process requiring all externally accessible web properties hosted on or connected to corporate infrastructure to be registered in the asset inventory before launch. Registration triggers a security baseline review, inclusion in the MFA and vulnerability management</w:t>
      </w:r>
      <w:r>
        <w:t xml:space="preserve"> </w:t>
      </w:r>
      <w:r>
        <w:rPr>
          <w:iCs/>
          <w:i/>
        </w:rPr>
        <w:t xml:space="preserve">programs</w:t>
      </w:r>
      <w:r>
        <w:t xml:space="preserve">*, and assignment of a security owner. Annual review required for all registered properties.*</w:t>
      </w:r>
    </w:p>
    <w:bookmarkEnd w:id="35"/>
    <w:bookmarkStart w:id="36" w:name="X0767e7fe641dd1c95fe631e7985f8ff07e5cfb0"/>
    <w:p>
      <w:pPr>
        <w:pStyle w:val="Heading2"/>
      </w:pPr>
      <w:r>
        <w:t xml:space="preserve">Lesson 4 -- Governance Investment Must Match Technology Investment</w:t>
      </w:r>
    </w:p>
    <w:p>
      <w:pPr>
        <w:pStyle w:val="FirstParagraph"/>
      </w:pPr>
      <w:r>
        <w:t xml:space="preserve">JPMorgan's $250 million annual security budget bought world-class technology and talent. It did not, on its own, buy completeness: the assurance that every system was within the scope of every mandatory control. Completeness requires governance investment -- asset inventory processes, exception management programs, and coverage assurance testing -- that is often deprioritized relative to technology spend. At scale, governance investment is not overhead; it is the mechanism through which technology investment achieves its intended security effect.</w:t>
      </w:r>
    </w:p>
    <w:p>
      <w:pPr>
        <w:pStyle w:val="BlockText"/>
      </w:pPr>
      <w:r>
        <w:rPr>
          <w:iCs/>
          <w:i/>
        </w:rPr>
        <w:t xml:space="preserve">Recommendation: Include governance capability as a defined line item in security budget planning. Allocate dedicated resources for asset inventory management, exception tracking, security coverage assurance testing, and control compliance reporting. Measure security programme effectiveness not only by capability (tools deployed, incidents detected) but by completeness (percentage of in-scope systems within mandatory control</w:t>
      </w:r>
      <w:r>
        <w:t xml:space="preserve"> </w:t>
      </w:r>
      <w:r>
        <w:rPr>
          <w:iCs/>
          <w:i/>
        </w:rPr>
        <w:t xml:space="preserve">programs</w:t>
      </w:r>
      <w:r>
        <w:t xml:space="preserve">*).*</w:t>
      </w:r>
    </w:p>
    <w:bookmarkEnd w:id="36"/>
    <w:bookmarkStart w:id="37" w:name="X0807ebd6f4be15c63c9d41ddc581678781a14d4"/>
    <w:p>
      <w:pPr>
        <w:pStyle w:val="Heading2"/>
      </w:pPr>
      <w:r>
        <w:t xml:space="preserve">Lesson 5 -- Detection Capability Can Limit Breach Impact Even When Prevention Fails</w:t>
      </w:r>
    </w:p>
    <w:p>
      <w:pPr>
        <w:pStyle w:val="FirstParagraph"/>
      </w:pPr>
      <w:r>
        <w:t xml:space="preserve">The JPMorgan breach illustrates that effective detection can significantly limit the impact of a breach that prevention controls failed to stop. The six-to-eight week dwell time -- while longer than ideal -- was far shorter than the industry norm and allowed JPMorgan to contain the breach before financial account data could be accessed. Investment in detection capability is not an admission that prevention has failed; it is a necessary layer of defense in any realistic threat model.</w:t>
      </w:r>
    </w:p>
    <w:p>
      <w:pPr>
        <w:pStyle w:val="BlockText"/>
      </w:pPr>
      <w:r>
        <w:rPr>
          <w:iCs/>
          <w:i/>
        </w:rPr>
        <w:t xml:space="preserve">Recommendation: Invest in detection capability commensurate with the data sensitivity and network complexity of the</w:t>
      </w:r>
      <w:r>
        <w:t xml:space="preserve"> </w:t>
      </w:r>
      <w:r>
        <w:rPr>
          <w:iCs/>
          <w:i/>
        </w:rPr>
        <w:t xml:space="preserve">organization</w:t>
      </w:r>
      <w:r>
        <w:t xml:space="preserve">*. For financial institutions handling tens of millions of customer records: SIEM with use cases detecting anomalous authentication patterns (new locations, off-hours access, unusual volumes), lateral movement indicators (unusual inter-system connections, privilege escalation), and bulk data access. Define maximum tolerable detection time by data sensitivity tier: Tier 1 (financial data) -- alert within 4 hours; Tier 2 (contact data) -- alert within 24 hours.*</w:t>
      </w:r>
    </w:p>
    <w:bookmarkEnd w:id="37"/>
    <w:bookmarkEnd w:id="38"/>
    <w:bookmarkStart w:id="39" w:name="conclusion"/>
    <w:p>
      <w:pPr>
        <w:pStyle w:val="Heading1"/>
      </w:pPr>
      <w:r>
        <w:t xml:space="preserve">Conclusion</w:t>
      </w:r>
    </w:p>
    <w:p>
      <w:pPr>
        <w:pStyle w:val="FirstParagraph"/>
      </w:pPr>
      <w:r>
        <w:t xml:space="preserve">The JPMorgan Chase 2014 breach is the most instructive case study for a proposition that the GRC profession must internalize: security capability and security completeness are different things, and both require deliberate investment. JPMorgan had more security capability than almost any organization on earth. What it did not have was a process that guaranteed every system was within the scope of every applicable control -- and one server outside that scope was enough for attackers to access 76 million customer records.</w:t>
      </w:r>
    </w:p>
    <w:p>
      <w:pPr>
        <w:pStyle w:val="BodyText"/>
      </w:pPr>
      <w:r>
        <w:t xml:space="preserve">The breach produced no direct financial losses for customers and no regulatory penalty for JPMorgan. But it cost the bank its status as a breach-immune institution, triggered significant regulatory and congressional scrutiny, and ultimately redirected hundreds of millions of dollars in accelerated security investment. More importantly, it established a lesson that has shaped financial sector security governance in the decade since: at enterprise scale, governance infrastructure -- asset inventory, exception management, coverage assurance -- is as important as security technology. A security control that does not apply to every system in its defined scope does not provide the assurance the control was designed to deliver.</w:t>
      </w:r>
    </w:p>
    <w:p>
      <w:pPr>
        <w:pStyle w:val="BodyText"/>
      </w:pPr>
      <w:r>
        <w:t xml:space="preserve">For GRC practitioners, the JPMorgan case is the answer to the question "what does governance actually add to a well-funded security programme?" It adds completeness. It adds the processes that ensure capability is actually applied where it is needed. And without it, even the best-resourced security programme in the world remains one missed server away from the largest breach in the history of the sector it was designed to protect.</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JPMorgan Chase 2014: GRC Case Study</dc:title>
  <dc:creator>Girish Nair</dc:creator>
  <cp:keywords/>
  <dcterms:created xsi:type="dcterms:W3CDTF">2026-09-23T19:59:46Z</dcterms:created>
  <dcterms:modified xsi:type="dcterms:W3CDTF">2026-09-23T19:59:46Z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Case Study</vt:lpwstr>
  </property>
</Properties>
</file>