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AI PROMPTING FRAMEWORKS</w:t>
      </w:r>
    </w:p>
    <w:p>
      <w:pPr>
        <w:spacing w:after="40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A Consolidated Reference Guide</w:t>
      </w:r>
    </w:p>
    <w:p>
      <w:pPr>
        <w:pBdr>
          <w:bottom w:val="single" w:color="1F3864" w:sz="12" w:space="4"/>
        </w:pBdr>
        <w:spacing w:after="2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Structural, Reasoning, and Orchestration Approaches — with Industry Adoption and Effectiveness Assessment</w:t>
      </w:r>
    </w:p>
    <w:p>
      <w:pPr>
        <w:pStyle w:val="Heading1"/>
        <w:pBdr>
          <w:bottom w:val="single" w:color="1F3864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Purpose and Scope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guide consolidates the prompting frameworks commonly referenced in industry discussion into a single reference, distinguishing three categories: (1) single-turn structural frameworks that organize how a prompt is phrased, (2) reasoning-pattern frameworks that govern how the model thinks through a problem, and (3) meta/orchestration approaches that sequence multiple prompts or agents. Most named acronym frameworks are variations on the same core elements: role, context, task, constraints, examples, and output format.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Assessment basis: "Industry Adoption" and "Effectiveness" ratings reflect prevailing practitioner usage patterns and prompt-engineering literature (including Anthropic's own guidance), not a controlled empirical study. Treat ratings as directional, not authoritative.</w:t>
      </w:r>
    </w:p>
    <w:p>
      <w:pPr>
        <w:pStyle w:val="Heading1"/>
        <w:pBdr>
          <w:bottom w:val="single" w:color="1F3864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Framework Overview Matrix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200"/>
        <w:gridCol w:w="1600"/>
        <w:gridCol w:w="16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 Adoption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Single-turn structural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 as / Request / Terms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Low-Medium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RTF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Single-turn structural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 / Task / Format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CO-STAR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Single-turn structural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Context/Objective/Style/Tone/Audience/Response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RISE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Single-turn structural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 / Input / Steps / Expectation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Single-turn structural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/ Purpose / Expectation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Low-Medium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CRISPE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Single-turn structural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/ Insight / Statement / Personality / Experiment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Low-Medium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Single-turn structural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 / Action / Context / Expectation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Single-turn structural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/ Action / Goal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PECRA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Single-turn structural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Purpose / Expectation / Context / Request / Action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ICIO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Single-turn structural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Instruction / Context / Input / Output format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(enterprise libraries)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CIDI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Single-turn structural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 / Instruction / Details / Input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SPEAR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Single-turn structural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Situation / Problem / Expectation / Action / Result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Single-turn structural (persuasive)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 / Agitate / Solution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Niche (marketing/copy)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(for GRC)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GRADE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Single-turn structural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Goal / Role / Action / Details / Example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Chain-of-Thought (CoT)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Reasoning pattern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Explicit step-by-step reasoning instruction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Few-Shot Prompting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Reasoning pattern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Example input/output pairs before the ask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Tree-of-Thought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Reasoning pattern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Explore multiple reasoning branches, then converge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Low-Medium (research/advanced)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(complex tasks)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Reasoning + agentic pattern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Interleave reasoning with tool calls/actions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(agent frameworks)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Self-Consistency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Reasoning pattern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reasoning paths, majority/consistent answer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(high-stakes/numeric)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Least-to-Most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Reasoning pattern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Decompose into ordered subproblems, solve sequentially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(complex, multi-step)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Reflexion / Self-Critique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Reasoning pattern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Draft, critique, revise before finalizing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 Chaining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/ orchestration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Sequence of prompts; each output feeds next input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(production pipelines)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Multi-Agent Orchestration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/ orchestration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Specialized agents per subtask, coordinated pipeline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Medium-High (growing)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Single-Turn Structural Frameworks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These frameworks organize the phrasing of a single, self-contained prompt. They are easiest to teach and adopt but do not address reasoning depth or multi-step workflows.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ART — Act as / Request / Terms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Components: </w:t>
      </w:r>
      <w:r>
        <w:rPr>
          <w:rFonts w:ascii="Arial" w:cs="Arial" w:eastAsia="Arial" w:hAnsi="Arial"/>
          <w:sz w:val="22"/>
          <w:szCs w:val="22"/>
        </w:rPr>
        <w:t xml:space="preserve">Role → Task → Constraints/format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Adoption: </w:t>
      </w:r>
      <w:r>
        <w:rPr>
          <w:rFonts w:ascii="Arial" w:cs="Arial" w:eastAsia="Arial" w:hAnsi="Arial"/>
          <w:sz w:val="22"/>
          <w:szCs w:val="22"/>
        </w:rPr>
        <w:t xml:space="preserve">Low-Medium — common in introductory prompting content and LinkedIn-style tutorials; not a formal industry standard.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Effectiveness: </w:t>
      </w:r>
      <w:r>
        <w:rPr>
          <w:rFonts w:ascii="Arial" w:cs="Arial" w:eastAsia="Arial" w:hAnsi="Arial"/>
          <w:sz w:val="22"/>
          <w:szCs w:val="22"/>
        </w:rPr>
        <w:t xml:space="preserve">Medium — solid for quick, one-off prompts; insufficient alone for complex, multi-part GRC deliverables.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(GRC context):</w:t>
      </w:r>
    </w:p>
    <w:p>
      <w:pPr>
        <w:shd w:fill="F2F2F2" w:val="clear"/>
        <w:spacing w:after="100"/>
        <w:ind w:left="3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Act as a Senior GRC advisor specializing in ITGC controls. Request: draft a control testing narrative for change management for a SOX walkthrough. Terms: 150 words max, Big4 audit tone, structured as Control Objective → Test Procedure → Expected Evidence.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RTF — Role / Task / Format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Components: </w:t>
      </w:r>
      <w:r>
        <w:rPr>
          <w:rFonts w:ascii="Arial" w:cs="Arial" w:eastAsia="Arial" w:hAnsi="Arial"/>
          <w:sz w:val="22"/>
          <w:szCs w:val="22"/>
        </w:rPr>
        <w:t xml:space="preserve">Nearly identical to ART, three-part structure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Adoption: </w:t>
      </w:r>
      <w:r>
        <w:rPr>
          <w:rFonts w:ascii="Arial" w:cs="Arial" w:eastAsia="Arial" w:hAnsi="Arial"/>
          <w:sz w:val="22"/>
          <w:szCs w:val="22"/>
        </w:rPr>
        <w:t xml:space="preserve">Medium — widely referenced in corporate prompt-engineering trainings.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Effectiveness: </w:t>
      </w:r>
      <w:r>
        <w:rPr>
          <w:rFonts w:ascii="Arial" w:cs="Arial" w:eastAsia="Arial" w:hAnsi="Arial"/>
          <w:sz w:val="22"/>
          <w:szCs w:val="22"/>
        </w:rPr>
        <w:t xml:space="preserve">Medium — same ceiling as ART; effectiveness depends heavily on how specific "Format" is made.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(GRC context):</w:t>
      </w:r>
    </w:p>
    <w:p>
      <w:pPr>
        <w:shd w:fill="F2F2F2" w:val="clear"/>
        <w:spacing w:after="100"/>
        <w:ind w:left="3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Role: NIST CSF 2.0 assessor. Task: Summarize control gaps from the attached self-assessment. Format: Table with columns Function, Category, Gap, Priority.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CO-STAR — Context / Objective / Style / Tone / Audience / Response format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Components: </w:t>
      </w:r>
      <w:r>
        <w:rPr>
          <w:rFonts w:ascii="Arial" w:cs="Arial" w:eastAsia="Arial" w:hAnsi="Arial"/>
          <w:sz w:val="22"/>
          <w:szCs w:val="22"/>
        </w:rPr>
        <w:t xml:space="preserve">Six explicit fields covering situational framing and delivery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Adoption: </w:t>
      </w:r>
      <w:r>
        <w:rPr>
          <w:rFonts w:ascii="Arial" w:cs="Arial" w:eastAsia="Arial" w:hAnsi="Arial"/>
          <w:sz w:val="22"/>
          <w:szCs w:val="22"/>
        </w:rPr>
        <w:t xml:space="preserve">Medium-High — popular in enterprise prompt libraries and marketing/content teams; gaining traction in GRC reporting contexts.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Effectiveness: </w:t>
      </w:r>
      <w:r>
        <w:rPr>
          <w:rFonts w:ascii="Arial" w:cs="Arial" w:eastAsia="Arial" w:hAnsi="Arial"/>
          <w:sz w:val="22"/>
          <w:szCs w:val="22"/>
        </w:rPr>
        <w:t xml:space="preserve">High — the explicit audience/tone/response fields materially improve output usability for stakeholder-facing deliverables (board decks, exec summaries).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(GRC context):</w:t>
      </w:r>
    </w:p>
    <w:p>
      <w:pPr>
        <w:shd w:fill="F2F2F2" w:val="clear"/>
        <w:spacing w:after="100"/>
        <w:ind w:left="3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Context: Board-level cyber risk committee meeting next week. Objective: Summarize Q3 vulnerability remediation trends. Style: Executive brief. Tone: Confident, non-alarmist. Audience: Board members, non-technical. Response format: 5 bullet points, each under 20 words.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RISE — Role / Input / Steps / Expectation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Components: </w:t>
      </w:r>
      <w:r>
        <w:rPr>
          <w:rFonts w:ascii="Arial" w:cs="Arial" w:eastAsia="Arial" w:hAnsi="Arial"/>
          <w:sz w:val="22"/>
          <w:szCs w:val="22"/>
        </w:rPr>
        <w:t xml:space="preserve">Adds an explicit "Steps" field pushing toward procedural output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Adoption: </w:t>
      </w:r>
      <w:r>
        <w:rPr>
          <w:rFonts w:ascii="Arial" w:cs="Arial" w:eastAsia="Arial" w:hAnsi="Arial"/>
          <w:sz w:val="22"/>
          <w:szCs w:val="22"/>
        </w:rPr>
        <w:t xml:space="preserve">Low — less common than CO-STAR/RTF but appears in procedural/technical prompt guides.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Effectiveness: </w:t>
      </w:r>
      <w:r>
        <w:rPr>
          <w:rFonts w:ascii="Arial" w:cs="Arial" w:eastAsia="Arial" w:hAnsi="Arial"/>
          <w:sz w:val="22"/>
          <w:szCs w:val="22"/>
        </w:rPr>
        <w:t xml:space="preserve">Medium — the explicit "Steps" field nudges toward structured reasoning, an advantage over ART/RTF for multi-step tasks.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(GRC context):</w:t>
      </w:r>
    </w:p>
    <w:p>
      <w:pPr>
        <w:shd w:fill="F2F2F2" w:val="clear"/>
        <w:spacing w:after="100"/>
        <w:ind w:left="3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Role: TPRM analyst. Input: Vendor risk questionnaire responses (attached). Steps: 1) Identify control gaps 2) Map to NIST CSF 2.0 subcategories 3) Assign risk rating. Expectation: Risk register entry, ready for QA review.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APE — Action / Purpose / Expectation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Components: </w:t>
      </w:r>
      <w:r>
        <w:rPr>
          <w:rFonts w:ascii="Arial" w:cs="Arial" w:eastAsia="Arial" w:hAnsi="Arial"/>
          <w:sz w:val="22"/>
          <w:szCs w:val="22"/>
        </w:rPr>
        <w:t xml:space="preserve">Action → Why → Desired outcome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Adoption: </w:t>
      </w:r>
      <w:r>
        <w:rPr>
          <w:rFonts w:ascii="Arial" w:cs="Arial" w:eastAsia="Arial" w:hAnsi="Arial"/>
          <w:sz w:val="22"/>
          <w:szCs w:val="22"/>
        </w:rPr>
        <w:t xml:space="preserve">Low — appears mainly in beginner tutorials.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Effectiveness: </w:t>
      </w:r>
      <w:r>
        <w:rPr>
          <w:rFonts w:ascii="Arial" w:cs="Arial" w:eastAsia="Arial" w:hAnsi="Arial"/>
          <w:sz w:val="22"/>
          <w:szCs w:val="22"/>
        </w:rPr>
        <w:t xml:space="preserve">Low-Medium — the "Purpose" field helps the model prioritize correctly, but the framework lacks a format/constraints field entirely.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(GRC context):</w:t>
      </w:r>
    </w:p>
    <w:p>
      <w:pPr>
        <w:shd w:fill="F2F2F2" w:val="clear"/>
        <w:spacing w:after="100"/>
        <w:ind w:left="3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Action: Review this vendor SOC 2 report. Purpose: Determine if it satisfies our TPRM due diligence requirement. Expectation: Pass/fail determination with rationale citing specific report sections.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CRISPE — Capacity/role / Insight / Statement / Personality / Experiment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Components: </w:t>
      </w:r>
      <w:r>
        <w:rPr>
          <w:rFonts w:ascii="Arial" w:cs="Arial" w:eastAsia="Arial" w:hAnsi="Arial"/>
          <w:sz w:val="22"/>
          <w:szCs w:val="22"/>
        </w:rPr>
        <w:t xml:space="preserve">Adds background context (Insight) and requests variations (Experiment)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Adoption: </w:t>
      </w:r>
      <w:r>
        <w:rPr>
          <w:rFonts w:ascii="Arial" w:cs="Arial" w:eastAsia="Arial" w:hAnsi="Arial"/>
          <w:sz w:val="22"/>
          <w:szCs w:val="22"/>
        </w:rPr>
        <w:t xml:space="preserve">Low-Medium — used in some enterprise prompt-engineering courses; less common in day-to-day practice.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Effectiveness: </w:t>
      </w:r>
      <w:r>
        <w:rPr>
          <w:rFonts w:ascii="Arial" w:cs="Arial" w:eastAsia="Arial" w:hAnsi="Arial"/>
          <w:sz w:val="22"/>
          <w:szCs w:val="22"/>
        </w:rPr>
        <w:t xml:space="preserve">Medium — the "Insight" (background context) field is genuinely useful; "Experiment" adds value when you want option sets rather than a single answer.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(GRC context):</w:t>
      </w:r>
    </w:p>
    <w:p>
      <w:pPr>
        <w:shd w:fill="F2F2F2" w:val="clear"/>
        <w:spacing w:after="100"/>
        <w:ind w:left="3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Capacity: ISO 27001 Lead Auditor. Insight: This is a first-time certification audit for a 200-person fintech. Statement: Draft three opening interview questions for the Annex A.5 (policies) domain. Personality: Direct, non-adversarial. Experiment: Provide two phrasing variants per question.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RACE — Role / Action / Context / Expectation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Components: </w:t>
      </w:r>
      <w:r>
        <w:rPr>
          <w:rFonts w:ascii="Arial" w:cs="Arial" w:eastAsia="Arial" w:hAnsi="Arial"/>
          <w:sz w:val="22"/>
          <w:szCs w:val="22"/>
        </w:rPr>
        <w:t xml:space="preserve">Similar to RISE/RTF with explicit Context field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Adoption: </w:t>
      </w:r>
      <w:r>
        <w:rPr>
          <w:rFonts w:ascii="Arial" w:cs="Arial" w:eastAsia="Arial" w:hAnsi="Arial"/>
          <w:sz w:val="22"/>
          <w:szCs w:val="22"/>
        </w:rPr>
        <w:t xml:space="preserve">Low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Effectiveness: </w:t>
      </w:r>
      <w:r>
        <w:rPr>
          <w:rFonts w:ascii="Arial" w:cs="Arial" w:eastAsia="Arial" w:hAnsi="Arial"/>
          <w:sz w:val="22"/>
          <w:szCs w:val="22"/>
        </w:rPr>
        <w:t xml:space="preserve">Medium — redundant with RTF/RISE; no unique advantage beyond explicit context framing.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(GRC context):</w:t>
      </w:r>
    </w:p>
    <w:p>
      <w:pPr>
        <w:shd w:fill="F2F2F2" w:val="clear"/>
        <w:spacing w:after="100"/>
        <w:ind w:left="3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Role: AI governance lead. Action: Assess this vendor's AI use case against NIST AI RMF. Context: Vendor provides an LLM-based customer service tool touching PII. Expectation: Risk tier recommendation (High/Medium/Low) with two-sentence justification.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TAG — Task / Action / Goal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Components: </w:t>
      </w:r>
      <w:r>
        <w:rPr>
          <w:rFonts w:ascii="Arial" w:cs="Arial" w:eastAsia="Arial" w:hAnsi="Arial"/>
          <w:sz w:val="22"/>
          <w:szCs w:val="22"/>
        </w:rPr>
        <w:t xml:space="preserve">Minimal three-part structure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Adoption: </w:t>
      </w:r>
      <w:r>
        <w:rPr>
          <w:rFonts w:ascii="Arial" w:cs="Arial" w:eastAsia="Arial" w:hAnsi="Arial"/>
          <w:sz w:val="22"/>
          <w:szCs w:val="22"/>
        </w:rPr>
        <w:t xml:space="preserve">Low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Effectiveness: </w:t>
      </w:r>
      <w:r>
        <w:rPr>
          <w:rFonts w:ascii="Arial" w:cs="Arial" w:eastAsia="Arial" w:hAnsi="Arial"/>
          <w:sz w:val="22"/>
          <w:szCs w:val="22"/>
        </w:rPr>
        <w:t xml:space="preserve">Low — too thin for GRC deliverables requiring format/tone control; best for very short, single-fact lookups.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(GRC context):</w:t>
      </w:r>
    </w:p>
    <w:p>
      <w:pPr>
        <w:shd w:fill="F2F2F2" w:val="clear"/>
        <w:spacing w:after="100"/>
        <w:ind w:left="3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Task: Review firewall change request. Action: Identify segregation-of-duties violations. Goal: Flag any change approved by the requestor themselves.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PECRA — Purpose / Expectation / Context / Request / Action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Components: </w:t>
      </w:r>
      <w:r>
        <w:rPr>
          <w:rFonts w:ascii="Arial" w:cs="Arial" w:eastAsia="Arial" w:hAnsi="Arial"/>
          <w:sz w:val="22"/>
          <w:szCs w:val="22"/>
        </w:rPr>
        <w:t xml:space="preserve">Five-part, front-loads intent before the task itself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Adoption: </w:t>
      </w:r>
      <w:r>
        <w:rPr>
          <w:rFonts w:ascii="Arial" w:cs="Arial" w:eastAsia="Arial" w:hAnsi="Arial"/>
          <w:sz w:val="22"/>
          <w:szCs w:val="22"/>
        </w:rPr>
        <w:t xml:space="preserve">Low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Effectiveness: </w:t>
      </w:r>
      <w:r>
        <w:rPr>
          <w:rFonts w:ascii="Arial" w:cs="Arial" w:eastAsia="Arial" w:hAnsi="Arial"/>
          <w:sz w:val="22"/>
          <w:szCs w:val="22"/>
        </w:rPr>
        <w:t xml:space="preserve">Medium — thorough but verbose relative to CO-STAR/ICIO for similar output quality.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(GRC context):</w:t>
      </w:r>
    </w:p>
    <w:p>
      <w:pPr>
        <w:shd w:fill="F2F2F2" w:val="clear"/>
        <w:spacing w:after="100"/>
        <w:ind w:left="3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Purpose: Prepare for an internal audit follow-up meeting. Expectation: Concise talking points. Context: 3 open findings from Q2 SOX walkthrough, all remediation on track. Request: Draft talking points defending remediation timeline. Action: Present in bullet form, 1 per finding.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ICIO — Instruction / Context / Input data / Output format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Components: </w:t>
      </w:r>
      <w:r>
        <w:rPr>
          <w:rFonts w:ascii="Arial" w:cs="Arial" w:eastAsia="Arial" w:hAnsi="Arial"/>
          <w:sz w:val="22"/>
          <w:szCs w:val="22"/>
        </w:rPr>
        <w:t xml:space="preserve">Separates the instruction from the raw input data explicitly — closest structure to how production LLM pipelines are actually engineered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Adoption: </w:t>
      </w:r>
      <w:r>
        <w:rPr>
          <w:rFonts w:ascii="Arial" w:cs="Arial" w:eastAsia="Arial" w:hAnsi="Arial"/>
          <w:sz w:val="22"/>
          <w:szCs w:val="22"/>
        </w:rPr>
        <w:t xml:space="preserve">Medium — the dominant pattern in enterprise prompt libraries and system-prompt design for production applications (this pattern underlies most API-based pipelines, including scoring/enrichment workflows).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Effectiveness: </w:t>
      </w:r>
      <w:r>
        <w:rPr>
          <w:rFonts w:ascii="Arial" w:cs="Arial" w:eastAsia="Arial" w:hAnsi="Arial"/>
          <w:sz w:val="22"/>
          <w:szCs w:val="22"/>
        </w:rPr>
        <w:t xml:space="preserve">High — separating instruction from input data reduces prompt injection risk and improves parseability, which matters directly for automated pipelines writing to structured stores (e.g., Notion databases).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(GRC context):</w:t>
      </w:r>
    </w:p>
    <w:p>
      <w:pPr>
        <w:shd w:fill="F2F2F2" w:val="clear"/>
        <w:spacing w:after="100"/>
        <w:ind w:left="3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Instruction: Score this job posting's fit against the candidate profile. Context: Candidate has 12 years GRC/Cyber/PM experience across financial services and healthcare. Input data: [job posting text]. Output format: JSON with fields match_score (0-100), rationale, missing_keywords.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CIDI — Context / Instruction / Details / Input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Components: </w:t>
      </w:r>
      <w:r>
        <w:rPr>
          <w:rFonts w:ascii="Arial" w:cs="Arial" w:eastAsia="Arial" w:hAnsi="Arial"/>
          <w:sz w:val="22"/>
          <w:szCs w:val="22"/>
        </w:rPr>
        <w:t xml:space="preserve">Reorders ICIO slightly, background before instruction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Adoption: </w:t>
      </w:r>
      <w:r>
        <w:rPr>
          <w:rFonts w:ascii="Arial" w:cs="Arial" w:eastAsia="Arial" w:hAnsi="Arial"/>
          <w:sz w:val="22"/>
          <w:szCs w:val="22"/>
        </w:rPr>
        <w:t xml:space="preserve">Low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Effectiveness: </w:t>
      </w:r>
      <w:r>
        <w:rPr>
          <w:rFonts w:ascii="Arial" w:cs="Arial" w:eastAsia="Arial" w:hAnsi="Arial"/>
          <w:sz w:val="22"/>
          <w:szCs w:val="22"/>
        </w:rPr>
        <w:t xml:space="preserve">Medium — functionally equivalent to ICIO; no meaningful differentiation.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(GRC context):</w:t>
      </w:r>
    </w:p>
    <w:p>
      <w:pPr>
        <w:shd w:fill="F2F2F2" w:val="clear"/>
        <w:spacing w:after="100"/>
        <w:ind w:left="3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Context: This is a HIPAA risk assessment for a healthcare SaaS vendor. Instruction: Identify gaps against the Security Rule. Details: Focus only on technical safeguards (§164.312). Input: [vendor security documentation].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SPEAR — Situation / Problem / Expectation / Action / Result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Components: </w:t>
      </w:r>
      <w:r>
        <w:rPr>
          <w:rFonts w:ascii="Arial" w:cs="Arial" w:eastAsia="Arial" w:hAnsi="Arial"/>
          <w:sz w:val="22"/>
          <w:szCs w:val="22"/>
        </w:rPr>
        <w:t xml:space="preserve">Mirrors the STAR interview format, adapted for prompting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Adoption: </w:t>
      </w:r>
      <w:r>
        <w:rPr>
          <w:rFonts w:ascii="Arial" w:cs="Arial" w:eastAsia="Arial" w:hAnsi="Arial"/>
          <w:sz w:val="22"/>
          <w:szCs w:val="22"/>
        </w:rPr>
        <w:t xml:space="preserve">Low — mostly seen in prompting content aimed at recruiters/HR, given its STAR lineage.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Effectiveness: </w:t>
      </w:r>
      <w:r>
        <w:rPr>
          <w:rFonts w:ascii="Arial" w:cs="Arial" w:eastAsia="Arial" w:hAnsi="Arial"/>
          <w:sz w:val="22"/>
          <w:szCs w:val="22"/>
        </w:rPr>
        <w:t xml:space="preserve">Medium — narrative framing works well for incident/root-cause style write-ups; less suited to structured data extraction.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(GRC context):</w:t>
      </w:r>
    </w:p>
    <w:p>
      <w:pPr>
        <w:shd w:fill="F2F2F2" w:val="clear"/>
        <w:spacing w:after="100"/>
        <w:ind w:left="3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Situation: Vendor missed a 30-day remediation SLA. Problem: Determine root cause from ticket history. Expectation: One-paragraph root cause summary. Action: Analyze the attached ticket log. Result: Include a recommendation to prevent recurrence.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PAS — Problem / Agitate / Solution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Components: </w:t>
      </w:r>
      <w:r>
        <w:rPr>
          <w:rFonts w:ascii="Arial" w:cs="Arial" w:eastAsia="Arial" w:hAnsi="Arial"/>
          <w:sz w:val="22"/>
          <w:szCs w:val="22"/>
        </w:rPr>
        <w:t xml:space="preserve">Persuasive copywriting structure, not analytical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Adoption: </w:t>
      </w:r>
      <w:r>
        <w:rPr>
          <w:rFonts w:ascii="Arial" w:cs="Arial" w:eastAsia="Arial" w:hAnsi="Arial"/>
          <w:sz w:val="22"/>
          <w:szCs w:val="22"/>
        </w:rPr>
        <w:t xml:space="preserve">Niche — common in marketing/sales prompt libraries; rarely used for GRC deliverables.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Effectiveness: </w:t>
      </w:r>
      <w:r>
        <w:rPr>
          <w:rFonts w:ascii="Arial" w:cs="Arial" w:eastAsia="Arial" w:hAnsi="Arial"/>
          <w:sz w:val="22"/>
          <w:szCs w:val="22"/>
        </w:rPr>
        <w:t xml:space="preserve">Low for GRC — the "Agitate" step is emotionally persuasive framing, generally inappropriate for audit-toned or factual compliance writing. Useful only for stakeholder buy-in narratives (e.g., pitching a control investment).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(GRC context):</w:t>
      </w:r>
    </w:p>
    <w:p>
      <w:pPr>
        <w:shd w:fill="F2F2F2" w:val="clear"/>
        <w:spacing w:after="100"/>
        <w:ind w:left="3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Problem: Manual TPRM reviews take 3 weeks. Agitate: Delays push vendor onboarding past business deadlines and increase shadow-IT risk. Solution: Propose an automated tiering workflow to cut review time to 5 days.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GRADE — Goal / Role / Action / Details / Example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Components: </w:t>
      </w:r>
      <w:r>
        <w:rPr>
          <w:rFonts w:ascii="Arial" w:cs="Arial" w:eastAsia="Arial" w:hAnsi="Arial"/>
          <w:sz w:val="22"/>
          <w:szCs w:val="22"/>
        </w:rPr>
        <w:t xml:space="preserve">Adds an explicit example field to a role/task structure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Adoption: </w:t>
      </w:r>
      <w:r>
        <w:rPr>
          <w:rFonts w:ascii="Arial" w:cs="Arial" w:eastAsia="Arial" w:hAnsi="Arial"/>
          <w:sz w:val="22"/>
          <w:szCs w:val="22"/>
        </w:rPr>
        <w:t xml:space="preserve">Low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Effectiveness: </w:t>
      </w:r>
      <w:r>
        <w:rPr>
          <w:rFonts w:ascii="Arial" w:cs="Arial" w:eastAsia="Arial" w:hAnsi="Arial"/>
          <w:sz w:val="22"/>
          <w:szCs w:val="22"/>
        </w:rPr>
        <w:t xml:space="preserve">Medium-High when the Example field is actually used — providing a real example output is one of the highest-leverage prompting techniques regardless of framework.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(GRC context):</w:t>
      </w:r>
    </w:p>
    <w:p>
      <w:pPr>
        <w:shd w:fill="F2F2F2" w:val="clear"/>
        <w:spacing w:after="100"/>
        <w:ind w:left="3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Goal: Produce a board-ready risk heat map narrative. Role: CISO advisor. Action: Summarize top 5 enterprise risks. Details: Use Likelihood x Impact scoring, 1-5 scale. Example: [attach a prior quarter's heat map narrative as style reference].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Reasoning-Pattern Frameworks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Unlike structural frameworks, these govern how the model reasons through a problem — not just how the prompt is phrased. This category has stronger empirical grounding in the prompt-engineering literature and tends to produce the largest quality gains for complex, judgment-heavy tasks (e.g., risk scoring, control gap analysis, root-cause determination).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Chain-of-Thought (CoT)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Components: </w:t>
      </w:r>
      <w:r>
        <w:rPr>
          <w:rFonts w:ascii="Arial" w:cs="Arial" w:eastAsia="Arial" w:hAnsi="Arial"/>
          <w:sz w:val="22"/>
          <w:szCs w:val="22"/>
        </w:rPr>
        <w:t xml:space="preserve">Explicit instruction to reason step-by-step before producing a final answer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Adoption: </w:t>
      </w:r>
      <w:r>
        <w:rPr>
          <w:rFonts w:ascii="Arial" w:cs="Arial" w:eastAsia="Arial" w:hAnsi="Arial"/>
          <w:sz w:val="22"/>
          <w:szCs w:val="22"/>
        </w:rPr>
        <w:t xml:space="preserve">High — default technique in nearly all production LLM reasoning tasks.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Effectiveness: </w:t>
      </w:r>
      <w:r>
        <w:rPr>
          <w:rFonts w:ascii="Arial" w:cs="Arial" w:eastAsia="Arial" w:hAnsi="Arial"/>
          <w:sz w:val="22"/>
          <w:szCs w:val="22"/>
        </w:rPr>
        <w:t xml:space="preserve">High — consistently improves accuracy on multi-factor judgment tasks; the main cost is verbosity/token spend if the reasoning trace isn't hidden or summarized.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(GRC context):</w:t>
      </w:r>
    </w:p>
    <w:p>
      <w:pPr>
        <w:shd w:fill="F2F2F2" w:val="clear"/>
        <w:spacing w:after="100"/>
        <w:ind w:left="3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Before scoring this vendor's residual risk, walk through: (1) inherent risk factors, (2) control effectiveness evidence, (3) any compensating controls. Then provide the final risk tier.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Few-Shot Prompting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Components: </w:t>
      </w:r>
      <w:r>
        <w:rPr>
          <w:rFonts w:ascii="Arial" w:cs="Arial" w:eastAsia="Arial" w:hAnsi="Arial"/>
          <w:sz w:val="22"/>
          <w:szCs w:val="22"/>
        </w:rPr>
        <w:t xml:space="preserve">Provide 2-5 example input/output pairs before the actual task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Adoption: </w:t>
      </w:r>
      <w:r>
        <w:rPr>
          <w:rFonts w:ascii="Arial" w:cs="Arial" w:eastAsia="Arial" w:hAnsi="Arial"/>
          <w:sz w:val="22"/>
          <w:szCs w:val="22"/>
        </w:rPr>
        <w:t xml:space="preserve">High — standard technique for structured/repeatable outputs (resumes, control narratives, classification tasks).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Effectiveness: </w:t>
      </w:r>
      <w:r>
        <w:rPr>
          <w:rFonts w:ascii="Arial" w:cs="Arial" w:eastAsia="Arial" w:hAnsi="Arial"/>
          <w:sz w:val="22"/>
          <w:szCs w:val="22"/>
        </w:rPr>
        <w:t xml:space="preserve">High — one of the most reliable levers for matching a specific house style or format (e.g., Big4 audit tone, WHO-format bullets); more effective than any structural acronym alone.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(GRC context):</w:t>
      </w:r>
    </w:p>
    <w:p>
      <w:pPr>
        <w:shd w:fill="F2F2F2" w:val="clear"/>
        <w:spacing w:after="100"/>
        <w:ind w:left="3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Here are two examples of prior control-gap write-ups [examples]. Now write one for this new finding: [finding details].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Tree-of-Thought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Components: </w:t>
      </w:r>
      <w:r>
        <w:rPr>
          <w:rFonts w:ascii="Arial" w:cs="Arial" w:eastAsia="Arial" w:hAnsi="Arial"/>
          <w:sz w:val="22"/>
          <w:szCs w:val="22"/>
        </w:rPr>
        <w:t xml:space="preserve">Model explores multiple candidate reasoning paths/branches, evaluates them, then converges on the best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Adoption: </w:t>
      </w:r>
      <w:r>
        <w:rPr>
          <w:rFonts w:ascii="Arial" w:cs="Arial" w:eastAsia="Arial" w:hAnsi="Arial"/>
          <w:sz w:val="22"/>
          <w:szCs w:val="22"/>
        </w:rPr>
        <w:t xml:space="preserve">Low-Medium — more common in research and advanced agentic systems than everyday prompting; higher token/latency cost limits routine use.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Effectiveness: </w:t>
      </w:r>
      <w:r>
        <w:rPr>
          <w:rFonts w:ascii="Arial" w:cs="Arial" w:eastAsia="Arial" w:hAnsi="Arial"/>
          <w:sz w:val="22"/>
          <w:szCs w:val="22"/>
        </w:rPr>
        <w:t xml:space="preserve">High for genuinely ambiguous, multi-hypothesis problems (e.g., root-cause analysis with competing explanations); overkill for simple tasks.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(GRC context):</w:t>
      </w:r>
    </w:p>
    <w:p>
      <w:pPr>
        <w:shd w:fill="F2F2F2" w:val="clear"/>
        <w:spacing w:after="100"/>
        <w:ind w:left="3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Evaluate three possible root causes for this repeat audit finding independently, weigh the evidence for each, then recommend the most likely cause and remediation.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ReAct (Reasoning + Acting)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Components: </w:t>
      </w:r>
      <w:r>
        <w:rPr>
          <w:rFonts w:ascii="Arial" w:cs="Arial" w:eastAsia="Arial" w:hAnsi="Arial"/>
          <w:sz w:val="22"/>
          <w:szCs w:val="22"/>
        </w:rPr>
        <w:t xml:space="preserve">Interleaves reasoning steps with tool calls/actions, observing results before continuing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Adoption: </w:t>
      </w:r>
      <w:r>
        <w:rPr>
          <w:rFonts w:ascii="Arial" w:cs="Arial" w:eastAsia="Arial" w:hAnsi="Arial"/>
          <w:sz w:val="22"/>
          <w:szCs w:val="22"/>
        </w:rPr>
        <w:t xml:space="preserve">High — the dominant pattern underlying agentic tools (including this session's own tool-use loop).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Effectiveness: </w:t>
      </w:r>
      <w:r>
        <w:rPr>
          <w:rFonts w:ascii="Arial" w:cs="Arial" w:eastAsia="Arial" w:hAnsi="Arial"/>
          <w:sz w:val="22"/>
          <w:szCs w:val="22"/>
        </w:rPr>
        <w:t xml:space="preserve">High — essential wherever a task requires retrieving current/external information (e.g., verifying a vendor's current certification status) rather than answering from static knowledge.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(GRC context):</w:t>
      </w:r>
    </w:p>
    <w:p>
      <w:pPr>
        <w:shd w:fill="F2F2F2" w:val="clear"/>
        <w:spacing w:after="100"/>
        <w:ind w:left="3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Determine this vendor's current SOC 2 status: reason about what needs verifying, search for the current auditor's report, observe the result, then reason again before concluding.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Self-Consistency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Components: </w:t>
      </w:r>
      <w:r>
        <w:rPr>
          <w:rFonts w:ascii="Arial" w:cs="Arial" w:eastAsia="Arial" w:hAnsi="Arial"/>
          <w:sz w:val="22"/>
          <w:szCs w:val="22"/>
        </w:rPr>
        <w:t xml:space="preserve">Run the same reasoning task multiple times with varied reasoning paths; take the majority or most consistent result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Adoption: </w:t>
      </w:r>
      <w:r>
        <w:rPr>
          <w:rFonts w:ascii="Arial" w:cs="Arial" w:eastAsia="Arial" w:hAnsi="Arial"/>
          <w:sz w:val="22"/>
          <w:szCs w:val="22"/>
        </w:rPr>
        <w:t xml:space="preserve">Medium — used for high-stakes or numeric determinations where a single reasoning pass may be unreliable.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Effectiveness: </w:t>
      </w:r>
      <w:r>
        <w:rPr>
          <w:rFonts w:ascii="Arial" w:cs="Arial" w:eastAsia="Arial" w:hAnsi="Arial"/>
          <w:sz w:val="22"/>
          <w:szCs w:val="22"/>
        </w:rPr>
        <w:t xml:space="preserve">High for reducing variance on borderline judgment calls (e.g., risk rating disputes); costly to run for routine tasks.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(GRC context):</w:t>
      </w:r>
    </w:p>
    <w:p>
      <w:pPr>
        <w:shd w:fill="F2F2F2" w:val="clear"/>
        <w:spacing w:after="100"/>
        <w:ind w:left="3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Independently assess this finding's severity three times using different reasoning approaches, then report the consensus rating and flag if the three assessments disagreed.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Least-to-Most Prompting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Components: </w:t>
      </w:r>
      <w:r>
        <w:rPr>
          <w:rFonts w:ascii="Arial" w:cs="Arial" w:eastAsia="Arial" w:hAnsi="Arial"/>
          <w:sz w:val="22"/>
          <w:szCs w:val="22"/>
        </w:rPr>
        <w:t xml:space="preserve">Decompose a complex problem into ordered subproblems; solve each in sequence, feeding prior answers forward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Adoption: </w:t>
      </w:r>
      <w:r>
        <w:rPr>
          <w:rFonts w:ascii="Arial" w:cs="Arial" w:eastAsia="Arial" w:hAnsi="Arial"/>
          <w:sz w:val="22"/>
          <w:szCs w:val="22"/>
        </w:rPr>
        <w:t xml:space="preserve">Medium — common in complex compliance mapping and multi-framework crosswalk exercises.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Effectiveness: </w:t>
      </w:r>
      <w:r>
        <w:rPr>
          <w:rFonts w:ascii="Arial" w:cs="Arial" w:eastAsia="Arial" w:hAnsi="Arial"/>
          <w:sz w:val="22"/>
          <w:szCs w:val="22"/>
        </w:rPr>
        <w:t xml:space="preserve">High for genuinely multi-step tasks (framework crosswalks, phased assessments); unnecessary overhead for single-step questions.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(GRC context):</w:t>
      </w:r>
    </w:p>
    <w:p>
      <w:pPr>
        <w:shd w:fill="F2F2F2" w:val="clear"/>
        <w:spacing w:after="100"/>
        <w:ind w:left="3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First, list every ITGC domain relevant to this ERP migration. Second, for each domain, identify the specific control objective. Third, map each objective to test procedures.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Reflexion / Self-Critique Prompting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Components: </w:t>
      </w:r>
      <w:r>
        <w:rPr>
          <w:rFonts w:ascii="Arial" w:cs="Arial" w:eastAsia="Arial" w:hAnsi="Arial"/>
          <w:sz w:val="22"/>
          <w:szCs w:val="22"/>
        </w:rPr>
        <w:t xml:space="preserve">Model produces a draft, is then prompted to critique its own output against a rubric, and revises before finalizing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Adoption: </w:t>
      </w:r>
      <w:r>
        <w:rPr>
          <w:rFonts w:ascii="Arial" w:cs="Arial" w:eastAsia="Arial" w:hAnsi="Arial"/>
          <w:sz w:val="22"/>
          <w:szCs w:val="22"/>
        </w:rPr>
        <w:t xml:space="preserve">Medium-High — increasingly standard in multi-agent pipelines that include a dedicated critique/QA step.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Effectiveness: </w:t>
      </w:r>
      <w:r>
        <w:rPr>
          <w:rFonts w:ascii="Arial" w:cs="Arial" w:eastAsia="Arial" w:hAnsi="Arial"/>
          <w:sz w:val="22"/>
          <w:szCs w:val="22"/>
        </w:rPr>
        <w:t xml:space="preserve">High — directly analogous to a QA review step in an audit workflow; catches tone, fabrication, and constraint violations before a human ever sees the draft.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(GRC context):</w:t>
      </w:r>
    </w:p>
    <w:p>
      <w:pPr>
        <w:shd w:fill="F2F2F2" w:val="clear"/>
        <w:spacing w:after="100"/>
        <w:ind w:left="3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Draft the control narrative. Then critique it against these criteria: (1) no fabricated evidence references, (2) audit-appropriate tone, (3) under 150 words. Revise based on the critique.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Meta / Orchestration Approaches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These are not single-prompt frameworks — they govern how multiple prompts or specialized agents are sequenced to complete a larger workflow.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Prompt Chaining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Components: </w:t>
      </w:r>
      <w:r>
        <w:rPr>
          <w:rFonts w:ascii="Arial" w:cs="Arial" w:eastAsia="Arial" w:hAnsi="Arial"/>
          <w:sz w:val="22"/>
          <w:szCs w:val="22"/>
        </w:rPr>
        <w:t xml:space="preserve">Break a complex task into a sequence of prompts, where each output becomes the next input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Adoption: </w:t>
      </w:r>
      <w:r>
        <w:rPr>
          <w:rFonts w:ascii="Arial" w:cs="Arial" w:eastAsia="Arial" w:hAnsi="Arial"/>
          <w:sz w:val="22"/>
          <w:szCs w:val="22"/>
        </w:rPr>
        <w:t xml:space="preserve">High — standard architecture for production LLM applications and internal automation pipelines.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Effectiveness: </w:t>
      </w:r>
      <w:r>
        <w:rPr>
          <w:rFonts w:ascii="Arial" w:cs="Arial" w:eastAsia="Arial" w:hAnsi="Arial"/>
          <w:sz w:val="22"/>
          <w:szCs w:val="22"/>
        </w:rPr>
        <w:t xml:space="preserve">High — reduces the cognitive load on any single prompt, improves auditability (each step's output is inspectable), and allows targeted fixes when one stage underperforms.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(GRC context):</w:t>
      </w:r>
    </w:p>
    <w:p>
      <w:pPr>
        <w:shd w:fill="F2F2F2" w:val="clear"/>
        <w:spacing w:after="100"/>
        <w:ind w:left="3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Step 1 prompt: Extract job requirements. Step 2 prompt: Compare requirements against candidate profile. Step 3 prompt: Draft tailored resume bullets. Step 4 prompt: Critique bullets for tone and fabrication.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Multi-Agent Orchestration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Components: </w:t>
      </w:r>
      <w:r>
        <w:rPr>
          <w:rFonts w:ascii="Arial" w:cs="Arial" w:eastAsia="Arial" w:hAnsi="Arial"/>
          <w:sz w:val="22"/>
          <w:szCs w:val="22"/>
        </w:rPr>
        <w:t xml:space="preserve">Distinct agents, each with a narrow role, coordinated through a pipeline (intake, analysis, drafting, critique, sync)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Adoption: </w:t>
      </w:r>
      <w:r>
        <w:rPr>
          <w:rFonts w:ascii="Arial" w:cs="Arial" w:eastAsia="Arial" w:hAnsi="Arial"/>
          <w:sz w:val="22"/>
          <w:szCs w:val="22"/>
        </w:rPr>
        <w:t xml:space="preserve">Medium-High and growing — this is the architecture underlying most serious agentic tooling in 2025-2026, including multi-agent resume-tailoring and job-scoring pipelines.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Effectiveness: </w:t>
      </w:r>
      <w:r>
        <w:rPr>
          <w:rFonts w:ascii="Arial" w:cs="Arial" w:eastAsia="Arial" w:hAnsi="Arial"/>
          <w:sz w:val="22"/>
          <w:szCs w:val="22"/>
        </w:rPr>
        <w:t xml:space="preserve">High for complex, multi-stakeholder workflows with quality gates; adds engineering overhead (state management, storage config) not justified for simple one-off tasks.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(GRC context):</w:t>
      </w:r>
    </w:p>
    <w:p>
      <w:pPr>
        <w:shd w:fill="F2F2F2" w:val="clear"/>
        <w:spacing w:after="100"/>
        <w:ind w:left="3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Intake agent parses the job posting → Analyzer agent scores fit against the profile → Writer agent drafts the resume/cover letter → Critique agent flags AI-sounding phrasing or fabricated metrics → Sync agent writes results to the tracking database.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Industry Adoption vs. Effectiveness — Summary Assessment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Ranking frameworks by where adoption and effectiveness both run high — these represent the best return on effort for enterprise GRC/Cyber prompting work.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900"/>
        <w:gridCol w:w="2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5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Frameworks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1 — High adoption, high effectiveness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Chain-of-Thought, Few-Shot Prompting, ReAct, Prompt Chaining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Empirically validated, low overhead, directly applicable to both single prompts and production pipelines.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2 — Growing adoption, high effectiveness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Reflexion/Self-Critique, Multi-Agent Orchestration, ICIO, CO-STAR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quality gains for structured, audit-grade, or multi-stakeholder deliverables; require more setup than Tier 1.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3 — Situational, high effectiveness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Tree-of-Thought, Self-Consistency, Least-to-Most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value for genuinely ambiguous, high-stakes, or multi-step problems; unnecessary cost/latency for routine tasks.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4 — Common but low ceiling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ART, RTF, RACE, PECRA, TAG, RISE, APE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Fine for quick one-off prompts; do not scale to complex, structured, or audit-defensible deliverables on their own.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5 — Niche / limited GRC applicability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PAS, CRISPE (Experiment field), SPEAR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 for persuasive/marketing or narrative contexts; use selectively, not as defaults for compliance writing.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1F3864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Recommendations for GRC / Cyber Governance 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Default to ICIO or CO-STAR for structuring one-off prompts that produce stakeholder-facing deliverables (board summaries, control narratives) — the explicit output-format field matters more than which acronym is used.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Chain-of-Thought explicitly for any judgment call that affects a risk rating, audit finding severity, or control effectiveness conclusion — do not rely on the model's default reasoning depth for anything defensible in an audit trail.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Few-Shot examples whenever house style, tone, or a specific format (e.g., Big4 audit tone, WHO-format bullets) must be matched consistently across many outputs.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Reflexion/self-critique as a mandatory pipeline stage for any output that will be sent externally or relied upon for a compliance determination — treat it as the AI-equivalent of a QA reviewer.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Reserve Tree-of-Thought and Self-Consistency for genuinely contested or high-stakes calls (e.g., disputed risk ratings, root-cause analysis with multiple plausible explanations) — the added latency and cost are not justified for routine tasks.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any multi-step workflow (resume tailoring, job scoring, control-gap crosswalks), prefer Prompt Chaining or Multi-Agent Orchestration over a single mega-prompt — it improves auditability, since each stage's output can be inspected independently.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Bottom line: the acronym you choose for a single prompt matters far less than whether you (1) specify an explicit output schema, (2) require step-by-step reasoning for judgment calls, and (3) add a self-critique or QA stage before any compliance-relevant output is finalized.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2026-09-09T03:03:37.604Z</dcterms:created>
  <dcterms:modified xsi:type="dcterms:W3CDTF">2026-09-09T03:03:37.604Z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