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160"/>
      </w:pPr>
      <w:r>
        <w:rPr>
          <w:rFonts w:ascii="Aptos Display" w:hAnsi="Aptos Display"/>
          <w:b/>
          <w:color w:val="149B8C"/>
          <w:sz w:val="32"/>
        </w:rPr>
        <w:t>PX-057</w:t>
      </w:r>
    </w:p>
    <w:p>
      <w:pPr>
        <w:pStyle w:val="Title"/>
      </w:pPr>
      <w:r>
        <w:t>Adaptive Stopping to Prevent</w:t>
        <w:br/>
        <w:t>LLM Overthinking</w:t>
      </w:r>
    </w:p>
    <w:p>
      <w:pPr>
        <w:pStyle w:val="Subtitle"/>
        <w:spacing w:after="520"/>
      </w:pPr>
      <w:r>
        <w:t>A preregistered Gate 2 evaluation of answer stability, uncertainty, and compute-aware early stopping</w:t>
      </w:r>
    </w:p>
    <w:tbl>
      <w:tblPr>
        <w:tblW w:type="auto" w:w="0"/>
        <w:jc w:val="left"/>
        <w:tblLayout w:type="fixed"/>
        <w:tblLook w:firstColumn="1" w:firstRow="1" w:lastColumn="0" w:lastRow="0" w:noHBand="0" w:noVBand="1" w:val="04A0"/>
      </w:tblPr>
      <w:tblGrid>
        <w:gridCol w:w="9432"/>
      </w:tblGrid>
      <w:tr>
        <w:tc>
          <w:tcPr>
            <w:tcW w:type="dxa" w:w="9936"/>
            <w:shd w:fill="16324F"/>
            <w:vAlign w:val="center"/>
          </w:tcPr>
          <w:p>
            <w:pPr>
              <w:spacing w:after="0"/>
            </w:pPr>
            <w:r/>
            <w:r>
              <w:rPr>
                <w:rFonts w:ascii="Aptos" w:hAnsi="Aptos"/>
                <w:b/>
                <w:color w:val="FFFFFF"/>
                <w:sz w:val="24"/>
              </w:rPr>
              <w:t>FINAL PRAXIS PAPER  /  VALID POSITIVE RESULT</w:t>
            </w:r>
          </w:p>
        </w:tc>
      </w:tr>
    </w:tbl>
    <w:p>
      <w:pPr>
        <w:spacing w:before="520"/>
      </w:pPr>
      <w:r>
        <w:rPr>
          <w:b/>
        </w:rPr>
        <w:t>Prepared by Gary Pagan</w:t>
        <w:br/>
      </w:r>
      <w:r>
        <w:t>Final evidence date: July 24, 2026</w:t>
        <w:br/>
      </w:r>
      <w:r>
        <w:t>Experiment stage: Gate 2 complete; H1-H3 passed; H4 transfer pending</w:t>
      </w:r>
    </w:p>
    <w:p>
      <w:pPr>
        <w:spacing w:before="760"/>
      </w:pPr>
      <w:r>
        <w:rPr>
          <w:color w:val="566573"/>
          <w:sz w:val="18"/>
        </w:rPr>
        <w:t>CLAIM BOUNDARY</w:t>
        <w:br/>
        <w:t>This document reports one frozen 200-item GSM8K sample, Qwen2.5-7B-Instruct, and one eight-round iterative prompting protocol. It does not claim cross-model, cross-domain, or large-scale robustness.</w:t>
      </w:r>
    </w:p>
    <w:p>
      <w:r>
        <w:br w:type="page"/>
      </w:r>
    </w:p>
    <w:p>
      <w:pPr>
        <w:spacing w:before="40" w:after="40"/>
      </w:pPr>
      <w:r>
        <w:rPr>
          <w:b/>
          <w:color w:val="149B8C"/>
          <w:sz w:val="16"/>
        </w:rPr>
        <w:t>ABSTRACT</w:t>
      </w:r>
    </w:p>
    <w:p>
      <w:r>
        <w:t>Extended test-time reasoning can improve difficult answers, but it can also cause a model to abandon a correct answer. PX-057 tested whether a frozen adaptive stopping rule could preserve accuracy while reducing generated-token use. The experiment evaluated 200 deterministically sampled GSM8K test questions with Qwen2.5-7B-Instruct under eight sequential reconsideration rounds. The primary policy stopped after round 2 when the normalized answer remained stable for two consecutive rounds and both rounds exceeded a mean-token-probability proxy of 0.05; otherwise it continued through round 8. The independent completeness audit verified 200 unique questions, 200 complete traces, 1,600 unique question-round generations, the frozen dataset hash, and the registered model identity. Adaptive accuracy was 91.0%, compared with 61.5% for fixed-long inference and 88.0% for fixed-short inference. The policy saved 66.5% of generated tokens on average (bootstrap 95% CI 63.7%-69.1%), prevented 60 of 67 observed correct-to-wrong events (89.6%; bootstrap 95% CI 82.1%-95.5%), and harmed 1 of 200 questions (0.5%). All preregistered H1-H3 gates passed. However, adaptive stopping tied the answer-stability control, so the confidence condition did not add observable accuracy in this setting. The result supports a bounded deployment proposition for this model, sample, and prompting protocol; cross-model and cross-domain transfer (H4) remains untested.</w:t>
      </w:r>
    </w:p>
    <w:p>
      <w:pPr>
        <w:spacing w:before="40" w:after="40"/>
      </w:pPr>
      <w:r>
        <w:rPr>
          <w:b/>
          <w:color w:val="149B8C"/>
          <w:sz w:val="16"/>
        </w:rPr>
        <w:t>KEYWORDS</w:t>
      </w:r>
    </w:p>
    <w:p>
      <w:r>
        <w:t>large language models; test-time compute; adaptive stopping; overthinking; GSM8K; reproducible evaluation</w:t>
      </w:r>
    </w:p>
    <w:p>
      <w:pPr>
        <w:pStyle w:val="Heading1"/>
      </w:pPr>
      <w:r>
        <w:t>1. Executive Finding</w:t>
      </w:r>
    </w:p>
    <w:p>
      <w:r>
        <w:t>PX-057 is a valid positive Gate 2 result. The strongest demonstrated fact is not that all LLM reasoning should stop early; it is that repeatedly prompting this model to reconsider the same GSM8K answer through eight rounds caused substantial correct-to-wrong degradation, and a preregistered early stability gate avoided most of it.</w:t>
      </w:r>
    </w:p>
    <w:tbl>
      <w:tblPr>
        <w:tblStyle w:val="TableGrid"/>
        <w:tblW w:type="auto" w:w="0"/>
        <w:jc w:val="center"/>
        <w:tblLayout w:type="fixed"/>
        <w:tblLook w:firstColumn="1" w:firstRow="1" w:lastColumn="0" w:lastRow="0" w:noHBand="0" w:noVBand="1" w:val="04A0"/>
      </w:tblPr>
      <w:tblGrid>
        <w:gridCol w:w="1944"/>
        <w:gridCol w:w="2232"/>
        <w:gridCol w:w="5256"/>
      </w:tblGrid>
      <w:tr>
        <w:trPr>
          <w:tblHeader w:val="true"/>
        </w:trPr>
        <w:tc>
          <w:tcPr>
            <w:tcW w:type="dxa" w:w="3312"/>
            <w:shd w:fill="16324F"/>
            <w:vAlign w:val="center"/>
          </w:tcPr>
          <w:p>
            <w:pPr>
              <w:spacing w:after="0"/>
            </w:pPr>
            <w:r/>
            <w:r>
              <w:rPr>
                <w:rFonts w:ascii="Aptos" w:hAnsi="Aptos"/>
                <w:b/>
                <w:color w:val="FFFFFF"/>
                <w:sz w:val="16"/>
              </w:rPr>
              <w:t>Decision dimension</w:t>
            </w:r>
          </w:p>
        </w:tc>
        <w:tc>
          <w:tcPr>
            <w:tcW w:type="dxa" w:w="3312"/>
            <w:shd w:fill="16324F"/>
            <w:vAlign w:val="center"/>
          </w:tcPr>
          <w:p>
            <w:pPr>
              <w:spacing w:after="0"/>
            </w:pPr>
            <w:r/>
            <w:r>
              <w:rPr>
                <w:rFonts w:ascii="Aptos" w:hAnsi="Aptos"/>
                <w:b/>
                <w:color w:val="FFFFFF"/>
                <w:sz w:val="16"/>
              </w:rPr>
              <w:t>Observed result</w:t>
            </w:r>
          </w:p>
        </w:tc>
        <w:tc>
          <w:tcPr>
            <w:tcW w:type="dxa" w:w="3312"/>
            <w:shd w:fill="16324F"/>
            <w:vAlign w:val="center"/>
          </w:tcPr>
          <w:p>
            <w:pPr>
              <w:spacing w:after="0"/>
            </w:pPr>
            <w:r/>
            <w:r>
              <w:rPr>
                <w:rFonts w:ascii="Aptos" w:hAnsi="Aptos"/>
                <w:b/>
                <w:color w:val="FFFFFF"/>
                <w:sz w:val="16"/>
              </w:rPr>
              <w:t>Interpretation</w:t>
            </w:r>
          </w:p>
        </w:tc>
      </w:tr>
      <w:tr>
        <w:tc>
          <w:tcPr>
            <w:tcW w:type="dxa" w:w="1944"/>
            <w:vAlign w:val="center"/>
          </w:tcPr>
          <w:p>
            <w:pPr>
              <w:spacing w:after="0"/>
            </w:pPr>
            <w:r/>
            <w:r>
              <w:rPr>
                <w:rFonts w:ascii="Aptos" w:hAnsi="Aptos"/>
                <w:b w:val="0"/>
                <w:color w:val="1D252C"/>
                <w:sz w:val="16"/>
              </w:rPr>
              <w:t>Scientific validity</w:t>
            </w:r>
          </w:p>
        </w:tc>
        <w:tc>
          <w:tcPr>
            <w:tcW w:type="dxa" w:w="2232"/>
            <w:vAlign w:val="center"/>
          </w:tcPr>
          <w:p>
            <w:pPr>
              <w:spacing w:after="0"/>
            </w:pPr>
            <w:r/>
            <w:r>
              <w:rPr>
                <w:rFonts w:ascii="Aptos" w:hAnsi="Aptos"/>
                <w:b w:val="0"/>
                <w:color w:val="1D252C"/>
                <w:sz w:val="16"/>
              </w:rPr>
              <w:t>Independent completeness audit passed</w:t>
            </w:r>
          </w:p>
        </w:tc>
        <w:tc>
          <w:tcPr>
            <w:tcW w:type="dxa" w:w="5256"/>
            <w:vAlign w:val="center"/>
          </w:tcPr>
          <w:p>
            <w:pPr>
              <w:spacing w:after="0"/>
            </w:pPr>
            <w:r/>
            <w:r>
              <w:rPr>
                <w:rFonts w:ascii="Aptos" w:hAnsi="Aptos"/>
                <w:b w:val="0"/>
                <w:color w:val="1D252C"/>
                <w:sz w:val="16"/>
              </w:rPr>
              <w:t>The frozen sample, model identity, traces, generations, and gate outputs were internally consistent.</w:t>
            </w:r>
          </w:p>
        </w:tc>
      </w:tr>
      <w:tr>
        <w:tc>
          <w:tcPr>
            <w:tcW w:type="dxa" w:w="1944"/>
            <w:vAlign w:val="center"/>
            <w:shd w:fill="F4F7F9"/>
          </w:tcPr>
          <w:p>
            <w:pPr>
              <w:spacing w:after="0"/>
            </w:pPr>
            <w:r/>
            <w:r>
              <w:rPr>
                <w:rFonts w:ascii="Aptos" w:hAnsi="Aptos"/>
                <w:b w:val="0"/>
                <w:color w:val="1D252C"/>
                <w:sz w:val="16"/>
              </w:rPr>
              <w:t>Primary comparison</w:t>
            </w:r>
          </w:p>
        </w:tc>
        <w:tc>
          <w:tcPr>
            <w:tcW w:type="dxa" w:w="2232"/>
            <w:vAlign w:val="center"/>
            <w:shd w:fill="F4F7F9"/>
          </w:tcPr>
          <w:p>
            <w:pPr>
              <w:spacing w:after="0"/>
            </w:pPr>
            <w:r/>
            <w:r>
              <w:rPr>
                <w:rFonts w:ascii="Aptos" w:hAnsi="Aptos"/>
                <w:b w:val="0"/>
                <w:color w:val="1D252C"/>
                <w:sz w:val="16"/>
              </w:rPr>
              <w:t>91.0% adaptive vs. 61.5% fixed-long</w:t>
            </w:r>
          </w:p>
        </w:tc>
        <w:tc>
          <w:tcPr>
            <w:tcW w:type="dxa" w:w="5256"/>
            <w:vAlign w:val="center"/>
            <w:shd w:fill="F4F7F9"/>
          </w:tcPr>
          <w:p>
            <w:pPr>
              <w:spacing w:after="0"/>
            </w:pPr>
            <w:r/>
            <w:r>
              <w:rPr>
                <w:rFonts w:ascii="Aptos" w:hAnsi="Aptos"/>
                <w:b w:val="0"/>
                <w:color w:val="1D252C"/>
                <w:sz w:val="16"/>
              </w:rPr>
              <w:t>Adaptive stopping improved accuracy by 29.5 percentage points under the tested iterative protocol.</w:t>
            </w:r>
          </w:p>
        </w:tc>
      </w:tr>
      <w:tr>
        <w:tc>
          <w:tcPr>
            <w:tcW w:type="dxa" w:w="1944"/>
            <w:vAlign w:val="center"/>
          </w:tcPr>
          <w:p>
            <w:pPr>
              <w:spacing w:after="0"/>
            </w:pPr>
            <w:r/>
            <w:r>
              <w:rPr>
                <w:rFonts w:ascii="Aptos" w:hAnsi="Aptos"/>
                <w:b w:val="0"/>
                <w:color w:val="1D252C"/>
                <w:sz w:val="16"/>
              </w:rPr>
              <w:t>Efficiency</w:t>
            </w:r>
          </w:p>
        </w:tc>
        <w:tc>
          <w:tcPr>
            <w:tcW w:type="dxa" w:w="2232"/>
            <w:vAlign w:val="center"/>
          </w:tcPr>
          <w:p>
            <w:pPr>
              <w:spacing w:after="0"/>
            </w:pPr>
            <w:r/>
            <w:r>
              <w:rPr>
                <w:rFonts w:ascii="Aptos" w:hAnsi="Aptos"/>
                <w:b w:val="0"/>
                <w:color w:val="1D252C"/>
                <w:sz w:val="16"/>
              </w:rPr>
              <w:t>66.5% mean generated-token saving</w:t>
            </w:r>
          </w:p>
        </w:tc>
        <w:tc>
          <w:tcPr>
            <w:tcW w:type="dxa" w:w="5256"/>
            <w:vAlign w:val="center"/>
          </w:tcPr>
          <w:p>
            <w:pPr>
              <w:spacing w:after="0"/>
            </w:pPr>
            <w:r/>
            <w:r>
              <w:rPr>
                <w:rFonts w:ascii="Aptos" w:hAnsi="Aptos"/>
                <w:b w:val="0"/>
                <w:color w:val="1D252C"/>
                <w:sz w:val="16"/>
              </w:rPr>
              <w:t>The policy used roughly one-third of the fixed-long generated-token budget.</w:t>
            </w:r>
          </w:p>
        </w:tc>
      </w:tr>
      <w:tr>
        <w:tc>
          <w:tcPr>
            <w:tcW w:type="dxa" w:w="1944"/>
            <w:vAlign w:val="center"/>
            <w:shd w:fill="F4F7F9"/>
          </w:tcPr>
          <w:p>
            <w:pPr>
              <w:spacing w:after="0"/>
            </w:pPr>
            <w:r/>
            <w:r>
              <w:rPr>
                <w:rFonts w:ascii="Aptos" w:hAnsi="Aptos"/>
                <w:b w:val="0"/>
                <w:color w:val="1D252C"/>
                <w:sz w:val="16"/>
              </w:rPr>
              <w:t>Safety of stopping</w:t>
            </w:r>
          </w:p>
        </w:tc>
        <w:tc>
          <w:tcPr>
            <w:tcW w:type="dxa" w:w="2232"/>
            <w:vAlign w:val="center"/>
            <w:shd w:fill="F4F7F9"/>
          </w:tcPr>
          <w:p>
            <w:pPr>
              <w:spacing w:after="0"/>
            </w:pPr>
            <w:r/>
            <w:r>
              <w:rPr>
                <w:rFonts w:ascii="Aptos" w:hAnsi="Aptos"/>
                <w:b w:val="0"/>
                <w:color w:val="1D252C"/>
                <w:sz w:val="16"/>
              </w:rPr>
              <w:t>1/200 early-stop harm</w:t>
            </w:r>
          </w:p>
        </w:tc>
        <w:tc>
          <w:tcPr>
            <w:tcW w:type="dxa" w:w="5256"/>
            <w:vAlign w:val="center"/>
            <w:shd w:fill="F4F7F9"/>
          </w:tcPr>
          <w:p>
            <w:pPr>
              <w:spacing w:after="0"/>
            </w:pPr>
            <w:r/>
            <w:r>
              <w:rPr>
                <w:rFonts w:ascii="Aptos" w:hAnsi="Aptos"/>
                <w:b w:val="0"/>
                <w:color w:val="1D252C"/>
                <w:sz w:val="16"/>
              </w:rPr>
              <w:t>The 0.5% observed harm rate remained below the preregistered 2% ceiling.</w:t>
            </w:r>
          </w:p>
        </w:tc>
      </w:tr>
      <w:tr>
        <w:tc>
          <w:tcPr>
            <w:tcW w:type="dxa" w:w="1944"/>
            <w:vAlign w:val="center"/>
          </w:tcPr>
          <w:p>
            <w:pPr>
              <w:spacing w:after="0"/>
            </w:pPr>
            <w:r/>
            <w:r>
              <w:rPr>
                <w:rFonts w:ascii="Aptos" w:hAnsi="Aptos"/>
                <w:b w:val="0"/>
                <w:color w:val="1D252C"/>
                <w:sz w:val="16"/>
              </w:rPr>
              <w:t>Mechanism nuance</w:t>
            </w:r>
          </w:p>
        </w:tc>
        <w:tc>
          <w:tcPr>
            <w:tcW w:type="dxa" w:w="2232"/>
            <w:vAlign w:val="center"/>
          </w:tcPr>
          <w:p>
            <w:pPr>
              <w:spacing w:after="0"/>
            </w:pPr>
            <w:r/>
            <w:r>
              <w:rPr>
                <w:rFonts w:ascii="Aptos" w:hAnsi="Aptos"/>
                <w:b w:val="0"/>
                <w:color w:val="1D252C"/>
                <w:sz w:val="16"/>
              </w:rPr>
              <w:t>Adaptive tied answer stability at 91.0%</w:t>
            </w:r>
          </w:p>
        </w:tc>
        <w:tc>
          <w:tcPr>
            <w:tcW w:type="dxa" w:w="5256"/>
            <w:vAlign w:val="center"/>
          </w:tcPr>
          <w:p>
            <w:pPr>
              <w:spacing w:after="0"/>
            </w:pPr>
            <w:r/>
            <w:r>
              <w:rPr>
                <w:rFonts w:ascii="Aptos" w:hAnsi="Aptos"/>
                <w:b w:val="0"/>
                <w:color w:val="1D252C"/>
                <w:sz w:val="16"/>
              </w:rPr>
              <w:t>The stability signal carried the observed performance; confidence added no measured accuracy benefit.</w:t>
            </w:r>
          </w:p>
        </w:tc>
      </w:tr>
      <w:tr>
        <w:tc>
          <w:tcPr>
            <w:tcW w:type="dxa" w:w="1944"/>
            <w:vAlign w:val="center"/>
            <w:shd w:fill="F4F7F9"/>
          </w:tcPr>
          <w:p>
            <w:pPr>
              <w:spacing w:after="0"/>
            </w:pPr>
            <w:r/>
            <w:r>
              <w:rPr>
                <w:rFonts w:ascii="Aptos" w:hAnsi="Aptos"/>
                <w:b w:val="0"/>
                <w:color w:val="1D252C"/>
                <w:sz w:val="16"/>
              </w:rPr>
              <w:t>External validity</w:t>
            </w:r>
          </w:p>
        </w:tc>
        <w:tc>
          <w:tcPr>
            <w:tcW w:type="dxa" w:w="2232"/>
            <w:vAlign w:val="center"/>
            <w:shd w:fill="F4F7F9"/>
          </w:tcPr>
          <w:p>
            <w:pPr>
              <w:spacing w:after="0"/>
            </w:pPr>
            <w:r/>
            <w:r>
              <w:rPr>
                <w:rFonts w:ascii="Aptos" w:hAnsi="Aptos"/>
                <w:b w:val="0"/>
                <w:color w:val="1D252C"/>
                <w:sz w:val="16"/>
              </w:rPr>
              <w:t>H4 pending</w:t>
            </w:r>
          </w:p>
        </w:tc>
        <w:tc>
          <w:tcPr>
            <w:tcW w:type="dxa" w:w="5256"/>
            <w:vAlign w:val="center"/>
            <w:shd w:fill="F4F7F9"/>
          </w:tcPr>
          <w:p>
            <w:pPr>
              <w:spacing w:after="0"/>
            </w:pPr>
            <w:r/>
            <w:r>
              <w:rPr>
                <w:rFonts w:ascii="Aptos" w:hAnsi="Aptos"/>
                <w:b w:val="0"/>
                <w:color w:val="1D252C"/>
                <w:sz w:val="16"/>
              </w:rPr>
              <w:t>No cross-model, non-math, sampling, or prompt-transfer claim is supported yet.</w:t>
            </w:r>
          </w:p>
        </w:tc>
      </w:tr>
    </w:tbl>
    <w:p>
      <w:pPr>
        <w:spacing w:after="0"/>
      </w:pPr>
    </w:p>
    <w:p>
      <w:pPr>
        <w:pStyle w:val="Heading1"/>
      </w:pPr>
      <w:r>
        <w:t>2. Problem and Literature Basis</w:t>
      </w:r>
    </w:p>
    <w:p>
      <w:pPr>
        <w:pStyle w:val="Heading2"/>
      </w:pPr>
      <w:r>
        <w:t>2.1 Why the experiment was necessary</w:t>
      </w:r>
    </w:p>
    <w:p>
      <w:r>
        <w:t>Test-time scaling research shows that additional inference compute can improve reasoning, but the benefit depends on problem difficulty and allocation strategy. Snell et al. found that compute-optimal allocation can outperform uniform strategies, while Muennighoff et al. showed that forcing additional reasoning can sometimes repair an answer. These findings motivate more compute, but they do not imply that more compute is always beneficial.</w:t>
      </w:r>
    </w:p>
    <w:p>
      <w:r>
        <w:t>The direct foundation for PX-057 is Zhou et al.'s 2026 study, which reports diminishing marginal returns at larger reasoning budgets, correct-to-wrong answer abandonment, and difficulty-dependent optimal reasoning lengths. That work identifies the phenomenon and shows that moderate stopping can reduce cost while maintaining comparable accuracy. PX-057 converts that observation into a deployable control question: can a precommitted, label-free rule stop before a harmful reversal without creating too many premature errors?</w:t>
      </w:r>
    </w:p>
    <w:p>
      <w:pPr>
        <w:pStyle w:val="Heading2"/>
      </w:pPr>
      <w:r>
        <w:t>2.2 Praxis gap</w:t>
      </w:r>
    </w:p>
    <w:p>
      <w:r>
        <w:t>A practical stopping control must decide from information available at inference time. Gold correctness cannot be used to stop. PX-057 therefore combines two observable signals: normalized answer stability and a confidence proxy derived from generated-token probabilities. It evaluates the policy against fixed-short, fixed-long, stability-only, uncertainty-only, and oracle reference arms.</w:t>
      </w:r>
    </w:p>
    <w:p>
      <w:pPr>
        <w:pStyle w:val="Heading2"/>
      </w:pPr>
      <w:r>
        <w:t>2.3 Research question</w:t>
      </w:r>
    </w:p>
    <w:p>
      <w:r>
        <w:t>Can a frozen answer-stability-plus-confidence rule reduce generated-token use and prevent correct-to-wrong reversals while preserving accuracy relative to an eight-round fixed-long protocol?</w:t>
      </w:r>
    </w:p>
    <w:p>
      <w:pPr>
        <w:pStyle w:val="Heading1"/>
      </w:pPr>
      <w:r>
        <w:t>3. Hypotheses and Preregistered Gates</w:t>
      </w:r>
    </w:p>
    <w:tbl>
      <w:tblPr>
        <w:tblStyle w:val="TableGrid"/>
        <w:tblW w:type="auto" w:w="0"/>
        <w:jc w:val="center"/>
        <w:tblLayout w:type="fixed"/>
        <w:tblLook w:firstColumn="1" w:firstRow="1" w:lastColumn="0" w:lastRow="0" w:noHBand="0" w:noVBand="1" w:val="04A0"/>
      </w:tblPr>
      <w:tblGrid>
        <w:gridCol w:w="648"/>
        <w:gridCol w:w="2952"/>
        <w:gridCol w:w="3816"/>
        <w:gridCol w:w="2016"/>
      </w:tblGrid>
      <w:tr>
        <w:trPr>
          <w:tblHeader w:val="true"/>
        </w:trPr>
        <w:tc>
          <w:tcPr>
            <w:tcW w:type="dxa" w:w="2484"/>
            <w:shd w:fill="16324F"/>
            <w:vAlign w:val="center"/>
          </w:tcPr>
          <w:p>
            <w:pPr>
              <w:spacing w:after="0"/>
            </w:pPr>
            <w:r/>
            <w:r>
              <w:rPr>
                <w:rFonts w:ascii="Aptos" w:hAnsi="Aptos"/>
                <w:b/>
                <w:color w:val="FFFFFF"/>
                <w:sz w:val="16"/>
              </w:rPr>
              <w:t>ID</w:t>
            </w:r>
          </w:p>
        </w:tc>
        <w:tc>
          <w:tcPr>
            <w:tcW w:type="dxa" w:w="2484"/>
            <w:shd w:fill="16324F"/>
            <w:vAlign w:val="center"/>
          </w:tcPr>
          <w:p>
            <w:pPr>
              <w:spacing w:after="0"/>
            </w:pPr>
            <w:r/>
            <w:r>
              <w:rPr>
                <w:rFonts w:ascii="Aptos" w:hAnsi="Aptos"/>
                <w:b/>
                <w:color w:val="FFFFFF"/>
                <w:sz w:val="16"/>
              </w:rPr>
              <w:t>Hypothesis</w:t>
            </w:r>
          </w:p>
        </w:tc>
        <w:tc>
          <w:tcPr>
            <w:tcW w:type="dxa" w:w="2484"/>
            <w:shd w:fill="16324F"/>
            <w:vAlign w:val="center"/>
          </w:tcPr>
          <w:p>
            <w:pPr>
              <w:spacing w:after="0"/>
            </w:pPr>
            <w:r/>
            <w:r>
              <w:rPr>
                <w:rFonts w:ascii="Aptos" w:hAnsi="Aptos"/>
                <w:b/>
                <w:color w:val="FFFFFF"/>
                <w:sz w:val="16"/>
              </w:rPr>
              <w:t>Frozen pass criterion</w:t>
            </w:r>
          </w:p>
        </w:tc>
        <w:tc>
          <w:tcPr>
            <w:tcW w:type="dxa" w:w="2484"/>
            <w:shd w:fill="16324F"/>
            <w:vAlign w:val="center"/>
          </w:tcPr>
          <w:p>
            <w:pPr>
              <w:spacing w:after="0"/>
            </w:pPr>
            <w:r/>
            <w:r>
              <w:rPr>
                <w:rFonts w:ascii="Aptos" w:hAnsi="Aptos"/>
                <w:b/>
                <w:color w:val="FFFFFF"/>
                <w:sz w:val="16"/>
              </w:rPr>
              <w:t>Outcome</w:t>
            </w:r>
          </w:p>
        </w:tc>
      </w:tr>
      <w:tr>
        <w:tc>
          <w:tcPr>
            <w:tcW w:type="dxa" w:w="648"/>
            <w:vAlign w:val="center"/>
          </w:tcPr>
          <w:p>
            <w:pPr>
              <w:spacing w:after="0"/>
            </w:pPr>
            <w:r/>
            <w:r>
              <w:rPr>
                <w:rFonts w:ascii="Aptos" w:hAnsi="Aptos"/>
                <w:b w:val="0"/>
                <w:color w:val="1D252C"/>
                <w:sz w:val="16"/>
              </w:rPr>
              <w:t>H1</w:t>
            </w:r>
          </w:p>
        </w:tc>
        <w:tc>
          <w:tcPr>
            <w:tcW w:type="dxa" w:w="2952"/>
            <w:vAlign w:val="center"/>
          </w:tcPr>
          <w:p>
            <w:pPr>
              <w:spacing w:after="0"/>
            </w:pPr>
            <w:r/>
            <w:r>
              <w:rPr>
                <w:rFonts w:ascii="Aptos" w:hAnsi="Aptos"/>
                <w:b w:val="0"/>
                <w:color w:val="1D252C"/>
                <w:sz w:val="16"/>
              </w:rPr>
              <w:t>Preserve accuracy while saving compute</w:t>
            </w:r>
          </w:p>
        </w:tc>
        <w:tc>
          <w:tcPr>
            <w:tcW w:type="dxa" w:w="3816"/>
            <w:vAlign w:val="center"/>
          </w:tcPr>
          <w:p>
            <w:pPr>
              <w:spacing w:after="0"/>
            </w:pPr>
            <w:r/>
            <w:r>
              <w:rPr>
                <w:rFonts w:ascii="Aptos" w:hAnsi="Aptos"/>
                <w:b w:val="0"/>
                <w:color w:val="1D252C"/>
                <w:sz w:val="16"/>
              </w:rPr>
              <w:t>Accuracy delta vs. fixed-long &gt;= -1 pp and mean saving &gt;= 20%</w:t>
            </w:r>
          </w:p>
        </w:tc>
        <w:tc>
          <w:tcPr>
            <w:tcW w:type="dxa" w:w="2016"/>
            <w:vAlign w:val="center"/>
          </w:tcPr>
          <w:p>
            <w:pPr>
              <w:spacing w:after="0"/>
            </w:pPr>
            <w:r/>
            <w:r>
              <w:rPr>
                <w:rFonts w:ascii="Aptos" w:hAnsi="Aptos"/>
                <w:b w:val="0"/>
                <w:color w:val="1D252C"/>
                <w:sz w:val="16"/>
              </w:rPr>
              <w:t>PASS: +29.5 pp; 66.5%</w:t>
            </w:r>
          </w:p>
        </w:tc>
      </w:tr>
      <w:tr>
        <w:tc>
          <w:tcPr>
            <w:tcW w:type="dxa" w:w="648"/>
            <w:vAlign w:val="center"/>
            <w:shd w:fill="F4F7F9"/>
          </w:tcPr>
          <w:p>
            <w:pPr>
              <w:spacing w:after="0"/>
            </w:pPr>
            <w:r/>
            <w:r>
              <w:rPr>
                <w:rFonts w:ascii="Aptos" w:hAnsi="Aptos"/>
                <w:b w:val="0"/>
                <w:color w:val="1D252C"/>
                <w:sz w:val="16"/>
              </w:rPr>
              <w:t>H2</w:t>
            </w:r>
          </w:p>
        </w:tc>
        <w:tc>
          <w:tcPr>
            <w:tcW w:type="dxa" w:w="2952"/>
            <w:vAlign w:val="center"/>
            <w:shd w:fill="F4F7F9"/>
          </w:tcPr>
          <w:p>
            <w:pPr>
              <w:spacing w:after="0"/>
            </w:pPr>
            <w:r/>
            <w:r>
              <w:rPr>
                <w:rFonts w:ascii="Aptos" w:hAnsi="Aptos"/>
                <w:b w:val="0"/>
                <w:color w:val="1D252C"/>
                <w:sz w:val="16"/>
              </w:rPr>
              <w:t>Prevent harmful overthinking</w:t>
            </w:r>
          </w:p>
        </w:tc>
        <w:tc>
          <w:tcPr>
            <w:tcW w:type="dxa" w:w="3816"/>
            <w:vAlign w:val="center"/>
            <w:shd w:fill="F4F7F9"/>
          </w:tcPr>
          <w:p>
            <w:pPr>
              <w:spacing w:after="0"/>
            </w:pPr>
            <w:r/>
            <w:r>
              <w:rPr>
                <w:rFonts w:ascii="Aptos" w:hAnsi="Aptos"/>
                <w:b w:val="0"/>
                <w:color w:val="1D252C"/>
                <w:sz w:val="16"/>
              </w:rPr>
              <w:t>Prevent at least 25% of observable events</w:t>
            </w:r>
          </w:p>
        </w:tc>
        <w:tc>
          <w:tcPr>
            <w:tcW w:type="dxa" w:w="2016"/>
            <w:vAlign w:val="center"/>
            <w:shd w:fill="F4F7F9"/>
          </w:tcPr>
          <w:p>
            <w:pPr>
              <w:spacing w:after="0"/>
            </w:pPr>
            <w:r/>
            <w:r>
              <w:rPr>
                <w:rFonts w:ascii="Aptos" w:hAnsi="Aptos"/>
                <w:b w:val="0"/>
                <w:color w:val="1D252C"/>
                <w:sz w:val="16"/>
              </w:rPr>
              <w:t>PASS: 60/67; 89.6%</w:t>
            </w:r>
          </w:p>
        </w:tc>
      </w:tr>
      <w:tr>
        <w:tc>
          <w:tcPr>
            <w:tcW w:type="dxa" w:w="648"/>
            <w:vAlign w:val="center"/>
          </w:tcPr>
          <w:p>
            <w:pPr>
              <w:spacing w:after="0"/>
            </w:pPr>
            <w:r/>
            <w:r>
              <w:rPr>
                <w:rFonts w:ascii="Aptos" w:hAnsi="Aptos"/>
                <w:b w:val="0"/>
                <w:color w:val="1D252C"/>
                <w:sz w:val="16"/>
              </w:rPr>
              <w:t>H3</w:t>
            </w:r>
          </w:p>
        </w:tc>
        <w:tc>
          <w:tcPr>
            <w:tcW w:type="dxa" w:w="2952"/>
            <w:vAlign w:val="center"/>
          </w:tcPr>
          <w:p>
            <w:pPr>
              <w:spacing w:after="0"/>
            </w:pPr>
            <w:r/>
            <w:r>
              <w:rPr>
                <w:rFonts w:ascii="Aptos" w:hAnsi="Aptos"/>
                <w:b w:val="0"/>
                <w:color w:val="1D252C"/>
                <w:sz w:val="16"/>
              </w:rPr>
              <w:t>Avoid excessive premature errors</w:t>
            </w:r>
          </w:p>
        </w:tc>
        <w:tc>
          <w:tcPr>
            <w:tcW w:type="dxa" w:w="3816"/>
            <w:vAlign w:val="center"/>
          </w:tcPr>
          <w:p>
            <w:pPr>
              <w:spacing w:after="0"/>
            </w:pPr>
            <w:r/>
            <w:r>
              <w:rPr>
                <w:rFonts w:ascii="Aptos" w:hAnsi="Aptos"/>
                <w:b w:val="0"/>
                <w:color w:val="1D252C"/>
                <w:sz w:val="16"/>
              </w:rPr>
              <w:t>Early-stop harm &lt;= 2% of all traces</w:t>
            </w:r>
          </w:p>
        </w:tc>
        <w:tc>
          <w:tcPr>
            <w:tcW w:type="dxa" w:w="2016"/>
            <w:vAlign w:val="center"/>
          </w:tcPr>
          <w:p>
            <w:pPr>
              <w:spacing w:after="0"/>
            </w:pPr>
            <w:r/>
            <w:r>
              <w:rPr>
                <w:rFonts w:ascii="Aptos" w:hAnsi="Aptos"/>
                <w:b w:val="0"/>
                <w:color w:val="1D252C"/>
                <w:sz w:val="16"/>
              </w:rPr>
              <w:t>PASS: 1/200; 0.5%</w:t>
            </w:r>
          </w:p>
        </w:tc>
      </w:tr>
      <w:tr>
        <w:tc>
          <w:tcPr>
            <w:tcW w:type="dxa" w:w="648"/>
            <w:vAlign w:val="center"/>
            <w:shd w:fill="F4F7F9"/>
          </w:tcPr>
          <w:p>
            <w:pPr>
              <w:spacing w:after="0"/>
            </w:pPr>
            <w:r/>
            <w:r>
              <w:rPr>
                <w:rFonts w:ascii="Aptos" w:hAnsi="Aptos"/>
                <w:b w:val="0"/>
                <w:color w:val="1D252C"/>
                <w:sz w:val="16"/>
              </w:rPr>
              <w:t>H4</w:t>
            </w:r>
          </w:p>
        </w:tc>
        <w:tc>
          <w:tcPr>
            <w:tcW w:type="dxa" w:w="2952"/>
            <w:vAlign w:val="center"/>
            <w:shd w:fill="F4F7F9"/>
          </w:tcPr>
          <w:p>
            <w:pPr>
              <w:spacing w:after="0"/>
            </w:pPr>
            <w:r/>
            <w:r>
              <w:rPr>
                <w:rFonts w:ascii="Aptos" w:hAnsi="Aptos"/>
                <w:b w:val="0"/>
                <w:color w:val="1D252C"/>
                <w:sz w:val="16"/>
              </w:rPr>
              <w:t>Transfer without retuning</w:t>
            </w:r>
          </w:p>
        </w:tc>
        <w:tc>
          <w:tcPr>
            <w:tcW w:type="dxa" w:w="3816"/>
            <w:vAlign w:val="center"/>
            <w:shd w:fill="F4F7F9"/>
          </w:tcPr>
          <w:p>
            <w:pPr>
              <w:spacing w:after="0"/>
            </w:pPr>
            <w:r/>
            <w:r>
              <w:rPr>
                <w:rFonts w:ascii="Aptos" w:hAnsi="Aptos"/>
                <w:b w:val="0"/>
                <w:color w:val="1D252C"/>
                <w:sz w:val="16"/>
              </w:rPr>
              <w:t>H1 and H3 pass in a frozen held-out domain</w:t>
            </w:r>
          </w:p>
        </w:tc>
        <w:tc>
          <w:tcPr>
            <w:tcW w:type="dxa" w:w="2016"/>
            <w:vAlign w:val="center"/>
            <w:shd w:fill="F4F7F9"/>
          </w:tcPr>
          <w:p>
            <w:pPr>
              <w:spacing w:after="0"/>
            </w:pPr>
            <w:r/>
            <w:r>
              <w:rPr>
                <w:rFonts w:ascii="Aptos" w:hAnsi="Aptos"/>
                <w:b w:val="0"/>
                <w:color w:val="1D252C"/>
                <w:sz w:val="16"/>
              </w:rPr>
              <w:t>PENDING: not tested in Gate 2</w:t>
            </w:r>
          </w:p>
        </w:tc>
      </w:tr>
    </w:tbl>
    <w:p>
      <w:pPr>
        <w:spacing w:after="0"/>
      </w:pPr>
    </w:p>
    <w:p>
      <w:r>
        <w:t>The preregistration was written before the scientific result. No post-result threshold change is part of this determination. Gate 2 adjudicated H1-H3 only; H4 was explicitly reserved for transfer testing.</w:t>
      </w:r>
    </w:p>
    <w:p>
      <w:pPr>
        <w:pStyle w:val="Heading1"/>
      </w:pPr>
      <w:r>
        <w:t>4. Method</w:t>
      </w:r>
    </w:p>
    <w:p>
      <w:pPr>
        <w:pStyle w:val="Heading2"/>
      </w:pPr>
      <w:r>
        <w:t>4.1 Experimental design</w:t>
      </w:r>
    </w:p>
    <w:p>
      <w:r>
        <w:t>The study used a repeated-reconsideration trace design. Each question received an initial deterministic solution followed by seven deterministic prompts to reconsider the previous proposed solution, for a maximum of eight rounds. Each response ended in a numeric final answer that was normalized and compared with the GSM8K gold answer.</w:t>
      </w:r>
    </w:p>
    <w:tbl>
      <w:tblPr>
        <w:tblStyle w:val="TableGrid"/>
        <w:tblW w:type="auto" w:w="0"/>
        <w:jc w:val="center"/>
        <w:tblLayout w:type="fixed"/>
        <w:tblLook w:firstColumn="1" w:firstRow="1" w:lastColumn="0" w:lastRow="0" w:noHBand="0" w:noVBand="1" w:val="04A0"/>
      </w:tblPr>
      <w:tblGrid>
        <w:gridCol w:w="2016"/>
        <w:gridCol w:w="7416"/>
      </w:tblGrid>
      <w:tr>
        <w:trPr>
          <w:tblHeader w:val="true"/>
        </w:trPr>
        <w:tc>
          <w:tcPr>
            <w:tcW w:type="dxa" w:w="4968"/>
            <w:shd w:fill="16324F"/>
            <w:vAlign w:val="center"/>
          </w:tcPr>
          <w:p>
            <w:pPr>
              <w:spacing w:after="0"/>
            </w:pPr>
            <w:r/>
            <w:r>
              <w:rPr>
                <w:rFonts w:ascii="Aptos" w:hAnsi="Aptos"/>
                <w:b/>
                <w:color w:val="FFFFFF"/>
                <w:sz w:val="16"/>
              </w:rPr>
              <w:t>Component</w:t>
            </w:r>
          </w:p>
        </w:tc>
        <w:tc>
          <w:tcPr>
            <w:tcW w:type="dxa" w:w="4968"/>
            <w:shd w:fill="16324F"/>
            <w:vAlign w:val="center"/>
          </w:tcPr>
          <w:p>
            <w:pPr>
              <w:spacing w:after="0"/>
            </w:pPr>
            <w:r/>
            <w:r>
              <w:rPr>
                <w:rFonts w:ascii="Aptos" w:hAnsi="Aptos"/>
                <w:b/>
                <w:color w:val="FFFFFF"/>
                <w:sz w:val="16"/>
              </w:rPr>
              <w:t>Frozen specification</w:t>
            </w:r>
          </w:p>
        </w:tc>
      </w:tr>
      <w:tr>
        <w:tc>
          <w:tcPr>
            <w:tcW w:type="dxa" w:w="2016"/>
            <w:vAlign w:val="center"/>
          </w:tcPr>
          <w:p>
            <w:pPr>
              <w:spacing w:after="0"/>
            </w:pPr>
            <w:r/>
            <w:r>
              <w:rPr>
                <w:rFonts w:ascii="Aptos" w:hAnsi="Aptos"/>
                <w:b w:val="0"/>
                <w:color w:val="1D252C"/>
                <w:sz w:val="16"/>
              </w:rPr>
              <w:t>Model</w:t>
            </w:r>
          </w:p>
        </w:tc>
        <w:tc>
          <w:tcPr>
            <w:tcW w:type="dxa" w:w="7416"/>
            <w:vAlign w:val="center"/>
          </w:tcPr>
          <w:p>
            <w:pPr>
              <w:spacing w:after="0"/>
            </w:pPr>
            <w:r/>
            <w:r>
              <w:rPr>
                <w:rFonts w:ascii="Aptos" w:hAnsi="Aptos"/>
                <w:b w:val="0"/>
                <w:color w:val="1D252C"/>
                <w:sz w:val="16"/>
              </w:rPr>
              <w:t>Qwen/Qwen2.5-7B-Instruct</w:t>
            </w:r>
          </w:p>
        </w:tc>
      </w:tr>
      <w:tr>
        <w:tc>
          <w:tcPr>
            <w:tcW w:type="dxa" w:w="2016"/>
            <w:vAlign w:val="center"/>
            <w:shd w:fill="F4F7F9"/>
          </w:tcPr>
          <w:p>
            <w:pPr>
              <w:spacing w:after="0"/>
            </w:pPr>
            <w:r/>
            <w:r>
              <w:rPr>
                <w:rFonts w:ascii="Aptos" w:hAnsi="Aptos"/>
                <w:b w:val="0"/>
                <w:color w:val="1D252C"/>
                <w:sz w:val="16"/>
              </w:rPr>
              <w:t>Dataset</w:t>
            </w:r>
          </w:p>
        </w:tc>
        <w:tc>
          <w:tcPr>
            <w:tcW w:type="dxa" w:w="7416"/>
            <w:vAlign w:val="center"/>
            <w:shd w:fill="F4F7F9"/>
          </w:tcPr>
          <w:p>
            <w:pPr>
              <w:spacing w:after="0"/>
            </w:pPr>
            <w:r/>
            <w:r>
              <w:rPr>
                <w:rFonts w:ascii="Aptos" w:hAnsi="Aptos"/>
                <w:b w:val="0"/>
                <w:color w:val="1D252C"/>
                <w:sz w:val="16"/>
              </w:rPr>
              <w:t>OpenAI GSM8K test split; frozen SHA-256 3730d312f6e3440559ace48831e51066acaca737f6eabec99bccb9e4b3c39d14</w:t>
            </w:r>
          </w:p>
        </w:tc>
      </w:tr>
      <w:tr>
        <w:tc>
          <w:tcPr>
            <w:tcW w:type="dxa" w:w="2016"/>
            <w:vAlign w:val="center"/>
          </w:tcPr>
          <w:p>
            <w:pPr>
              <w:spacing w:after="0"/>
            </w:pPr>
            <w:r/>
            <w:r>
              <w:rPr>
                <w:rFonts w:ascii="Aptos" w:hAnsi="Aptos"/>
                <w:b w:val="0"/>
                <w:color w:val="1D252C"/>
                <w:sz w:val="16"/>
              </w:rPr>
              <w:t>Sample</w:t>
            </w:r>
          </w:p>
        </w:tc>
        <w:tc>
          <w:tcPr>
            <w:tcW w:type="dxa" w:w="7416"/>
            <w:vAlign w:val="center"/>
          </w:tcPr>
          <w:p>
            <w:pPr>
              <w:spacing w:after="0"/>
            </w:pPr>
            <w:r/>
            <w:r>
              <w:rPr>
                <w:rFonts w:ascii="Aptos" w:hAnsi="Aptos"/>
                <w:b w:val="0"/>
                <w:color w:val="1D252C"/>
                <w:sz w:val="16"/>
              </w:rPr>
              <w:t>200 unique questions; deterministic seed 57</w:t>
            </w:r>
          </w:p>
        </w:tc>
      </w:tr>
      <w:tr>
        <w:tc>
          <w:tcPr>
            <w:tcW w:type="dxa" w:w="2016"/>
            <w:vAlign w:val="center"/>
            <w:shd w:fill="F4F7F9"/>
          </w:tcPr>
          <w:p>
            <w:pPr>
              <w:spacing w:after="0"/>
            </w:pPr>
            <w:r/>
            <w:r>
              <w:rPr>
                <w:rFonts w:ascii="Aptos" w:hAnsi="Aptos"/>
                <w:b w:val="0"/>
                <w:color w:val="1D252C"/>
                <w:sz w:val="16"/>
              </w:rPr>
              <w:t>Generation</w:t>
            </w:r>
          </w:p>
        </w:tc>
        <w:tc>
          <w:tcPr>
            <w:tcW w:type="dxa" w:w="7416"/>
            <w:vAlign w:val="center"/>
            <w:shd w:fill="F4F7F9"/>
          </w:tcPr>
          <w:p>
            <w:pPr>
              <w:spacing w:after="0"/>
            </w:pPr>
            <w:r/>
            <w:r>
              <w:rPr>
                <w:rFonts w:ascii="Aptos" w:hAnsi="Aptos"/>
                <w:b w:val="0"/>
                <w:color w:val="1D252C"/>
                <w:sz w:val="16"/>
              </w:rPr>
              <w:t>Greedy decoding (do_sample=False); max 256 new tokens per round</w:t>
            </w:r>
          </w:p>
        </w:tc>
      </w:tr>
      <w:tr>
        <w:tc>
          <w:tcPr>
            <w:tcW w:type="dxa" w:w="2016"/>
            <w:vAlign w:val="center"/>
          </w:tcPr>
          <w:p>
            <w:pPr>
              <w:spacing w:after="0"/>
            </w:pPr>
            <w:r/>
            <w:r>
              <w:rPr>
                <w:rFonts w:ascii="Aptos" w:hAnsi="Aptos"/>
                <w:b w:val="0"/>
                <w:color w:val="1D252C"/>
                <w:sz w:val="16"/>
              </w:rPr>
              <w:t>Trace budget</w:t>
            </w:r>
          </w:p>
        </w:tc>
        <w:tc>
          <w:tcPr>
            <w:tcW w:type="dxa" w:w="7416"/>
            <w:vAlign w:val="center"/>
          </w:tcPr>
          <w:p>
            <w:pPr>
              <w:spacing w:after="0"/>
            </w:pPr>
            <w:r/>
            <w:r>
              <w:rPr>
                <w:rFonts w:ascii="Aptos" w:hAnsi="Aptos"/>
                <w:b w:val="0"/>
                <w:color w:val="1D252C"/>
                <w:sz w:val="16"/>
              </w:rPr>
              <w:t>8 sequential rounds per question</w:t>
            </w:r>
          </w:p>
        </w:tc>
      </w:tr>
      <w:tr>
        <w:tc>
          <w:tcPr>
            <w:tcW w:type="dxa" w:w="2016"/>
            <w:vAlign w:val="center"/>
            <w:shd w:fill="F4F7F9"/>
          </w:tcPr>
          <w:p>
            <w:pPr>
              <w:spacing w:after="0"/>
            </w:pPr>
            <w:r/>
            <w:r>
              <w:rPr>
                <w:rFonts w:ascii="Aptos" w:hAnsi="Aptos"/>
                <w:b w:val="0"/>
                <w:color w:val="1D252C"/>
                <w:sz w:val="16"/>
              </w:rPr>
              <w:t>Primary policy</w:t>
            </w:r>
          </w:p>
        </w:tc>
        <w:tc>
          <w:tcPr>
            <w:tcW w:type="dxa" w:w="7416"/>
            <w:vAlign w:val="center"/>
            <w:shd w:fill="F4F7F9"/>
          </w:tcPr>
          <w:p>
            <w:pPr>
              <w:spacing w:after="0"/>
            </w:pPr>
            <w:r/>
            <w:r>
              <w:rPr>
                <w:rFonts w:ascii="Aptos" w:hAnsi="Aptos"/>
                <w:b w:val="0"/>
                <w:color w:val="1D252C"/>
                <w:sz w:val="16"/>
              </w:rPr>
              <w:t>Minimum round 2; patience 2; confidence threshold 0.05</w:t>
            </w:r>
          </w:p>
        </w:tc>
      </w:tr>
      <w:tr>
        <w:tc>
          <w:tcPr>
            <w:tcW w:type="dxa" w:w="2016"/>
            <w:vAlign w:val="center"/>
          </w:tcPr>
          <w:p>
            <w:pPr>
              <w:spacing w:after="0"/>
            </w:pPr>
            <w:r/>
            <w:r>
              <w:rPr>
                <w:rFonts w:ascii="Aptos" w:hAnsi="Aptos"/>
                <w:b w:val="0"/>
                <w:color w:val="1D252C"/>
                <w:sz w:val="16"/>
              </w:rPr>
              <w:t>Compute measure</w:t>
            </w:r>
          </w:p>
        </w:tc>
        <w:tc>
          <w:tcPr>
            <w:tcW w:type="dxa" w:w="7416"/>
            <w:vAlign w:val="center"/>
          </w:tcPr>
          <w:p>
            <w:pPr>
              <w:spacing w:after="0"/>
            </w:pPr>
            <w:r/>
            <w:r>
              <w:rPr>
                <w:rFonts w:ascii="Aptos" w:hAnsi="Aptos"/>
                <w:b w:val="0"/>
                <w:color w:val="1D252C"/>
                <w:sz w:val="16"/>
              </w:rPr>
              <w:t>Cumulative generated tokens; saving = 1 - adaptive tokens / fixed-long tokens</w:t>
            </w:r>
          </w:p>
        </w:tc>
      </w:tr>
      <w:tr>
        <w:tc>
          <w:tcPr>
            <w:tcW w:type="dxa" w:w="2016"/>
            <w:vAlign w:val="center"/>
            <w:shd w:fill="F4F7F9"/>
          </w:tcPr>
          <w:p>
            <w:pPr>
              <w:spacing w:after="0"/>
            </w:pPr>
            <w:r/>
            <w:r>
              <w:rPr>
                <w:rFonts w:ascii="Aptos" w:hAnsi="Aptos"/>
                <w:b w:val="0"/>
                <w:color w:val="1D252C"/>
                <w:sz w:val="16"/>
              </w:rPr>
              <w:t>Execution</w:t>
            </w:r>
          </w:p>
        </w:tc>
        <w:tc>
          <w:tcPr>
            <w:tcW w:type="dxa" w:w="7416"/>
            <w:vAlign w:val="center"/>
            <w:shd w:fill="F4F7F9"/>
          </w:tcPr>
          <w:p>
            <w:pPr>
              <w:spacing w:after="0"/>
            </w:pPr>
            <w:r/>
            <w:r>
              <w:rPr>
                <w:rFonts w:ascii="Aptos" w:hAnsi="Aptos"/>
                <w:b w:val="0"/>
                <w:color w:val="1D252C"/>
                <w:sz w:val="16"/>
              </w:rPr>
              <w:t>AWS SageMaker job px057-gate2-full-retry-2026-07-24-14-55-01-066</w:t>
            </w:r>
          </w:p>
        </w:tc>
      </w:tr>
    </w:tbl>
    <w:p>
      <w:pPr>
        <w:spacing w:after="0"/>
      </w:pPr>
    </w:p>
    <w:p>
      <w:pPr>
        <w:pStyle w:val="Heading2"/>
      </w:pPr>
      <w:r>
        <w:t>4.2 Stopping signals</w:t>
      </w:r>
    </w:p>
    <w:p>
      <w:r>
        <w:t>Answer stability was satisfied when the normalized extracted answer was identical across the two most recent rounds. Confidence was computed as exp(mean normalized transition log-probability) over generated tokens, clipped to a numerically safe range. The result is a sequence-level mean-token-probability proxy, not a calibrated probability that the answer is correct.</w:t>
      </w:r>
    </w:p>
    <w:p>
      <w:r>
        <w:t>At each round from round 2 onward, the adaptive rule stopped at the first point where both recent answers were stable and both confidence values were at least 0.05. If no point qualified, it returned the round-8 answer. The policy never observed the gold label.</w:t>
      </w:r>
    </w:p>
    <w:p>
      <w:pPr>
        <w:pStyle w:val="Heading2"/>
      </w:pPr>
      <w:r>
        <w:t>4.3 Comparison arms</w:t>
      </w:r>
    </w:p>
    <w:p>
      <w:pPr>
        <w:pStyle w:val="ListNumber"/>
        <w:spacing w:after="60"/>
      </w:pPr>
      <w:r>
        <w:t>Fixed-short: return the answer at round 2.</w:t>
      </w:r>
    </w:p>
    <w:p>
      <w:pPr>
        <w:pStyle w:val="ListNumber"/>
        <w:spacing w:after="60"/>
      </w:pPr>
      <w:r>
        <w:t>Fixed-long: return the answer at round 8; the primary preregistered baseline.</w:t>
      </w:r>
    </w:p>
    <w:p>
      <w:pPr>
        <w:pStyle w:val="ListNumber"/>
        <w:spacing w:after="60"/>
      </w:pPr>
      <w:r>
        <w:t>Answer-stability: stop after two identical normalized answers, without confidence.</w:t>
      </w:r>
    </w:p>
    <w:p>
      <w:pPr>
        <w:pStyle w:val="ListNumber"/>
        <w:spacing w:after="60"/>
      </w:pPr>
      <w:r>
        <w:t>Uncertainty-only: stop at the first round at or after round 2 whose confidence proxy reaches 0.05.</w:t>
      </w:r>
    </w:p>
    <w:p>
      <w:pPr>
        <w:pStyle w:val="ListNumber"/>
        <w:spacing w:after="60"/>
      </w:pPr>
      <w:r>
        <w:t>Adaptive: require both two-round answer stability and confidence at or above 0.05.</w:t>
      </w:r>
    </w:p>
    <w:p>
      <w:pPr>
        <w:pStyle w:val="ListNumber"/>
        <w:spacing w:after="60"/>
      </w:pPr>
      <w:r>
        <w:t>Oracle best step: return the first correct eligible answer; descriptive ceiling only and not deployable.</w:t>
      </w:r>
    </w:p>
    <w:p>
      <w:pPr>
        <w:pStyle w:val="Heading2"/>
      </w:pPr>
      <w:r>
        <w:t>4.4 Outcome definitions</w:t>
      </w:r>
    </w:p>
    <w:p>
      <w:pPr>
        <w:pStyle w:val="ListBullet"/>
        <w:spacing w:after="60"/>
      </w:pPr>
      <w:r>
        <w:t>Overthinking event: at least one correct eligible answer before round 8, followed by an incorrect round-8 answer.</w:t>
      </w:r>
    </w:p>
    <w:p>
      <w:pPr>
        <w:pStyle w:val="ListBullet"/>
        <w:spacing w:after="60"/>
      </w:pPr>
      <w:r>
        <w:t>Prevented overthinking: the adaptive answer is correct on a trace classified as an overthinking event.</w:t>
      </w:r>
    </w:p>
    <w:p>
      <w:pPr>
        <w:pStyle w:val="ListBullet"/>
        <w:spacing w:after="60"/>
      </w:pPr>
      <w:r>
        <w:t>Early-stop harm: round 8 is correct but the adaptive answer is incorrect.</w:t>
      </w:r>
    </w:p>
    <w:p>
      <w:pPr>
        <w:pStyle w:val="ListBullet"/>
        <w:spacing w:after="60"/>
      </w:pPr>
      <w:r>
        <w:t>Generated-token saving: one minus cumulative adaptive generated tokens divided by cumulative round-8 generated tokens.</w:t>
      </w:r>
    </w:p>
    <w:p>
      <w:pPr>
        <w:pStyle w:val="ListBullet"/>
        <w:spacing w:after="60"/>
      </w:pPr>
      <w:r>
        <w:t>Accuracy: exact match between the normalized extracted numeric answer and the GSM8K gold answer.</w:t>
      </w:r>
    </w:p>
    <w:p>
      <w:pPr>
        <w:pStyle w:val="Heading2"/>
      </w:pPr>
      <w:r>
        <w:t>4.5 Integrity and reproducibility controls</w:t>
      </w:r>
    </w:p>
    <w:p>
      <w:r>
        <w:t>An independent adjudication script compared the cloud artifacts with the frozen configuration. It verified experiment and model identifiers, dataset hash, sample size, round count, 200 unique selected IDs, 200 complete traces, and exactly 1,600 unique and complete question-round pairs. It also recomputed the required gate-decision set and recorded SHA-256 hashes for the four core evidence files.</w:t>
      </w:r>
    </w:p>
    <w:p>
      <w:pPr>
        <w:pStyle w:val="Heading1"/>
      </w:pPr>
      <w:r>
        <w:t>5. Results</w:t>
      </w:r>
    </w:p>
    <w:p>
      <w:pPr>
        <w:keepLines/>
        <w:jc w:val="center"/>
      </w:pPr>
      <w:r>
        <w:drawing>
          <wp:inline xmlns:a="http://schemas.openxmlformats.org/drawingml/2006/main" xmlns:pic="http://schemas.openxmlformats.org/drawingml/2006/picture">
            <wp:extent cx="6217920" cy="3150413"/>
            <wp:docPr id="1" name="Picture 1"/>
            <wp:cNvGraphicFramePr>
              <a:graphicFrameLocks noChangeAspect="1"/>
            </wp:cNvGraphicFramePr>
            <a:graphic>
              <a:graphicData uri="http://schemas.openxmlformats.org/drawingml/2006/picture">
                <pic:pic>
                  <pic:nvPicPr>
                    <pic:cNvPr id="0" name="px057_accuracy.png"/>
                    <pic:cNvPicPr/>
                  </pic:nvPicPr>
                  <pic:blipFill>
                    <a:blip r:embed="rId11"/>
                    <a:stretch>
                      <a:fillRect/>
                    </a:stretch>
                  </pic:blipFill>
                  <pic:spPr>
                    <a:xfrm>
                      <a:off x="0" y="0"/>
                      <a:ext cx="6217920" cy="3150413"/>
                    </a:xfrm>
                    <a:prstGeom prst="rect"/>
                  </pic:spPr>
                </pic:pic>
              </a:graphicData>
            </a:graphic>
          </wp:inline>
        </w:drawing>
      </w:r>
    </w:p>
    <w:p>
      <w:pPr>
        <w:keepNext/>
        <w:spacing w:after="160"/>
        <w:jc w:val="center"/>
      </w:pPr>
      <w:r>
        <w:rPr>
          <w:i/>
          <w:color w:val="566573"/>
          <w:sz w:val="17"/>
        </w:rPr>
        <w:t>Figure 1. Accuracy for all registered arms. The oracle is descriptive and not deployable.</w:t>
      </w:r>
    </w:p>
    <w:tbl>
      <w:tblPr>
        <w:tblStyle w:val="TableGrid"/>
        <w:tblW w:type="auto" w:w="0"/>
        <w:jc w:val="center"/>
        <w:tblLayout w:type="fixed"/>
        <w:tblLook w:firstColumn="1" w:firstRow="1" w:lastColumn="0" w:lastRow="0" w:noHBand="0" w:noVBand="1" w:val="04A0"/>
      </w:tblPr>
      <w:tblGrid>
        <w:gridCol w:w="3096"/>
        <w:gridCol w:w="1584"/>
        <w:gridCol w:w="1440"/>
        <w:gridCol w:w="3312"/>
      </w:tblGrid>
      <w:tr>
        <w:trPr>
          <w:tblHeader w:val="true"/>
        </w:trPr>
        <w:tc>
          <w:tcPr>
            <w:tcW w:type="dxa" w:w="2484"/>
            <w:shd w:fill="16324F"/>
            <w:vAlign w:val="center"/>
          </w:tcPr>
          <w:p>
            <w:pPr>
              <w:spacing w:after="0"/>
            </w:pPr>
            <w:r/>
            <w:r>
              <w:rPr>
                <w:rFonts w:ascii="Aptos" w:hAnsi="Aptos"/>
                <w:b/>
                <w:color w:val="FFFFFF"/>
                <w:sz w:val="16"/>
              </w:rPr>
              <w:t>Arm</w:t>
            </w:r>
          </w:p>
        </w:tc>
        <w:tc>
          <w:tcPr>
            <w:tcW w:type="dxa" w:w="2484"/>
            <w:shd w:fill="16324F"/>
            <w:vAlign w:val="center"/>
          </w:tcPr>
          <w:p>
            <w:pPr>
              <w:spacing w:after="0"/>
            </w:pPr>
            <w:r/>
            <w:r>
              <w:rPr>
                <w:rFonts w:ascii="Aptos" w:hAnsi="Aptos"/>
                <w:b/>
                <w:color w:val="FFFFFF"/>
                <w:sz w:val="16"/>
              </w:rPr>
              <w:t>Correct / 200</w:t>
            </w:r>
          </w:p>
        </w:tc>
        <w:tc>
          <w:tcPr>
            <w:tcW w:type="dxa" w:w="2484"/>
            <w:shd w:fill="16324F"/>
            <w:vAlign w:val="center"/>
          </w:tcPr>
          <w:p>
            <w:pPr>
              <w:spacing w:after="0"/>
            </w:pPr>
            <w:r/>
            <w:r>
              <w:rPr>
                <w:rFonts w:ascii="Aptos" w:hAnsi="Aptos"/>
                <w:b/>
                <w:color w:val="FFFFFF"/>
                <w:sz w:val="16"/>
              </w:rPr>
              <w:t>Accuracy</w:t>
            </w:r>
          </w:p>
        </w:tc>
        <w:tc>
          <w:tcPr>
            <w:tcW w:type="dxa" w:w="2484"/>
            <w:shd w:fill="16324F"/>
            <w:vAlign w:val="center"/>
          </w:tcPr>
          <w:p>
            <w:pPr>
              <w:spacing w:after="0"/>
            </w:pPr>
            <w:r/>
            <w:r>
              <w:rPr>
                <w:rFonts w:ascii="Aptos" w:hAnsi="Aptos"/>
                <w:b/>
                <w:color w:val="FFFFFF"/>
                <w:sz w:val="16"/>
              </w:rPr>
              <w:t>Difference vs. fixed-long</w:t>
            </w:r>
          </w:p>
        </w:tc>
      </w:tr>
      <w:tr>
        <w:tc>
          <w:tcPr>
            <w:tcW w:type="dxa" w:w="3096"/>
            <w:vAlign w:val="center"/>
          </w:tcPr>
          <w:p>
            <w:pPr>
              <w:spacing w:after="0"/>
            </w:pPr>
            <w:r/>
            <w:r>
              <w:rPr>
                <w:rFonts w:ascii="Aptos" w:hAnsi="Aptos"/>
                <w:b w:val="0"/>
                <w:color w:val="1D252C"/>
                <w:sz w:val="16"/>
              </w:rPr>
              <w:t>Fixed-long, round 8</w:t>
            </w:r>
          </w:p>
        </w:tc>
        <w:tc>
          <w:tcPr>
            <w:tcW w:type="dxa" w:w="1584"/>
            <w:vAlign w:val="center"/>
          </w:tcPr>
          <w:p>
            <w:pPr>
              <w:spacing w:after="0"/>
            </w:pPr>
            <w:r/>
            <w:r>
              <w:rPr>
                <w:rFonts w:ascii="Aptos" w:hAnsi="Aptos"/>
                <w:b w:val="0"/>
                <w:color w:val="1D252C"/>
                <w:sz w:val="16"/>
              </w:rPr>
              <w:t>123</w:t>
            </w:r>
          </w:p>
        </w:tc>
        <w:tc>
          <w:tcPr>
            <w:tcW w:type="dxa" w:w="1440"/>
            <w:vAlign w:val="center"/>
          </w:tcPr>
          <w:p>
            <w:pPr>
              <w:spacing w:after="0"/>
            </w:pPr>
            <w:r/>
            <w:r>
              <w:rPr>
                <w:rFonts w:ascii="Aptos" w:hAnsi="Aptos"/>
                <w:b w:val="0"/>
                <w:color w:val="1D252C"/>
                <w:sz w:val="16"/>
              </w:rPr>
              <w:t>61.5%</w:t>
            </w:r>
          </w:p>
        </w:tc>
        <w:tc>
          <w:tcPr>
            <w:tcW w:type="dxa" w:w="3312"/>
            <w:vAlign w:val="center"/>
          </w:tcPr>
          <w:p>
            <w:pPr>
              <w:spacing w:after="0"/>
            </w:pPr>
            <w:r/>
            <w:r>
              <w:rPr>
                <w:rFonts w:ascii="Aptos" w:hAnsi="Aptos"/>
                <w:b w:val="0"/>
                <w:color w:val="1D252C"/>
                <w:sz w:val="16"/>
              </w:rPr>
              <w:t>Reference</w:t>
            </w:r>
          </w:p>
        </w:tc>
      </w:tr>
      <w:tr>
        <w:tc>
          <w:tcPr>
            <w:tcW w:type="dxa" w:w="3096"/>
            <w:vAlign w:val="center"/>
            <w:shd w:fill="F4F7F9"/>
          </w:tcPr>
          <w:p>
            <w:pPr>
              <w:spacing w:after="0"/>
            </w:pPr>
            <w:r/>
            <w:r>
              <w:rPr>
                <w:rFonts w:ascii="Aptos" w:hAnsi="Aptos"/>
                <w:b w:val="0"/>
                <w:color w:val="1D252C"/>
                <w:sz w:val="16"/>
              </w:rPr>
              <w:t>Fixed-short, round 2</w:t>
            </w:r>
          </w:p>
        </w:tc>
        <w:tc>
          <w:tcPr>
            <w:tcW w:type="dxa" w:w="1584"/>
            <w:vAlign w:val="center"/>
            <w:shd w:fill="F4F7F9"/>
          </w:tcPr>
          <w:p>
            <w:pPr>
              <w:spacing w:after="0"/>
            </w:pPr>
            <w:r/>
            <w:r>
              <w:rPr>
                <w:rFonts w:ascii="Aptos" w:hAnsi="Aptos"/>
                <w:b w:val="0"/>
                <w:color w:val="1D252C"/>
                <w:sz w:val="16"/>
              </w:rPr>
              <w:t>176</w:t>
            </w:r>
          </w:p>
        </w:tc>
        <w:tc>
          <w:tcPr>
            <w:tcW w:type="dxa" w:w="1440"/>
            <w:vAlign w:val="center"/>
            <w:shd w:fill="F4F7F9"/>
          </w:tcPr>
          <w:p>
            <w:pPr>
              <w:spacing w:after="0"/>
            </w:pPr>
            <w:r/>
            <w:r>
              <w:rPr>
                <w:rFonts w:ascii="Aptos" w:hAnsi="Aptos"/>
                <w:b w:val="0"/>
                <w:color w:val="1D252C"/>
                <w:sz w:val="16"/>
              </w:rPr>
              <w:t>88.0%</w:t>
            </w:r>
          </w:p>
        </w:tc>
        <w:tc>
          <w:tcPr>
            <w:tcW w:type="dxa" w:w="3312"/>
            <w:vAlign w:val="center"/>
            <w:shd w:fill="F4F7F9"/>
          </w:tcPr>
          <w:p>
            <w:pPr>
              <w:spacing w:after="0"/>
            </w:pPr>
            <w:r/>
            <w:r>
              <w:rPr>
                <w:rFonts w:ascii="Aptos" w:hAnsi="Aptos"/>
                <w:b w:val="0"/>
                <w:color w:val="1D252C"/>
                <w:sz w:val="16"/>
              </w:rPr>
              <w:t>+26.5 pp</w:t>
            </w:r>
          </w:p>
        </w:tc>
      </w:tr>
      <w:tr>
        <w:tc>
          <w:tcPr>
            <w:tcW w:type="dxa" w:w="3096"/>
            <w:vAlign w:val="center"/>
          </w:tcPr>
          <w:p>
            <w:pPr>
              <w:spacing w:after="0"/>
            </w:pPr>
            <w:r/>
            <w:r>
              <w:rPr>
                <w:rFonts w:ascii="Aptos" w:hAnsi="Aptos"/>
                <w:b w:val="0"/>
                <w:color w:val="1D252C"/>
                <w:sz w:val="16"/>
              </w:rPr>
              <w:t>Uncertainty-only</w:t>
            </w:r>
          </w:p>
        </w:tc>
        <w:tc>
          <w:tcPr>
            <w:tcW w:type="dxa" w:w="1584"/>
            <w:vAlign w:val="center"/>
          </w:tcPr>
          <w:p>
            <w:pPr>
              <w:spacing w:after="0"/>
            </w:pPr>
            <w:r/>
            <w:r>
              <w:rPr>
                <w:rFonts w:ascii="Aptos" w:hAnsi="Aptos"/>
                <w:b w:val="0"/>
                <w:color w:val="1D252C"/>
                <w:sz w:val="16"/>
              </w:rPr>
              <w:t>176</w:t>
            </w:r>
          </w:p>
        </w:tc>
        <w:tc>
          <w:tcPr>
            <w:tcW w:type="dxa" w:w="1440"/>
            <w:vAlign w:val="center"/>
          </w:tcPr>
          <w:p>
            <w:pPr>
              <w:spacing w:after="0"/>
            </w:pPr>
            <w:r/>
            <w:r>
              <w:rPr>
                <w:rFonts w:ascii="Aptos" w:hAnsi="Aptos"/>
                <w:b w:val="0"/>
                <w:color w:val="1D252C"/>
                <w:sz w:val="16"/>
              </w:rPr>
              <w:t>88.0%</w:t>
            </w:r>
          </w:p>
        </w:tc>
        <w:tc>
          <w:tcPr>
            <w:tcW w:type="dxa" w:w="3312"/>
            <w:vAlign w:val="center"/>
          </w:tcPr>
          <w:p>
            <w:pPr>
              <w:spacing w:after="0"/>
            </w:pPr>
            <w:r/>
            <w:r>
              <w:rPr>
                <w:rFonts w:ascii="Aptos" w:hAnsi="Aptos"/>
                <w:b w:val="0"/>
                <w:color w:val="1D252C"/>
                <w:sz w:val="16"/>
              </w:rPr>
              <w:t>+26.5 pp</w:t>
            </w:r>
          </w:p>
        </w:tc>
      </w:tr>
      <w:tr>
        <w:tc>
          <w:tcPr>
            <w:tcW w:type="dxa" w:w="3096"/>
            <w:vAlign w:val="center"/>
            <w:shd w:fill="F4F7F9"/>
          </w:tcPr>
          <w:p>
            <w:pPr>
              <w:spacing w:after="0"/>
            </w:pPr>
            <w:r/>
            <w:r>
              <w:rPr>
                <w:rFonts w:ascii="Aptos" w:hAnsi="Aptos"/>
                <w:b w:val="0"/>
                <w:color w:val="1D252C"/>
                <w:sz w:val="16"/>
              </w:rPr>
              <w:t>Answer stability</w:t>
            </w:r>
          </w:p>
        </w:tc>
        <w:tc>
          <w:tcPr>
            <w:tcW w:type="dxa" w:w="1584"/>
            <w:vAlign w:val="center"/>
            <w:shd w:fill="F4F7F9"/>
          </w:tcPr>
          <w:p>
            <w:pPr>
              <w:spacing w:after="0"/>
            </w:pPr>
            <w:r/>
            <w:r>
              <w:rPr>
                <w:rFonts w:ascii="Aptos" w:hAnsi="Aptos"/>
                <w:b w:val="0"/>
                <w:color w:val="1D252C"/>
                <w:sz w:val="16"/>
              </w:rPr>
              <w:t>182</w:t>
            </w:r>
          </w:p>
        </w:tc>
        <w:tc>
          <w:tcPr>
            <w:tcW w:type="dxa" w:w="1440"/>
            <w:vAlign w:val="center"/>
            <w:shd w:fill="F4F7F9"/>
          </w:tcPr>
          <w:p>
            <w:pPr>
              <w:spacing w:after="0"/>
            </w:pPr>
            <w:r/>
            <w:r>
              <w:rPr>
                <w:rFonts w:ascii="Aptos" w:hAnsi="Aptos"/>
                <w:b w:val="0"/>
                <w:color w:val="1D252C"/>
                <w:sz w:val="16"/>
              </w:rPr>
              <w:t>91.0%</w:t>
            </w:r>
          </w:p>
        </w:tc>
        <w:tc>
          <w:tcPr>
            <w:tcW w:type="dxa" w:w="3312"/>
            <w:vAlign w:val="center"/>
            <w:shd w:fill="F4F7F9"/>
          </w:tcPr>
          <w:p>
            <w:pPr>
              <w:spacing w:after="0"/>
            </w:pPr>
            <w:r/>
            <w:r>
              <w:rPr>
                <w:rFonts w:ascii="Aptos" w:hAnsi="Aptos"/>
                <w:b w:val="0"/>
                <w:color w:val="1D252C"/>
                <w:sz w:val="16"/>
              </w:rPr>
              <w:t>+29.5 pp</w:t>
            </w:r>
          </w:p>
        </w:tc>
      </w:tr>
      <w:tr>
        <w:tc>
          <w:tcPr>
            <w:tcW w:type="dxa" w:w="3096"/>
            <w:vAlign w:val="center"/>
          </w:tcPr>
          <w:p>
            <w:pPr>
              <w:spacing w:after="0"/>
            </w:pPr>
            <w:r/>
            <w:r>
              <w:rPr>
                <w:rFonts w:ascii="Aptos" w:hAnsi="Aptos"/>
                <w:b w:val="0"/>
                <w:color w:val="1D252C"/>
                <w:sz w:val="16"/>
              </w:rPr>
              <w:t>Adaptive</w:t>
            </w:r>
          </w:p>
        </w:tc>
        <w:tc>
          <w:tcPr>
            <w:tcW w:type="dxa" w:w="1584"/>
            <w:vAlign w:val="center"/>
          </w:tcPr>
          <w:p>
            <w:pPr>
              <w:spacing w:after="0"/>
            </w:pPr>
            <w:r/>
            <w:r>
              <w:rPr>
                <w:rFonts w:ascii="Aptos" w:hAnsi="Aptos"/>
                <w:b w:val="0"/>
                <w:color w:val="1D252C"/>
                <w:sz w:val="16"/>
              </w:rPr>
              <w:t>182</w:t>
            </w:r>
          </w:p>
        </w:tc>
        <w:tc>
          <w:tcPr>
            <w:tcW w:type="dxa" w:w="1440"/>
            <w:vAlign w:val="center"/>
          </w:tcPr>
          <w:p>
            <w:pPr>
              <w:spacing w:after="0"/>
            </w:pPr>
            <w:r/>
            <w:r>
              <w:rPr>
                <w:rFonts w:ascii="Aptos" w:hAnsi="Aptos"/>
                <w:b w:val="0"/>
                <w:color w:val="1D252C"/>
                <w:sz w:val="16"/>
              </w:rPr>
              <w:t>91.0%</w:t>
            </w:r>
          </w:p>
        </w:tc>
        <w:tc>
          <w:tcPr>
            <w:tcW w:type="dxa" w:w="3312"/>
            <w:vAlign w:val="center"/>
          </w:tcPr>
          <w:p>
            <w:pPr>
              <w:spacing w:after="0"/>
            </w:pPr>
            <w:r/>
            <w:r>
              <w:rPr>
                <w:rFonts w:ascii="Aptos" w:hAnsi="Aptos"/>
                <w:b w:val="0"/>
                <w:color w:val="1D252C"/>
                <w:sz w:val="16"/>
              </w:rPr>
              <w:t>+29.5 pp</w:t>
            </w:r>
          </w:p>
        </w:tc>
      </w:tr>
      <w:tr>
        <w:tc>
          <w:tcPr>
            <w:tcW w:type="dxa" w:w="3096"/>
            <w:vAlign w:val="center"/>
            <w:shd w:fill="F4F7F9"/>
          </w:tcPr>
          <w:p>
            <w:pPr>
              <w:spacing w:after="0"/>
            </w:pPr>
            <w:r/>
            <w:r>
              <w:rPr>
                <w:rFonts w:ascii="Aptos" w:hAnsi="Aptos"/>
                <w:b w:val="0"/>
                <w:color w:val="1D252C"/>
                <w:sz w:val="16"/>
              </w:rPr>
              <w:t>Oracle best step</w:t>
            </w:r>
          </w:p>
        </w:tc>
        <w:tc>
          <w:tcPr>
            <w:tcW w:type="dxa" w:w="1584"/>
            <w:vAlign w:val="center"/>
            <w:shd w:fill="F4F7F9"/>
          </w:tcPr>
          <w:p>
            <w:pPr>
              <w:spacing w:after="0"/>
            </w:pPr>
            <w:r/>
            <w:r>
              <w:rPr>
                <w:rFonts w:ascii="Aptos" w:hAnsi="Aptos"/>
                <w:b w:val="0"/>
                <w:color w:val="1D252C"/>
                <w:sz w:val="16"/>
              </w:rPr>
              <w:t>190</w:t>
            </w:r>
          </w:p>
        </w:tc>
        <w:tc>
          <w:tcPr>
            <w:tcW w:type="dxa" w:w="1440"/>
            <w:vAlign w:val="center"/>
            <w:shd w:fill="F4F7F9"/>
          </w:tcPr>
          <w:p>
            <w:pPr>
              <w:spacing w:after="0"/>
            </w:pPr>
            <w:r/>
            <w:r>
              <w:rPr>
                <w:rFonts w:ascii="Aptos" w:hAnsi="Aptos"/>
                <w:b w:val="0"/>
                <w:color w:val="1D252C"/>
                <w:sz w:val="16"/>
              </w:rPr>
              <w:t>95.0%</w:t>
            </w:r>
          </w:p>
        </w:tc>
        <w:tc>
          <w:tcPr>
            <w:tcW w:type="dxa" w:w="3312"/>
            <w:vAlign w:val="center"/>
            <w:shd w:fill="F4F7F9"/>
          </w:tcPr>
          <w:p>
            <w:pPr>
              <w:spacing w:after="0"/>
            </w:pPr>
            <w:r/>
            <w:r>
              <w:rPr>
                <w:rFonts w:ascii="Aptos" w:hAnsi="Aptos"/>
                <w:b w:val="0"/>
                <w:color w:val="1D252C"/>
                <w:sz w:val="16"/>
              </w:rPr>
              <w:t>+33.5 pp</w:t>
            </w:r>
          </w:p>
        </w:tc>
      </w:tr>
    </w:tbl>
    <w:p>
      <w:pPr>
        <w:spacing w:after="0"/>
      </w:pPr>
    </w:p>
    <w:p>
      <w:pPr>
        <w:keepLines/>
        <w:jc w:val="center"/>
      </w:pPr>
      <w:r>
        <w:drawing>
          <wp:inline xmlns:a="http://schemas.openxmlformats.org/drawingml/2006/main" xmlns:pic="http://schemas.openxmlformats.org/drawingml/2006/picture">
            <wp:extent cx="6217920" cy="3150413"/>
            <wp:docPr id="2" name="Picture 2"/>
            <wp:cNvGraphicFramePr>
              <a:graphicFrameLocks noChangeAspect="1"/>
            </wp:cNvGraphicFramePr>
            <a:graphic>
              <a:graphicData uri="http://schemas.openxmlformats.org/drawingml/2006/picture">
                <pic:pic>
                  <pic:nvPicPr>
                    <pic:cNvPr id="0" name="px057_gates.png"/>
                    <pic:cNvPicPr/>
                  </pic:nvPicPr>
                  <pic:blipFill>
                    <a:blip r:embed="rId12"/>
                    <a:stretch>
                      <a:fillRect/>
                    </a:stretch>
                  </pic:blipFill>
                  <pic:spPr>
                    <a:xfrm>
                      <a:off x="0" y="0"/>
                      <a:ext cx="6217920" cy="3150413"/>
                    </a:xfrm>
                    <a:prstGeom prst="rect"/>
                  </pic:spPr>
                </pic:pic>
              </a:graphicData>
            </a:graphic>
          </wp:inline>
        </w:drawing>
      </w:r>
    </w:p>
    <w:p>
      <w:pPr>
        <w:keepNext/>
        <w:spacing w:after="160"/>
        <w:jc w:val="center"/>
      </w:pPr>
      <w:r>
        <w:rPr>
          <w:i/>
          <w:color w:val="566573"/>
          <w:sz w:val="17"/>
        </w:rPr>
        <w:t>Figure 2. Every Gate 2 threshold passed. H4 was not part of this adjudication.</w:t>
      </w:r>
    </w:p>
    <w:tbl>
      <w:tblPr>
        <w:tblStyle w:val="TableGrid"/>
        <w:tblW w:type="auto" w:w="0"/>
        <w:jc w:val="center"/>
        <w:tblLayout w:type="fixed"/>
        <w:tblLook w:firstColumn="1" w:firstRow="1" w:lastColumn="0" w:lastRow="0" w:noHBand="0" w:noVBand="1" w:val="04A0"/>
      </w:tblPr>
      <w:tblGrid>
        <w:gridCol w:w="2520"/>
        <w:gridCol w:w="1512"/>
        <w:gridCol w:w="3528"/>
        <w:gridCol w:w="1872"/>
      </w:tblGrid>
      <w:tr>
        <w:trPr>
          <w:tblHeader w:val="true"/>
        </w:trPr>
        <w:tc>
          <w:tcPr>
            <w:tcW w:type="dxa" w:w="2484"/>
            <w:shd w:fill="16324F"/>
            <w:vAlign w:val="center"/>
          </w:tcPr>
          <w:p>
            <w:pPr>
              <w:spacing w:after="0"/>
            </w:pPr>
            <w:r/>
            <w:r>
              <w:rPr>
                <w:rFonts w:ascii="Aptos" w:hAnsi="Aptos"/>
                <w:b/>
                <w:color w:val="FFFFFF"/>
                <w:sz w:val="16"/>
              </w:rPr>
              <w:t>Metric</w:t>
            </w:r>
          </w:p>
        </w:tc>
        <w:tc>
          <w:tcPr>
            <w:tcW w:type="dxa" w:w="2484"/>
            <w:shd w:fill="16324F"/>
            <w:vAlign w:val="center"/>
          </w:tcPr>
          <w:p>
            <w:pPr>
              <w:spacing w:after="0"/>
            </w:pPr>
            <w:r/>
            <w:r>
              <w:rPr>
                <w:rFonts w:ascii="Aptos" w:hAnsi="Aptos"/>
                <w:b/>
                <w:color w:val="FFFFFF"/>
                <w:sz w:val="16"/>
              </w:rPr>
              <w:t>Estimate</w:t>
            </w:r>
          </w:p>
        </w:tc>
        <w:tc>
          <w:tcPr>
            <w:tcW w:type="dxa" w:w="2484"/>
            <w:shd w:fill="16324F"/>
            <w:vAlign w:val="center"/>
          </w:tcPr>
          <w:p>
            <w:pPr>
              <w:spacing w:after="0"/>
            </w:pPr>
            <w:r/>
            <w:r>
              <w:rPr>
                <w:rFonts w:ascii="Aptos" w:hAnsi="Aptos"/>
                <w:b/>
                <w:color w:val="FFFFFF"/>
                <w:sz w:val="16"/>
              </w:rPr>
              <w:t>Uncertainty / count</w:t>
            </w:r>
          </w:p>
        </w:tc>
        <w:tc>
          <w:tcPr>
            <w:tcW w:type="dxa" w:w="2484"/>
            <w:shd w:fill="16324F"/>
            <w:vAlign w:val="center"/>
          </w:tcPr>
          <w:p>
            <w:pPr>
              <w:spacing w:after="0"/>
            </w:pPr>
            <w:r/>
            <w:r>
              <w:rPr>
                <w:rFonts w:ascii="Aptos" w:hAnsi="Aptos"/>
                <w:b/>
                <w:color w:val="FFFFFF"/>
                <w:sz w:val="16"/>
              </w:rPr>
              <w:t>Registered threshold</w:t>
            </w:r>
          </w:p>
        </w:tc>
      </w:tr>
      <w:tr>
        <w:tc>
          <w:tcPr>
            <w:tcW w:type="dxa" w:w="2520"/>
            <w:vAlign w:val="center"/>
          </w:tcPr>
          <w:p>
            <w:pPr>
              <w:spacing w:after="0"/>
            </w:pPr>
            <w:r/>
            <w:r>
              <w:rPr>
                <w:rFonts w:ascii="Aptos" w:hAnsi="Aptos"/>
                <w:b w:val="0"/>
                <w:color w:val="1D252C"/>
                <w:sz w:val="16"/>
              </w:rPr>
              <w:t>Adaptive accuracy delta</w:t>
            </w:r>
          </w:p>
        </w:tc>
        <w:tc>
          <w:tcPr>
            <w:tcW w:type="dxa" w:w="1512"/>
            <w:vAlign w:val="center"/>
          </w:tcPr>
          <w:p>
            <w:pPr>
              <w:spacing w:after="0"/>
            </w:pPr>
            <w:r/>
            <w:r>
              <w:rPr>
                <w:rFonts w:ascii="Aptos" w:hAnsi="Aptos"/>
                <w:b w:val="0"/>
                <w:color w:val="1D252C"/>
                <w:sz w:val="16"/>
              </w:rPr>
              <w:t>+29.5 pp</w:t>
            </w:r>
          </w:p>
        </w:tc>
        <w:tc>
          <w:tcPr>
            <w:tcW w:type="dxa" w:w="3528"/>
            <w:vAlign w:val="center"/>
          </w:tcPr>
          <w:p>
            <w:pPr>
              <w:spacing w:after="0"/>
            </w:pPr>
            <w:r/>
            <w:r>
              <w:rPr>
                <w:rFonts w:ascii="Aptos" w:hAnsi="Aptos"/>
                <w:b w:val="0"/>
                <w:color w:val="1D252C"/>
                <w:sz w:val="16"/>
              </w:rPr>
              <w:t>Descriptive difference</w:t>
            </w:r>
          </w:p>
        </w:tc>
        <w:tc>
          <w:tcPr>
            <w:tcW w:type="dxa" w:w="1872"/>
            <w:vAlign w:val="center"/>
          </w:tcPr>
          <w:p>
            <w:pPr>
              <w:spacing w:after="0"/>
            </w:pPr>
            <w:r/>
            <w:r>
              <w:rPr>
                <w:rFonts w:ascii="Aptos" w:hAnsi="Aptos"/>
                <w:b w:val="0"/>
                <w:color w:val="1D252C"/>
                <w:sz w:val="16"/>
              </w:rPr>
              <w:t>&gt;= -1.0 pp</w:t>
            </w:r>
          </w:p>
        </w:tc>
      </w:tr>
      <w:tr>
        <w:tc>
          <w:tcPr>
            <w:tcW w:type="dxa" w:w="2520"/>
            <w:vAlign w:val="center"/>
            <w:shd w:fill="F4F7F9"/>
          </w:tcPr>
          <w:p>
            <w:pPr>
              <w:spacing w:after="0"/>
            </w:pPr>
            <w:r/>
            <w:r>
              <w:rPr>
                <w:rFonts w:ascii="Aptos" w:hAnsi="Aptos"/>
                <w:b w:val="0"/>
                <w:color w:val="1D252C"/>
                <w:sz w:val="16"/>
              </w:rPr>
              <w:t>Mean generated-token saving</w:t>
            </w:r>
          </w:p>
        </w:tc>
        <w:tc>
          <w:tcPr>
            <w:tcW w:type="dxa" w:w="1512"/>
            <w:vAlign w:val="center"/>
            <w:shd w:fill="F4F7F9"/>
          </w:tcPr>
          <w:p>
            <w:pPr>
              <w:spacing w:after="0"/>
            </w:pPr>
            <w:r/>
            <w:r>
              <w:rPr>
                <w:rFonts w:ascii="Aptos" w:hAnsi="Aptos"/>
                <w:b w:val="0"/>
                <w:color w:val="1D252C"/>
                <w:sz w:val="16"/>
              </w:rPr>
              <w:t>66.5%</w:t>
            </w:r>
          </w:p>
        </w:tc>
        <w:tc>
          <w:tcPr>
            <w:tcW w:type="dxa" w:w="3528"/>
            <w:vAlign w:val="center"/>
            <w:shd w:fill="F4F7F9"/>
          </w:tcPr>
          <w:p>
            <w:pPr>
              <w:spacing w:after="0"/>
            </w:pPr>
            <w:r/>
            <w:r>
              <w:rPr>
                <w:rFonts w:ascii="Aptos" w:hAnsi="Aptos"/>
                <w:b w:val="0"/>
                <w:color w:val="1D252C"/>
                <w:sz w:val="16"/>
              </w:rPr>
              <w:t>Bootstrap 95% CI 63.7%-69.1%</w:t>
            </w:r>
          </w:p>
        </w:tc>
        <w:tc>
          <w:tcPr>
            <w:tcW w:type="dxa" w:w="1872"/>
            <w:vAlign w:val="center"/>
            <w:shd w:fill="F4F7F9"/>
          </w:tcPr>
          <w:p>
            <w:pPr>
              <w:spacing w:after="0"/>
            </w:pPr>
            <w:r/>
            <w:r>
              <w:rPr>
                <w:rFonts w:ascii="Aptos" w:hAnsi="Aptos"/>
                <w:b w:val="0"/>
                <w:color w:val="1D252C"/>
                <w:sz w:val="16"/>
              </w:rPr>
              <w:t>&gt;= 20%</w:t>
            </w:r>
          </w:p>
        </w:tc>
      </w:tr>
      <w:tr>
        <w:tc>
          <w:tcPr>
            <w:tcW w:type="dxa" w:w="2520"/>
            <w:vAlign w:val="center"/>
          </w:tcPr>
          <w:p>
            <w:pPr>
              <w:spacing w:after="0"/>
            </w:pPr>
            <w:r/>
            <w:r>
              <w:rPr>
                <w:rFonts w:ascii="Aptos" w:hAnsi="Aptos"/>
                <w:b w:val="0"/>
                <w:color w:val="1D252C"/>
                <w:sz w:val="16"/>
              </w:rPr>
              <w:t>Overthinking prevention</w:t>
            </w:r>
          </w:p>
        </w:tc>
        <w:tc>
          <w:tcPr>
            <w:tcW w:type="dxa" w:w="1512"/>
            <w:vAlign w:val="center"/>
          </w:tcPr>
          <w:p>
            <w:pPr>
              <w:spacing w:after="0"/>
            </w:pPr>
            <w:r/>
            <w:r>
              <w:rPr>
                <w:rFonts w:ascii="Aptos" w:hAnsi="Aptos"/>
                <w:b w:val="0"/>
                <w:color w:val="1D252C"/>
                <w:sz w:val="16"/>
              </w:rPr>
              <w:t>89.6%</w:t>
            </w:r>
          </w:p>
        </w:tc>
        <w:tc>
          <w:tcPr>
            <w:tcW w:type="dxa" w:w="3528"/>
            <w:vAlign w:val="center"/>
          </w:tcPr>
          <w:p>
            <w:pPr>
              <w:spacing w:after="0"/>
            </w:pPr>
            <w:r/>
            <w:r>
              <w:rPr>
                <w:rFonts w:ascii="Aptos" w:hAnsi="Aptos"/>
                <w:b w:val="0"/>
                <w:color w:val="1D252C"/>
                <w:sz w:val="16"/>
              </w:rPr>
              <w:t>60/67; bootstrap 95% CI 82.1%-95.5%</w:t>
            </w:r>
          </w:p>
        </w:tc>
        <w:tc>
          <w:tcPr>
            <w:tcW w:type="dxa" w:w="1872"/>
            <w:vAlign w:val="center"/>
          </w:tcPr>
          <w:p>
            <w:pPr>
              <w:spacing w:after="0"/>
            </w:pPr>
            <w:r/>
            <w:r>
              <w:rPr>
                <w:rFonts w:ascii="Aptos" w:hAnsi="Aptos"/>
                <w:b w:val="0"/>
                <w:color w:val="1D252C"/>
                <w:sz w:val="16"/>
              </w:rPr>
              <w:t>&gt;= 25%</w:t>
            </w:r>
          </w:p>
        </w:tc>
      </w:tr>
      <w:tr>
        <w:tc>
          <w:tcPr>
            <w:tcW w:type="dxa" w:w="2520"/>
            <w:vAlign w:val="center"/>
            <w:shd w:fill="F4F7F9"/>
          </w:tcPr>
          <w:p>
            <w:pPr>
              <w:spacing w:after="0"/>
            </w:pPr>
            <w:r/>
            <w:r>
              <w:rPr>
                <w:rFonts w:ascii="Aptos" w:hAnsi="Aptos"/>
                <w:b w:val="0"/>
                <w:color w:val="1D252C"/>
                <w:sz w:val="16"/>
              </w:rPr>
              <w:t>Early-stop harm</w:t>
            </w:r>
          </w:p>
        </w:tc>
        <w:tc>
          <w:tcPr>
            <w:tcW w:type="dxa" w:w="1512"/>
            <w:vAlign w:val="center"/>
            <w:shd w:fill="F4F7F9"/>
          </w:tcPr>
          <w:p>
            <w:pPr>
              <w:spacing w:after="0"/>
            </w:pPr>
            <w:r/>
            <w:r>
              <w:rPr>
                <w:rFonts w:ascii="Aptos" w:hAnsi="Aptos"/>
                <w:b w:val="0"/>
                <w:color w:val="1D252C"/>
                <w:sz w:val="16"/>
              </w:rPr>
              <w:t>0.5%</w:t>
            </w:r>
          </w:p>
        </w:tc>
        <w:tc>
          <w:tcPr>
            <w:tcW w:type="dxa" w:w="3528"/>
            <w:vAlign w:val="center"/>
            <w:shd w:fill="F4F7F9"/>
          </w:tcPr>
          <w:p>
            <w:pPr>
              <w:spacing w:after="0"/>
            </w:pPr>
            <w:r/>
            <w:r>
              <w:rPr>
                <w:rFonts w:ascii="Aptos" w:hAnsi="Aptos"/>
                <w:b w:val="0"/>
                <w:color w:val="1D252C"/>
                <w:sz w:val="16"/>
              </w:rPr>
              <w:t>1/200</w:t>
            </w:r>
          </w:p>
        </w:tc>
        <w:tc>
          <w:tcPr>
            <w:tcW w:type="dxa" w:w="1872"/>
            <w:vAlign w:val="center"/>
            <w:shd w:fill="F4F7F9"/>
          </w:tcPr>
          <w:p>
            <w:pPr>
              <w:spacing w:after="0"/>
            </w:pPr>
            <w:r/>
            <w:r>
              <w:rPr>
                <w:rFonts w:ascii="Aptos" w:hAnsi="Aptos"/>
                <w:b w:val="0"/>
                <w:color w:val="1D252C"/>
                <w:sz w:val="16"/>
              </w:rPr>
              <w:t>&lt;= 2%</w:t>
            </w:r>
          </w:p>
        </w:tc>
      </w:tr>
    </w:tbl>
    <w:p>
      <w:pPr>
        <w:spacing w:after="0"/>
      </w:pPr>
    </w:p>
    <w:p>
      <w:r>
        <w:t>The adaptive policy returned 182 correct answers. Fixed-long inference returned 123 correct answers, meaning that the repeated reconsideration protocol degraded aggregate performance sharply by round 8. Sixty-seven traces satisfied the preregistered overthinking definition; the adaptive policy retained a correct answer on 60 of them. One trace moved in the opposite direction: fixed-long was correct while the adaptive return was wrong.</w:t>
      </w:r>
    </w:p>
    <w:p>
      <w:pPr>
        <w:pStyle w:val="Heading1"/>
      </w:pPr>
      <w:r>
        <w:t>6. Interpretation</w:t>
      </w:r>
    </w:p>
    <w:p>
      <w:pPr>
        <w:pStyle w:val="Heading2"/>
      </w:pPr>
      <w:r>
        <w:t>6.1 What the experiment demonstrates</w:t>
      </w:r>
    </w:p>
    <w:p>
      <w:pPr>
        <w:pStyle w:val="ListBullet"/>
        <w:spacing w:after="60"/>
      </w:pPr>
      <w:r>
        <w:t>Under this frozen iterative prompting protocol, additional reconsideration frequently reduced answer correctness.</w:t>
      </w:r>
    </w:p>
    <w:p>
      <w:pPr>
        <w:pStyle w:val="ListBullet"/>
        <w:spacing w:after="60"/>
      </w:pPr>
      <w:r>
        <w:t>A two-round stability gate was sufficient to avoid most observed correct-to-wrong reversals.</w:t>
      </w:r>
    </w:p>
    <w:p>
      <w:pPr>
        <w:pStyle w:val="ListBullet"/>
        <w:spacing w:after="60"/>
      </w:pPr>
      <w:r>
        <w:t>The registered adaptive policy simultaneously exceeded the accuracy non-inferiority gate, the compute-saving gate, the prevention gate, and the harm ceiling.</w:t>
      </w:r>
    </w:p>
    <w:p>
      <w:pPr>
        <w:pStyle w:val="ListBullet"/>
        <w:spacing w:after="60"/>
      </w:pPr>
      <w:r>
        <w:t>The experiment is reproducible at the artifact level because the sample, configuration, trace corpus, raw outputs, and hashes are preserved.</w:t>
      </w:r>
    </w:p>
    <w:p>
      <w:pPr>
        <w:pStyle w:val="Heading2"/>
      </w:pPr>
      <w:r>
        <w:t>6.2 What the experiment does not demonstrate</w:t>
      </w:r>
    </w:p>
    <w:p>
      <w:pPr>
        <w:pStyle w:val="ListBullet"/>
        <w:spacing w:after="60"/>
      </w:pPr>
      <w:r>
        <w:t>It does not show that early stopping improves every model, task, prompt, or decoding regime.</w:t>
      </w:r>
    </w:p>
    <w:p>
      <w:pPr>
        <w:pStyle w:val="ListBullet"/>
        <w:spacing w:after="60"/>
      </w:pPr>
      <w:r>
        <w:t>It does not establish performance on the full GSM8K test set; 200 questions were evaluated.</w:t>
      </w:r>
    </w:p>
    <w:p>
      <w:pPr>
        <w:pStyle w:val="ListBullet"/>
        <w:spacing w:after="60"/>
      </w:pPr>
      <w:r>
        <w:t>It does not establish cross-domain or cross-model robustness; H4 remains pending.</w:t>
      </w:r>
    </w:p>
    <w:p>
      <w:pPr>
        <w:pStyle w:val="ListBullet"/>
        <w:spacing w:after="60"/>
      </w:pPr>
      <w:r>
        <w:t>It does not prove that the confidence proxy is calibrated or causally useful.</w:t>
      </w:r>
    </w:p>
    <w:p>
      <w:pPr>
        <w:pStyle w:val="ListBullet"/>
        <w:spacing w:after="60"/>
      </w:pPr>
      <w:r>
        <w:t>It does not compare production latency, energy, or dollar cost directly; generated tokens are the registered compute proxy.</w:t>
      </w:r>
    </w:p>
    <w:p>
      <w:pPr>
        <w:pStyle w:val="Heading2"/>
      </w:pPr>
      <w:r>
        <w:t>6.3 Why the stability-control tie matters</w:t>
      </w:r>
    </w:p>
    <w:p>
      <w:r>
        <w:t>The adaptive and answer-stability arms both achieved 91.0% accuracy. Therefore, the result supports answer stability as the effective observable signal in this run, but it does not support an incremental accuracy claim for the confidence threshold. A production design should treat the confidence component as unvalidated until an ablation across models and domains shows a consistent benefit, lower harm, or better latency.</w:t>
      </w:r>
    </w:p>
    <w:p>
      <w:pPr>
        <w:pStyle w:val="Heading2"/>
      </w:pPr>
      <w:r>
        <w:t>6.4 Relationship to the source literature</w:t>
      </w:r>
    </w:p>
    <w:p>
      <w:r>
        <w:t>Zhou et al. identify diminishing returns and correct-answer abandonment at larger reasoning budgets. PX-057 reproduces the core operational concern in a different, deliberately simple protocol and tests a deployable stopping rule. The current result aligns with the source paper's argument that uniform compute allocation is suboptimal, while extending it from description to a preregistered safety-and-efficiency gate. It is not a direct reproduction of the source paper's full model, task, or token-budget matrix.</w:t>
      </w:r>
    </w:p>
    <w:p>
      <w:pPr>
        <w:pStyle w:val="Heading1"/>
      </w:pPr>
      <w:r>
        <w:t>7. Validity Assessment</w:t>
      </w:r>
    </w:p>
    <w:tbl>
      <w:tblPr>
        <w:tblStyle w:val="TableGrid"/>
        <w:tblW w:type="auto" w:w="0"/>
        <w:jc w:val="center"/>
        <w:tblLayout w:type="fixed"/>
        <w:tblLook w:firstColumn="1" w:firstRow="1" w:lastColumn="0" w:lastRow="0" w:noHBand="0" w:noVBand="1" w:val="04A0"/>
      </w:tblPr>
      <w:tblGrid>
        <w:gridCol w:w="1440"/>
        <w:gridCol w:w="2664"/>
        <w:gridCol w:w="5328"/>
      </w:tblGrid>
      <w:tr>
        <w:trPr>
          <w:tblHeader w:val="true"/>
        </w:trPr>
        <w:tc>
          <w:tcPr>
            <w:tcW w:type="dxa" w:w="3312"/>
            <w:shd w:fill="16324F"/>
            <w:vAlign w:val="center"/>
          </w:tcPr>
          <w:p>
            <w:pPr>
              <w:spacing w:after="0"/>
            </w:pPr>
            <w:r/>
            <w:r>
              <w:rPr>
                <w:rFonts w:ascii="Aptos" w:hAnsi="Aptos"/>
                <w:b/>
                <w:color w:val="FFFFFF"/>
                <w:sz w:val="16"/>
              </w:rPr>
              <w:t>Validity dimension</w:t>
            </w:r>
          </w:p>
        </w:tc>
        <w:tc>
          <w:tcPr>
            <w:tcW w:type="dxa" w:w="3312"/>
            <w:shd w:fill="16324F"/>
            <w:vAlign w:val="center"/>
          </w:tcPr>
          <w:p>
            <w:pPr>
              <w:spacing w:after="0"/>
            </w:pPr>
            <w:r/>
            <w:r>
              <w:rPr>
                <w:rFonts w:ascii="Aptos" w:hAnsi="Aptos"/>
                <w:b/>
                <w:color w:val="FFFFFF"/>
                <w:sz w:val="16"/>
              </w:rPr>
              <w:t>Risk</w:t>
            </w:r>
          </w:p>
        </w:tc>
        <w:tc>
          <w:tcPr>
            <w:tcW w:type="dxa" w:w="3312"/>
            <w:shd w:fill="16324F"/>
            <w:vAlign w:val="center"/>
          </w:tcPr>
          <w:p>
            <w:pPr>
              <w:spacing w:after="0"/>
            </w:pPr>
            <w:r/>
            <w:r>
              <w:rPr>
                <w:rFonts w:ascii="Aptos" w:hAnsi="Aptos"/>
                <w:b/>
                <w:color w:val="FFFFFF"/>
                <w:sz w:val="16"/>
              </w:rPr>
              <w:t>Assessment and mitigation</w:t>
            </w:r>
          </w:p>
        </w:tc>
      </w:tr>
      <w:tr>
        <w:tc>
          <w:tcPr>
            <w:tcW w:type="dxa" w:w="1440"/>
            <w:vAlign w:val="center"/>
          </w:tcPr>
          <w:p>
            <w:pPr>
              <w:spacing w:after="0"/>
            </w:pPr>
            <w:r/>
            <w:r>
              <w:rPr>
                <w:rFonts w:ascii="Aptos" w:hAnsi="Aptos"/>
                <w:b w:val="0"/>
                <w:color w:val="1D252C"/>
                <w:sz w:val="16"/>
              </w:rPr>
              <w:t>Internal</w:t>
            </w:r>
          </w:p>
        </w:tc>
        <w:tc>
          <w:tcPr>
            <w:tcW w:type="dxa" w:w="2664"/>
            <w:vAlign w:val="center"/>
          </w:tcPr>
          <w:p>
            <w:pPr>
              <w:spacing w:after="0"/>
            </w:pPr>
            <w:r/>
            <w:r>
              <w:rPr>
                <w:rFonts w:ascii="Aptos" w:hAnsi="Aptos"/>
                <w:b w:val="0"/>
                <w:color w:val="1D252C"/>
                <w:sz w:val="16"/>
              </w:rPr>
              <w:t>Round-specific prompting may induce degradation</w:t>
            </w:r>
          </w:p>
        </w:tc>
        <w:tc>
          <w:tcPr>
            <w:tcW w:type="dxa" w:w="5328"/>
            <w:vAlign w:val="center"/>
          </w:tcPr>
          <w:p>
            <w:pPr>
              <w:spacing w:after="0"/>
            </w:pPr>
            <w:r/>
            <w:r>
              <w:rPr>
                <w:rFonts w:ascii="Aptos" w:hAnsi="Aptos"/>
                <w:b w:val="0"/>
                <w:color w:val="1D252C"/>
                <w:sz w:val="16"/>
              </w:rPr>
              <w:t>The degradation is real for the frozen protocol, but should not be generalized to natural uninterrupted reasoning. Fixed-short and fixed-long arms make the protocol effect visible.</w:t>
            </w:r>
          </w:p>
        </w:tc>
      </w:tr>
      <w:tr>
        <w:tc>
          <w:tcPr>
            <w:tcW w:type="dxa" w:w="1440"/>
            <w:vAlign w:val="center"/>
            <w:shd w:fill="F4F7F9"/>
          </w:tcPr>
          <w:p>
            <w:pPr>
              <w:spacing w:after="0"/>
            </w:pPr>
            <w:r/>
            <w:r>
              <w:rPr>
                <w:rFonts w:ascii="Aptos" w:hAnsi="Aptos"/>
                <w:b w:val="0"/>
                <w:color w:val="1D252C"/>
                <w:sz w:val="16"/>
              </w:rPr>
              <w:t>Construct</w:t>
            </w:r>
          </w:p>
        </w:tc>
        <w:tc>
          <w:tcPr>
            <w:tcW w:type="dxa" w:w="2664"/>
            <w:vAlign w:val="center"/>
            <w:shd w:fill="F4F7F9"/>
          </w:tcPr>
          <w:p>
            <w:pPr>
              <w:spacing w:after="0"/>
            </w:pPr>
            <w:r/>
            <w:r>
              <w:rPr>
                <w:rFonts w:ascii="Aptos" w:hAnsi="Aptos"/>
                <w:b w:val="0"/>
                <w:color w:val="1D252C"/>
                <w:sz w:val="16"/>
              </w:rPr>
              <w:t>Confidence proxy is not calibrated correctness</w:t>
            </w:r>
          </w:p>
        </w:tc>
        <w:tc>
          <w:tcPr>
            <w:tcW w:type="dxa" w:w="5328"/>
            <w:vAlign w:val="center"/>
            <w:shd w:fill="F4F7F9"/>
          </w:tcPr>
          <w:p>
            <w:pPr>
              <w:spacing w:after="0"/>
            </w:pPr>
            <w:r/>
            <w:r>
              <w:rPr>
                <w:rFonts w:ascii="Aptos" w:hAnsi="Aptos"/>
                <w:b w:val="0"/>
                <w:color w:val="1D252C"/>
                <w:sz w:val="16"/>
              </w:rPr>
              <w:t>Reported explicitly as mean-token probability. Stability-only and uncertainty-only ablations separate signal contributions.</w:t>
            </w:r>
          </w:p>
        </w:tc>
      </w:tr>
      <w:tr>
        <w:tc>
          <w:tcPr>
            <w:tcW w:type="dxa" w:w="1440"/>
            <w:vAlign w:val="center"/>
          </w:tcPr>
          <w:p>
            <w:pPr>
              <w:spacing w:after="0"/>
            </w:pPr>
            <w:r/>
            <w:r>
              <w:rPr>
                <w:rFonts w:ascii="Aptos" w:hAnsi="Aptos"/>
                <w:b w:val="0"/>
                <w:color w:val="1D252C"/>
                <w:sz w:val="16"/>
              </w:rPr>
              <w:t>Statistical</w:t>
            </w:r>
          </w:p>
        </w:tc>
        <w:tc>
          <w:tcPr>
            <w:tcW w:type="dxa" w:w="2664"/>
            <w:vAlign w:val="center"/>
          </w:tcPr>
          <w:p>
            <w:pPr>
              <w:spacing w:after="0"/>
            </w:pPr>
            <w:r/>
            <w:r>
              <w:rPr>
                <w:rFonts w:ascii="Aptos" w:hAnsi="Aptos"/>
                <w:b w:val="0"/>
                <w:color w:val="1D252C"/>
                <w:sz w:val="16"/>
              </w:rPr>
              <w:t>Single 200-item sample</w:t>
            </w:r>
          </w:p>
        </w:tc>
        <w:tc>
          <w:tcPr>
            <w:tcW w:type="dxa" w:w="5328"/>
            <w:vAlign w:val="center"/>
          </w:tcPr>
          <w:p>
            <w:pPr>
              <w:spacing w:after="0"/>
            </w:pPr>
            <w:r/>
            <w:r>
              <w:rPr>
                <w:rFonts w:ascii="Aptos" w:hAnsi="Aptos"/>
                <w:b w:val="0"/>
                <w:color w:val="1D252C"/>
                <w:sz w:val="16"/>
              </w:rPr>
              <w:t>Bootstrap intervals are reported for saving and prevention. No unregistered significance claim is made.</w:t>
            </w:r>
          </w:p>
        </w:tc>
      </w:tr>
      <w:tr>
        <w:tc>
          <w:tcPr>
            <w:tcW w:type="dxa" w:w="1440"/>
            <w:vAlign w:val="center"/>
            <w:shd w:fill="F4F7F9"/>
          </w:tcPr>
          <w:p>
            <w:pPr>
              <w:spacing w:after="0"/>
            </w:pPr>
            <w:r/>
            <w:r>
              <w:rPr>
                <w:rFonts w:ascii="Aptos" w:hAnsi="Aptos"/>
                <w:b w:val="0"/>
                <w:color w:val="1D252C"/>
                <w:sz w:val="16"/>
              </w:rPr>
              <w:t>External</w:t>
            </w:r>
          </w:p>
        </w:tc>
        <w:tc>
          <w:tcPr>
            <w:tcW w:type="dxa" w:w="2664"/>
            <w:vAlign w:val="center"/>
            <w:shd w:fill="F4F7F9"/>
          </w:tcPr>
          <w:p>
            <w:pPr>
              <w:spacing w:after="0"/>
            </w:pPr>
            <w:r/>
            <w:r>
              <w:rPr>
                <w:rFonts w:ascii="Aptos" w:hAnsi="Aptos"/>
                <w:b w:val="0"/>
                <w:color w:val="1D252C"/>
                <w:sz w:val="16"/>
              </w:rPr>
              <w:t>One model and math dataset</w:t>
            </w:r>
          </w:p>
        </w:tc>
        <w:tc>
          <w:tcPr>
            <w:tcW w:type="dxa" w:w="5328"/>
            <w:vAlign w:val="center"/>
            <w:shd w:fill="F4F7F9"/>
          </w:tcPr>
          <w:p>
            <w:pPr>
              <w:spacing w:after="0"/>
            </w:pPr>
            <w:r/>
            <w:r>
              <w:rPr>
                <w:rFonts w:ascii="Aptos" w:hAnsi="Aptos"/>
                <w:b w:val="0"/>
                <w:color w:val="1D252C"/>
                <w:sz w:val="16"/>
              </w:rPr>
              <w:t>Claim is bounded; H4 requires a second open model and non-math corpus without retuning.</w:t>
            </w:r>
          </w:p>
        </w:tc>
      </w:tr>
      <w:tr>
        <w:tc>
          <w:tcPr>
            <w:tcW w:type="dxa" w:w="1440"/>
            <w:vAlign w:val="center"/>
          </w:tcPr>
          <w:p>
            <w:pPr>
              <w:spacing w:after="0"/>
            </w:pPr>
            <w:r/>
            <w:r>
              <w:rPr>
                <w:rFonts w:ascii="Aptos" w:hAnsi="Aptos"/>
                <w:b w:val="0"/>
                <w:color w:val="1D252C"/>
                <w:sz w:val="16"/>
              </w:rPr>
              <w:t>Measurement</w:t>
            </w:r>
          </w:p>
        </w:tc>
        <w:tc>
          <w:tcPr>
            <w:tcW w:type="dxa" w:w="2664"/>
            <w:vAlign w:val="center"/>
          </w:tcPr>
          <w:p>
            <w:pPr>
              <w:spacing w:after="0"/>
            </w:pPr>
            <w:r/>
            <w:r>
              <w:rPr>
                <w:rFonts w:ascii="Aptos" w:hAnsi="Aptos"/>
                <w:b w:val="0"/>
                <w:color w:val="1D252C"/>
                <w:sz w:val="16"/>
              </w:rPr>
              <w:t>Numeric extraction can mis-score malformed outputs</w:t>
            </w:r>
          </w:p>
        </w:tc>
        <w:tc>
          <w:tcPr>
            <w:tcW w:type="dxa" w:w="5328"/>
            <w:vAlign w:val="center"/>
          </w:tcPr>
          <w:p>
            <w:pPr>
              <w:spacing w:after="0"/>
            </w:pPr>
            <w:r/>
            <w:r>
              <w:rPr>
                <w:rFonts w:ascii="Aptos" w:hAnsi="Aptos"/>
                <w:b w:val="0"/>
                <w:color w:val="1D252C"/>
                <w:sz w:val="16"/>
              </w:rPr>
              <w:t>Exact extraction and normalization code are frozen; future work should include a blinded manual scorer audit.</w:t>
            </w:r>
          </w:p>
        </w:tc>
      </w:tr>
      <w:tr>
        <w:tc>
          <w:tcPr>
            <w:tcW w:type="dxa" w:w="1440"/>
            <w:vAlign w:val="center"/>
            <w:shd w:fill="F4F7F9"/>
          </w:tcPr>
          <w:p>
            <w:pPr>
              <w:spacing w:after="0"/>
            </w:pPr>
            <w:r/>
            <w:r>
              <w:rPr>
                <w:rFonts w:ascii="Aptos" w:hAnsi="Aptos"/>
                <w:b w:val="0"/>
                <w:color w:val="1D252C"/>
                <w:sz w:val="16"/>
              </w:rPr>
              <w:t>Operational</w:t>
            </w:r>
          </w:p>
        </w:tc>
        <w:tc>
          <w:tcPr>
            <w:tcW w:type="dxa" w:w="2664"/>
            <w:vAlign w:val="center"/>
            <w:shd w:fill="F4F7F9"/>
          </w:tcPr>
          <w:p>
            <w:pPr>
              <w:spacing w:after="0"/>
            </w:pPr>
            <w:r/>
            <w:r>
              <w:rPr>
                <w:rFonts w:ascii="Aptos" w:hAnsi="Aptos"/>
                <w:b w:val="0"/>
                <w:color w:val="1D252C"/>
                <w:sz w:val="16"/>
              </w:rPr>
              <w:t>Generated tokens do not equal end-to-end cost</w:t>
            </w:r>
          </w:p>
        </w:tc>
        <w:tc>
          <w:tcPr>
            <w:tcW w:type="dxa" w:w="5328"/>
            <w:vAlign w:val="center"/>
            <w:shd w:fill="F4F7F9"/>
          </w:tcPr>
          <w:p>
            <w:pPr>
              <w:spacing w:after="0"/>
            </w:pPr>
            <w:r/>
            <w:r>
              <w:rPr>
                <w:rFonts w:ascii="Aptos" w:hAnsi="Aptos"/>
                <w:b w:val="0"/>
                <w:color w:val="1D252C"/>
                <w:sz w:val="16"/>
              </w:rPr>
              <w:t>Future replication should record latency, GPU-seconds, energy, and dollar cost alongside tokens.</w:t>
            </w:r>
          </w:p>
        </w:tc>
      </w:tr>
    </w:tbl>
    <w:p>
      <w:pPr>
        <w:spacing w:after="0"/>
      </w:pPr>
    </w:p>
    <w:p>
      <w:pPr>
        <w:pStyle w:val="Heading1"/>
      </w:pPr>
      <w:r>
        <w:t>8. Praxis Contribution and Recommended Next Gate</w:t>
      </w:r>
    </w:p>
    <w:p>
      <w:r>
        <w:t>The Praxis contribution is a verification-gated inference control: stop only when a frozen observable rule qualifies, quantify both prevented degradation and stopping harm, and refuse broad deployment claims until transfer gates pass. This reframes adaptive compute as a safety case rather than only an efficiency optimization.</w:t>
      </w:r>
    </w:p>
    <w:p>
      <w:r>
        <w:t>The next investment should be a frozen H4 replication matrix:</w:t>
      </w:r>
    </w:p>
    <w:p>
      <w:pPr>
        <w:pStyle w:val="ListNumber"/>
        <w:spacing w:after="60"/>
      </w:pPr>
      <w:r>
        <w:t>Retain the current 200-item Qwen/GSM8K result unchanged as the discovery experiment.</w:t>
      </w:r>
    </w:p>
    <w:p>
      <w:pPr>
        <w:pStyle w:val="ListNumber"/>
        <w:spacing w:after="60"/>
      </w:pPr>
      <w:r>
        <w:t>Add at least one second open model with the same six arms and no threshold adjustment after test inspection.</w:t>
      </w:r>
    </w:p>
    <w:p>
      <w:pPr>
        <w:pStyle w:val="ListNumber"/>
        <w:spacing w:after="60"/>
      </w:pPr>
      <w:r>
        <w:t>Add a non-math reasoning corpus with deterministic scoring or blinded adjudication.</w:t>
      </w:r>
    </w:p>
    <w:p>
      <w:pPr>
        <w:pStyle w:val="ListNumber"/>
        <w:spacing w:after="60"/>
      </w:pPr>
      <w:r>
        <w:t>Predefine a validation-only threshold-selection process, then lock thresholds for held-out testing.</w:t>
      </w:r>
    </w:p>
    <w:p>
      <w:pPr>
        <w:pStyle w:val="ListNumber"/>
        <w:spacing w:after="60"/>
      </w:pPr>
      <w:r>
        <w:t>Measure wall-clock latency, GPU-seconds, and cost in addition to generated tokens.</w:t>
      </w:r>
    </w:p>
    <w:p>
      <w:pPr>
        <w:pStyle w:val="ListNumber"/>
        <w:spacing w:after="60"/>
      </w:pPr>
      <w:r>
        <w:t>Require the confidence component to beat or reduce harm relative to stability-only before retaining it in the final production policy.</w:t>
      </w:r>
    </w:p>
    <w:p>
      <w:pPr>
        <w:pStyle w:val="Heading1"/>
      </w:pPr>
      <w:r>
        <w:t>9. Conclusion</w:t>
      </w:r>
    </w:p>
    <w:p>
      <w:r>
        <w:t>PX-057 passed its preregistered Gate 2 evaluation. On 200 frozen GSM8K questions, Qwen2.5-7B-Instruct achieved 91.0% accuracy with adaptive stopping versus 61.5% after eight forced reconsideration rounds, while saving 66.5% of generated tokens, preventing 60 of 67 observed overthinking events, and producing one early-stop harm. The result is strong enough to justify H4 investment and a bounded Praxis claim. It is not yet sufficient for a general robustness claim. The scientifically defensible conclusion is that answer-stability stopping is promising and operationally testable, while transfer and the incremental value of confidence remain open questions.</w:t>
      </w:r>
    </w:p>
    <w:p>
      <w:pPr>
        <w:pStyle w:val="Heading1"/>
      </w:pPr>
      <w:r>
        <w:t>Data, Code, and Evidence Availability</w:t>
      </w:r>
    </w:p>
    <w:tbl>
      <w:tblPr>
        <w:tblStyle w:val="TableGrid"/>
        <w:tblW w:type="auto" w:w="0"/>
        <w:jc w:val="center"/>
        <w:tblLayout w:type="fixed"/>
        <w:tblLook w:firstColumn="1" w:firstRow="1" w:lastColumn="0" w:lastRow="0" w:noHBand="0" w:noVBand="1" w:val="04A0"/>
      </w:tblPr>
      <w:tblGrid>
        <w:gridCol w:w="2376"/>
        <w:gridCol w:w="7056"/>
      </w:tblGrid>
      <w:tr>
        <w:trPr>
          <w:tblHeader w:val="true"/>
        </w:trPr>
        <w:tc>
          <w:tcPr>
            <w:tcW w:type="dxa" w:w="4968"/>
            <w:shd w:fill="16324F"/>
            <w:vAlign w:val="center"/>
          </w:tcPr>
          <w:p>
            <w:pPr>
              <w:spacing w:after="0"/>
            </w:pPr>
            <w:r/>
            <w:r>
              <w:rPr>
                <w:rFonts w:ascii="Aptos" w:hAnsi="Aptos"/>
                <w:b/>
                <w:color w:val="FFFFFF"/>
                <w:sz w:val="16"/>
              </w:rPr>
              <w:t>Artifact</w:t>
            </w:r>
          </w:p>
        </w:tc>
        <w:tc>
          <w:tcPr>
            <w:tcW w:type="dxa" w:w="4968"/>
            <w:shd w:fill="16324F"/>
            <w:vAlign w:val="center"/>
          </w:tcPr>
          <w:p>
            <w:pPr>
              <w:spacing w:after="0"/>
            </w:pPr>
            <w:r/>
            <w:r>
              <w:rPr>
                <w:rFonts w:ascii="Aptos" w:hAnsi="Aptos"/>
                <w:b/>
                <w:color w:val="FFFFFF"/>
                <w:sz w:val="16"/>
              </w:rPr>
              <w:t>Repository location / identifier</w:t>
            </w:r>
          </w:p>
        </w:tc>
      </w:tr>
      <w:tr>
        <w:tc>
          <w:tcPr>
            <w:tcW w:type="dxa" w:w="2376"/>
            <w:vAlign w:val="center"/>
          </w:tcPr>
          <w:p>
            <w:pPr>
              <w:spacing w:after="0"/>
            </w:pPr>
            <w:r/>
            <w:r>
              <w:rPr>
                <w:rFonts w:ascii="Aptos" w:hAnsi="Aptos"/>
                <w:b w:val="0"/>
                <w:color w:val="1D252C"/>
                <w:sz w:val="16"/>
              </w:rPr>
              <w:t>Preregistration</w:t>
            </w:r>
          </w:p>
        </w:tc>
        <w:tc>
          <w:tcPr>
            <w:tcW w:type="dxa" w:w="7056"/>
            <w:vAlign w:val="center"/>
          </w:tcPr>
          <w:p>
            <w:pPr>
              <w:spacing w:after="0"/>
            </w:pPr>
            <w:r/>
            <w:r>
              <w:rPr>
                <w:rFonts w:ascii="Aptos" w:hAnsi="Aptos"/>
                <w:b w:val="0"/>
                <w:color w:val="1D252C"/>
                <w:sz w:val="16"/>
              </w:rPr>
              <w:t>reports/adaptive_stopping_overthinking/PX057_ADAPTIVE_STOPPING_PREREG_20260723.md</w:t>
            </w:r>
          </w:p>
        </w:tc>
      </w:tr>
      <w:tr>
        <w:tc>
          <w:tcPr>
            <w:tcW w:type="dxa" w:w="2376"/>
            <w:vAlign w:val="center"/>
            <w:shd w:fill="F4F7F9"/>
          </w:tcPr>
          <w:p>
            <w:pPr>
              <w:spacing w:after="0"/>
            </w:pPr>
            <w:r/>
            <w:r>
              <w:rPr>
                <w:rFonts w:ascii="Aptos" w:hAnsi="Aptos"/>
                <w:b w:val="0"/>
                <w:color w:val="1D252C"/>
                <w:sz w:val="16"/>
              </w:rPr>
              <w:t>Frozen configuration</w:t>
            </w:r>
          </w:p>
        </w:tc>
        <w:tc>
          <w:tcPr>
            <w:tcW w:type="dxa" w:w="7056"/>
            <w:vAlign w:val="center"/>
            <w:shd w:fill="F4F7F9"/>
          </w:tcPr>
          <w:p>
            <w:pPr>
              <w:spacing w:after="0"/>
            </w:pPr>
            <w:r/>
            <w:r>
              <w:rPr>
                <w:rFonts w:ascii="Aptos" w:hAnsi="Aptos"/>
                <w:b w:val="0"/>
                <w:color w:val="1D252C"/>
                <w:sz w:val="16"/>
              </w:rPr>
              <w:t>configs/px057_adaptive_stopping_gate2_full_20260724.json</w:t>
            </w:r>
          </w:p>
        </w:tc>
      </w:tr>
      <w:tr>
        <w:tc>
          <w:tcPr>
            <w:tcW w:type="dxa" w:w="2376"/>
            <w:vAlign w:val="center"/>
          </w:tcPr>
          <w:p>
            <w:pPr>
              <w:spacing w:after="0"/>
            </w:pPr>
            <w:r/>
            <w:r>
              <w:rPr>
                <w:rFonts w:ascii="Aptos" w:hAnsi="Aptos"/>
                <w:b w:val="0"/>
                <w:color w:val="1D252C"/>
                <w:sz w:val="16"/>
              </w:rPr>
              <w:t>Trace collection</w:t>
            </w:r>
          </w:p>
        </w:tc>
        <w:tc>
          <w:tcPr>
            <w:tcW w:type="dxa" w:w="7056"/>
            <w:vAlign w:val="center"/>
          </w:tcPr>
          <w:p>
            <w:pPr>
              <w:spacing w:after="0"/>
            </w:pPr>
            <w:r/>
            <w:r>
              <w:rPr>
                <w:rFonts w:ascii="Aptos" w:hAnsi="Aptos"/>
                <w:b w:val="0"/>
                <w:color w:val="1D252C"/>
                <w:sz w:val="16"/>
              </w:rPr>
              <w:t>scripts/run_px057_trace_collection.py</w:t>
            </w:r>
          </w:p>
        </w:tc>
      </w:tr>
      <w:tr>
        <w:tc>
          <w:tcPr>
            <w:tcW w:type="dxa" w:w="2376"/>
            <w:vAlign w:val="center"/>
            <w:shd w:fill="F4F7F9"/>
          </w:tcPr>
          <w:p>
            <w:pPr>
              <w:spacing w:after="0"/>
            </w:pPr>
            <w:r/>
            <w:r>
              <w:rPr>
                <w:rFonts w:ascii="Aptos" w:hAnsi="Aptos"/>
                <w:b w:val="0"/>
                <w:color w:val="1D252C"/>
                <w:sz w:val="16"/>
              </w:rPr>
              <w:t>Policy evaluation</w:t>
            </w:r>
          </w:p>
        </w:tc>
        <w:tc>
          <w:tcPr>
            <w:tcW w:type="dxa" w:w="7056"/>
            <w:vAlign w:val="center"/>
            <w:shd w:fill="F4F7F9"/>
          </w:tcPr>
          <w:p>
            <w:pPr>
              <w:spacing w:after="0"/>
            </w:pPr>
            <w:r/>
            <w:r>
              <w:rPr>
                <w:rFonts w:ascii="Aptos" w:hAnsi="Aptos"/>
                <w:b w:val="0"/>
                <w:color w:val="1D252C"/>
                <w:sz w:val="16"/>
              </w:rPr>
              <w:t>scripts/run_px057_adaptive_stopping_gate.py</w:t>
            </w:r>
          </w:p>
        </w:tc>
      </w:tr>
      <w:tr>
        <w:tc>
          <w:tcPr>
            <w:tcW w:type="dxa" w:w="2376"/>
            <w:vAlign w:val="center"/>
          </w:tcPr>
          <w:p>
            <w:pPr>
              <w:spacing w:after="0"/>
            </w:pPr>
            <w:r/>
            <w:r>
              <w:rPr>
                <w:rFonts w:ascii="Aptos" w:hAnsi="Aptos"/>
                <w:b w:val="0"/>
                <w:color w:val="1D252C"/>
                <w:sz w:val="16"/>
              </w:rPr>
              <w:t>Independent adjudication</w:t>
            </w:r>
          </w:p>
        </w:tc>
        <w:tc>
          <w:tcPr>
            <w:tcW w:type="dxa" w:w="7056"/>
            <w:vAlign w:val="center"/>
          </w:tcPr>
          <w:p>
            <w:pPr>
              <w:spacing w:after="0"/>
            </w:pPr>
            <w:r/>
            <w:r>
              <w:rPr>
                <w:rFonts w:ascii="Aptos" w:hAnsi="Aptos"/>
                <w:b w:val="0"/>
                <w:color w:val="1D252C"/>
                <w:sz w:val="16"/>
              </w:rPr>
              <w:t>scripts/adjudicate_px057_adaptive_stopping.py</w:t>
            </w:r>
          </w:p>
        </w:tc>
      </w:tr>
      <w:tr>
        <w:tc>
          <w:tcPr>
            <w:tcW w:type="dxa" w:w="2376"/>
            <w:vAlign w:val="center"/>
            <w:shd w:fill="F4F7F9"/>
          </w:tcPr>
          <w:p>
            <w:pPr>
              <w:spacing w:after="0"/>
            </w:pPr>
            <w:r/>
            <w:r>
              <w:rPr>
                <w:rFonts w:ascii="Aptos" w:hAnsi="Aptos"/>
                <w:b w:val="0"/>
                <w:color w:val="1D252C"/>
                <w:sz w:val="16"/>
              </w:rPr>
              <w:t>Verified determination</w:t>
            </w:r>
          </w:p>
        </w:tc>
        <w:tc>
          <w:tcPr>
            <w:tcW w:type="dxa" w:w="7056"/>
            <w:vAlign w:val="center"/>
            <w:shd w:fill="F4F7F9"/>
          </w:tcPr>
          <w:p>
            <w:pPr>
              <w:spacing w:after="0"/>
            </w:pPr>
            <w:r/>
            <w:r>
              <w:rPr>
                <w:rFonts w:ascii="Aptos" w:hAnsi="Aptos"/>
                <w:b w:val="0"/>
                <w:color w:val="1D252C"/>
                <w:sz w:val="16"/>
              </w:rPr>
              <w:t>reports/adaptive_stopping_overthinking/gate2_full_determination_20260724/summary.json</w:t>
            </w:r>
          </w:p>
        </w:tc>
      </w:tr>
      <w:tr>
        <w:tc>
          <w:tcPr>
            <w:tcW w:type="dxa" w:w="2376"/>
            <w:vAlign w:val="center"/>
          </w:tcPr>
          <w:p>
            <w:pPr>
              <w:spacing w:after="0"/>
            </w:pPr>
            <w:r/>
            <w:r>
              <w:rPr>
                <w:rFonts w:ascii="Aptos" w:hAnsi="Aptos"/>
                <w:b w:val="0"/>
                <w:color w:val="1D252C"/>
                <w:sz w:val="16"/>
              </w:rPr>
              <w:t>Cloud job</w:t>
            </w:r>
          </w:p>
        </w:tc>
        <w:tc>
          <w:tcPr>
            <w:tcW w:type="dxa" w:w="7056"/>
            <w:vAlign w:val="center"/>
          </w:tcPr>
          <w:p>
            <w:pPr>
              <w:spacing w:after="0"/>
            </w:pPr>
            <w:r/>
            <w:r>
              <w:rPr>
                <w:rFonts w:ascii="Aptos" w:hAnsi="Aptos"/>
                <w:b w:val="0"/>
                <w:color w:val="1D252C"/>
                <w:sz w:val="16"/>
              </w:rPr>
              <w:t>px057-gate2-full-retry-2026-07-24-14-55-01-066</w:t>
            </w:r>
          </w:p>
        </w:tc>
      </w:tr>
      <w:tr>
        <w:tc>
          <w:tcPr>
            <w:tcW w:type="dxa" w:w="2376"/>
            <w:vAlign w:val="center"/>
            <w:shd w:fill="F4F7F9"/>
          </w:tcPr>
          <w:p>
            <w:pPr>
              <w:spacing w:after="0"/>
            </w:pPr>
            <w:r/>
            <w:r>
              <w:rPr>
                <w:rFonts w:ascii="Aptos" w:hAnsi="Aptos"/>
                <w:b w:val="0"/>
                <w:color w:val="1D252C"/>
                <w:sz w:val="16"/>
              </w:rPr>
              <w:t>Cloud output</w:t>
            </w:r>
          </w:p>
        </w:tc>
        <w:tc>
          <w:tcPr>
            <w:tcW w:type="dxa" w:w="7056"/>
            <w:vAlign w:val="center"/>
            <w:shd w:fill="F4F7F9"/>
          </w:tcPr>
          <w:p>
            <w:pPr>
              <w:spacing w:after="0"/>
            </w:pPr>
            <w:r/>
            <w:r>
              <w:rPr>
                <w:rFonts w:ascii="Aptos" w:hAnsi="Aptos"/>
                <w:b w:val="0"/>
                <w:color w:val="1D252C"/>
                <w:sz w:val="16"/>
              </w:rPr>
              <w:t>s3://praxis-garypagan-272615233626-us-east-1/experiments/px057-adaptive-stopping/gate2-full-20260724/output/.../model.tar.gz</w:t>
            </w:r>
          </w:p>
        </w:tc>
      </w:tr>
    </w:tbl>
    <w:p>
      <w:pPr>
        <w:spacing w:after="0"/>
      </w:pPr>
    </w:p>
    <w:p>
      <w:r>
        <w:t>Core evidence SHA-256 hashes: selected_rows.json 6203c728f838fda9b932f69c83f7c90eb2e04c65045b24071d5347d4aaa6fc7e; reasoning_traces.jsonl d1221cab111650111e2cb8aa0b03a6b3c99b2bc0738c222cd078ab8935ad9b8c; raw_generations.jsonl 5f63edfe41c1b4cd47d3678eba133ae0c139164743265d49cfea70a546088646.</w:t>
      </w:r>
    </w:p>
    <w:p>
      <w:pPr>
        <w:pStyle w:val="Heading1"/>
      </w:pPr>
      <w:r>
        <w:t>References</w:t>
      </w:r>
    </w:p>
    <w:p>
      <w:pPr>
        <w:spacing w:after="120"/>
        <w:ind w:left="360" w:hanging="360"/>
      </w:pPr>
      <w:r>
        <w:t xml:space="preserve">Zhou, S., Ling, R., Chen, J., Wang, X., Fan, T., &amp; Wang, H. (2026). When More Thinking Hurts: Overthinking in LLM Test-Time Compute Scaling. Findings of ACL 2026, 23967-23977. DOI: 10.18653/v1/2026.findings-acl.1199. </w:t>
      </w:r>
      <w:hyperlink r:id="rId13">
        <w:r>
          <w:rPr>
            <w:color w:val="2676A6"/>
            <w:u w:val="single"/>
          </w:rPr>
          <w:t>Original publication and PDF</w:t>
        </w:r>
      </w:hyperlink>
    </w:p>
    <w:p>
      <w:pPr>
        <w:spacing w:after="120"/>
        <w:ind w:left="360" w:hanging="360"/>
      </w:pPr>
      <w:r>
        <w:t xml:space="preserve">Snell, C., Lee, J., Xu, K., &amp; Kumar, A. (2024). Scaling LLM Test-Time Compute Optimally can be More Effective than Scaling Model Parameters. </w:t>
      </w:r>
      <w:hyperlink r:id="rId14">
        <w:r>
          <w:rPr>
            <w:color w:val="2676A6"/>
            <w:u w:val="single"/>
          </w:rPr>
          <w:t>arXiv:2408.03314</w:t>
        </w:r>
      </w:hyperlink>
    </w:p>
    <w:p>
      <w:pPr>
        <w:spacing w:after="120"/>
        <w:ind w:left="360" w:hanging="360"/>
      </w:pPr>
      <w:r>
        <w:t xml:space="preserve">Muennighoff, N., et al. (2025). s1: Simple test-time scaling. </w:t>
      </w:r>
      <w:hyperlink r:id="rId15">
        <w:r>
          <w:rPr>
            <w:color w:val="2676A6"/>
            <w:u w:val="single"/>
          </w:rPr>
          <w:t>arXiv:2501.19393</w:t>
        </w:r>
      </w:hyperlink>
    </w:p>
    <w:p>
      <w:pPr>
        <w:spacing w:after="120"/>
        <w:ind w:left="360" w:hanging="360"/>
      </w:pPr>
      <w:r>
        <w:t xml:space="preserve">Cobbe, K., et al. (2021). Training Verifiers to Solve Math Word Problems. </w:t>
      </w:r>
      <w:hyperlink r:id="rId16">
        <w:r>
          <w:rPr>
            <w:color w:val="2676A6"/>
            <w:u w:val="single"/>
          </w:rPr>
          <w:t>arXiv:2110.14168 (GSM8K source)</w:t>
        </w:r>
      </w:hyperlink>
    </w:p>
    <w:p>
      <w:pPr>
        <w:spacing w:after="120"/>
        <w:ind w:left="360" w:hanging="360"/>
      </w:pPr>
      <w:r>
        <w:t xml:space="preserve">Qwen Team. (2024). Qwen2.5 Technical Report. </w:t>
      </w:r>
      <w:hyperlink r:id="rId17">
        <w:r>
          <w:rPr>
            <w:color w:val="2676A6"/>
            <w:u w:val="single"/>
          </w:rPr>
          <w:t>arXiv:2412.15115</w:t>
        </w:r>
      </w:hyperlink>
    </w:p>
    <w:p>
      <w:pPr>
        <w:pStyle w:val="Heading1"/>
      </w:pPr>
      <w:r>
        <w:t>Appendix A. Verification Record</w:t>
      </w:r>
    </w:p>
    <w:tbl>
      <w:tblPr>
        <w:tblStyle w:val="TableGrid"/>
        <w:tblW w:type="auto" w:w="0"/>
        <w:jc w:val="center"/>
        <w:tblLayout w:type="fixed"/>
        <w:tblLook w:firstColumn="1" w:firstRow="1" w:lastColumn="0" w:lastRow="0" w:noHBand="0" w:noVBand="1" w:val="04A0"/>
      </w:tblPr>
      <w:tblGrid>
        <w:gridCol w:w="7488"/>
        <w:gridCol w:w="1440"/>
      </w:tblGrid>
      <w:tr>
        <w:trPr>
          <w:tblHeader w:val="true"/>
        </w:trPr>
        <w:tc>
          <w:tcPr>
            <w:tcW w:type="dxa" w:w="4968"/>
            <w:shd w:fill="16324F"/>
            <w:vAlign w:val="center"/>
          </w:tcPr>
          <w:p>
            <w:pPr>
              <w:spacing w:after="0"/>
            </w:pPr>
            <w:r/>
            <w:r>
              <w:rPr>
                <w:rFonts w:ascii="Aptos" w:hAnsi="Aptos"/>
                <w:b/>
                <w:color w:val="FFFFFF"/>
                <w:sz w:val="16"/>
              </w:rPr>
              <w:t>Check</w:t>
            </w:r>
          </w:p>
        </w:tc>
        <w:tc>
          <w:tcPr>
            <w:tcW w:type="dxa" w:w="4968"/>
            <w:shd w:fill="16324F"/>
            <w:vAlign w:val="center"/>
          </w:tcPr>
          <w:p>
            <w:pPr>
              <w:spacing w:after="0"/>
            </w:pPr>
            <w:r/>
            <w:r>
              <w:rPr>
                <w:rFonts w:ascii="Aptos" w:hAnsi="Aptos"/>
                <w:b/>
                <w:color w:val="FFFFFF"/>
                <w:sz w:val="16"/>
              </w:rPr>
              <w:t>Result</w:t>
            </w:r>
          </w:p>
        </w:tc>
      </w:tr>
      <w:tr>
        <w:tc>
          <w:tcPr>
            <w:tcW w:type="dxa" w:w="7488"/>
            <w:vAlign w:val="center"/>
          </w:tcPr>
          <w:p>
            <w:pPr>
              <w:spacing w:after="0"/>
            </w:pPr>
            <w:r/>
            <w:r>
              <w:rPr>
                <w:rFonts w:ascii="Aptos" w:hAnsi="Aptos"/>
                <w:b w:val="0"/>
                <w:color w:val="1D252C"/>
                <w:sz w:val="16"/>
              </w:rPr>
              <w:t>Experiment Id Matches</w:t>
            </w:r>
          </w:p>
        </w:tc>
        <w:tc>
          <w:tcPr>
            <w:tcW w:type="dxa" w:w="1440"/>
            <w:vAlign w:val="center"/>
          </w:tcPr>
          <w:p>
            <w:pPr>
              <w:spacing w:after="0"/>
            </w:pPr>
            <w:r/>
            <w:r>
              <w:rPr>
                <w:rFonts w:ascii="Aptos" w:hAnsi="Aptos"/>
                <w:b w:val="0"/>
                <w:color w:val="1D252C"/>
                <w:sz w:val="16"/>
              </w:rPr>
              <w:t>PASS</w:t>
            </w:r>
          </w:p>
        </w:tc>
      </w:tr>
      <w:tr>
        <w:tc>
          <w:tcPr>
            <w:tcW w:type="dxa" w:w="7488"/>
            <w:vAlign w:val="center"/>
            <w:shd w:fill="F4F7F9"/>
          </w:tcPr>
          <w:p>
            <w:pPr>
              <w:spacing w:after="0"/>
            </w:pPr>
            <w:r/>
            <w:r>
              <w:rPr>
                <w:rFonts w:ascii="Aptos" w:hAnsi="Aptos"/>
                <w:b w:val="0"/>
                <w:color w:val="1D252C"/>
                <w:sz w:val="16"/>
              </w:rPr>
              <w:t>Model Id Matches</w:t>
            </w:r>
          </w:p>
        </w:tc>
        <w:tc>
          <w:tcPr>
            <w:tcW w:type="dxa" w:w="1440"/>
            <w:vAlign w:val="center"/>
            <w:shd w:fill="F4F7F9"/>
          </w:tcPr>
          <w:p>
            <w:pPr>
              <w:spacing w:after="0"/>
            </w:pPr>
            <w:r/>
            <w:r>
              <w:rPr>
                <w:rFonts w:ascii="Aptos" w:hAnsi="Aptos"/>
                <w:b w:val="0"/>
                <w:color w:val="1D252C"/>
                <w:sz w:val="16"/>
              </w:rPr>
              <w:t>PASS</w:t>
            </w:r>
          </w:p>
        </w:tc>
      </w:tr>
      <w:tr>
        <w:tc>
          <w:tcPr>
            <w:tcW w:type="dxa" w:w="7488"/>
            <w:vAlign w:val="center"/>
          </w:tcPr>
          <w:p>
            <w:pPr>
              <w:spacing w:after="0"/>
            </w:pPr>
            <w:r/>
            <w:r>
              <w:rPr>
                <w:rFonts w:ascii="Aptos" w:hAnsi="Aptos"/>
                <w:b w:val="0"/>
                <w:color w:val="1D252C"/>
                <w:sz w:val="16"/>
              </w:rPr>
              <w:t>Dataset Sha256 Matches Config</w:t>
            </w:r>
          </w:p>
        </w:tc>
        <w:tc>
          <w:tcPr>
            <w:tcW w:type="dxa" w:w="1440"/>
            <w:vAlign w:val="center"/>
          </w:tcPr>
          <w:p>
            <w:pPr>
              <w:spacing w:after="0"/>
            </w:pPr>
            <w:r/>
            <w:r>
              <w:rPr>
                <w:rFonts w:ascii="Aptos" w:hAnsi="Aptos"/>
                <w:b w:val="0"/>
                <w:color w:val="1D252C"/>
                <w:sz w:val="16"/>
              </w:rPr>
              <w:t>PASS</w:t>
            </w:r>
          </w:p>
        </w:tc>
      </w:tr>
      <w:tr>
        <w:tc>
          <w:tcPr>
            <w:tcW w:type="dxa" w:w="7488"/>
            <w:vAlign w:val="center"/>
            <w:shd w:fill="F4F7F9"/>
          </w:tcPr>
          <w:p>
            <w:pPr>
              <w:spacing w:after="0"/>
            </w:pPr>
            <w:r/>
            <w:r>
              <w:rPr>
                <w:rFonts w:ascii="Aptos" w:hAnsi="Aptos"/>
                <w:b w:val="0"/>
                <w:color w:val="1D252C"/>
                <w:sz w:val="16"/>
              </w:rPr>
              <w:t>Summary Sample Size Matches</w:t>
            </w:r>
          </w:p>
        </w:tc>
        <w:tc>
          <w:tcPr>
            <w:tcW w:type="dxa" w:w="1440"/>
            <w:vAlign w:val="center"/>
            <w:shd w:fill="F4F7F9"/>
          </w:tcPr>
          <w:p>
            <w:pPr>
              <w:spacing w:after="0"/>
            </w:pPr>
            <w:r/>
            <w:r>
              <w:rPr>
                <w:rFonts w:ascii="Aptos" w:hAnsi="Aptos"/>
                <w:b w:val="0"/>
                <w:color w:val="1D252C"/>
                <w:sz w:val="16"/>
              </w:rPr>
              <w:t>PASS</w:t>
            </w:r>
          </w:p>
        </w:tc>
      </w:tr>
      <w:tr>
        <w:tc>
          <w:tcPr>
            <w:tcW w:type="dxa" w:w="7488"/>
            <w:vAlign w:val="center"/>
          </w:tcPr>
          <w:p>
            <w:pPr>
              <w:spacing w:after="0"/>
            </w:pPr>
            <w:r/>
            <w:r>
              <w:rPr>
                <w:rFonts w:ascii="Aptos" w:hAnsi="Aptos"/>
                <w:b w:val="0"/>
                <w:color w:val="1D252C"/>
                <w:sz w:val="16"/>
              </w:rPr>
              <w:t>Summary Rounds Matches</w:t>
            </w:r>
          </w:p>
        </w:tc>
        <w:tc>
          <w:tcPr>
            <w:tcW w:type="dxa" w:w="1440"/>
            <w:vAlign w:val="center"/>
          </w:tcPr>
          <w:p>
            <w:pPr>
              <w:spacing w:after="0"/>
            </w:pPr>
            <w:r/>
            <w:r>
              <w:rPr>
                <w:rFonts w:ascii="Aptos" w:hAnsi="Aptos"/>
                <w:b w:val="0"/>
                <w:color w:val="1D252C"/>
                <w:sz w:val="16"/>
              </w:rPr>
              <w:t>PASS</w:t>
            </w:r>
          </w:p>
        </w:tc>
      </w:tr>
      <w:tr>
        <w:tc>
          <w:tcPr>
            <w:tcW w:type="dxa" w:w="7488"/>
            <w:vAlign w:val="center"/>
            <w:shd w:fill="F4F7F9"/>
          </w:tcPr>
          <w:p>
            <w:pPr>
              <w:spacing w:after="0"/>
            </w:pPr>
            <w:r/>
            <w:r>
              <w:rPr>
                <w:rFonts w:ascii="Aptos" w:hAnsi="Aptos"/>
                <w:b w:val="0"/>
                <w:color w:val="1D252C"/>
                <w:sz w:val="16"/>
              </w:rPr>
              <w:t>Selected Row Count</w:t>
            </w:r>
          </w:p>
        </w:tc>
        <w:tc>
          <w:tcPr>
            <w:tcW w:type="dxa" w:w="1440"/>
            <w:vAlign w:val="center"/>
            <w:shd w:fill="F4F7F9"/>
          </w:tcPr>
          <w:p>
            <w:pPr>
              <w:spacing w:after="0"/>
            </w:pPr>
            <w:r/>
            <w:r>
              <w:rPr>
                <w:rFonts w:ascii="Aptos" w:hAnsi="Aptos"/>
                <w:b w:val="0"/>
                <w:color w:val="1D252C"/>
                <w:sz w:val="16"/>
              </w:rPr>
              <w:t>PASS</w:t>
            </w:r>
          </w:p>
        </w:tc>
      </w:tr>
      <w:tr>
        <w:tc>
          <w:tcPr>
            <w:tcW w:type="dxa" w:w="7488"/>
            <w:vAlign w:val="center"/>
          </w:tcPr>
          <w:p>
            <w:pPr>
              <w:spacing w:after="0"/>
            </w:pPr>
            <w:r/>
            <w:r>
              <w:rPr>
                <w:rFonts w:ascii="Aptos" w:hAnsi="Aptos"/>
                <w:b w:val="0"/>
                <w:color w:val="1D252C"/>
                <w:sz w:val="16"/>
              </w:rPr>
              <w:t>Selected Ids Unique</w:t>
            </w:r>
          </w:p>
        </w:tc>
        <w:tc>
          <w:tcPr>
            <w:tcW w:type="dxa" w:w="1440"/>
            <w:vAlign w:val="center"/>
          </w:tcPr>
          <w:p>
            <w:pPr>
              <w:spacing w:after="0"/>
            </w:pPr>
            <w:r/>
            <w:r>
              <w:rPr>
                <w:rFonts w:ascii="Aptos" w:hAnsi="Aptos"/>
                <w:b w:val="0"/>
                <w:color w:val="1D252C"/>
                <w:sz w:val="16"/>
              </w:rPr>
              <w:t>PASS</w:t>
            </w:r>
          </w:p>
        </w:tc>
      </w:tr>
      <w:tr>
        <w:tc>
          <w:tcPr>
            <w:tcW w:type="dxa" w:w="7488"/>
            <w:vAlign w:val="center"/>
            <w:shd w:fill="F4F7F9"/>
          </w:tcPr>
          <w:p>
            <w:pPr>
              <w:spacing w:after="0"/>
            </w:pPr>
            <w:r/>
            <w:r>
              <w:rPr>
                <w:rFonts w:ascii="Aptos" w:hAnsi="Aptos"/>
                <w:b w:val="0"/>
                <w:color w:val="1D252C"/>
                <w:sz w:val="16"/>
              </w:rPr>
              <w:t>Trace Count</w:t>
            </w:r>
          </w:p>
        </w:tc>
        <w:tc>
          <w:tcPr>
            <w:tcW w:type="dxa" w:w="1440"/>
            <w:vAlign w:val="center"/>
            <w:shd w:fill="F4F7F9"/>
          </w:tcPr>
          <w:p>
            <w:pPr>
              <w:spacing w:after="0"/>
            </w:pPr>
            <w:r/>
            <w:r>
              <w:rPr>
                <w:rFonts w:ascii="Aptos" w:hAnsi="Aptos"/>
                <w:b w:val="0"/>
                <w:color w:val="1D252C"/>
                <w:sz w:val="16"/>
              </w:rPr>
              <w:t>PASS</w:t>
            </w:r>
          </w:p>
        </w:tc>
      </w:tr>
      <w:tr>
        <w:tc>
          <w:tcPr>
            <w:tcW w:type="dxa" w:w="7488"/>
            <w:vAlign w:val="center"/>
          </w:tcPr>
          <w:p>
            <w:pPr>
              <w:spacing w:after="0"/>
            </w:pPr>
            <w:r/>
            <w:r>
              <w:rPr>
                <w:rFonts w:ascii="Aptos" w:hAnsi="Aptos"/>
                <w:b w:val="0"/>
                <w:color w:val="1D252C"/>
                <w:sz w:val="16"/>
              </w:rPr>
              <w:t>Trace Ids Match Selected</w:t>
            </w:r>
          </w:p>
        </w:tc>
        <w:tc>
          <w:tcPr>
            <w:tcW w:type="dxa" w:w="1440"/>
            <w:vAlign w:val="center"/>
          </w:tcPr>
          <w:p>
            <w:pPr>
              <w:spacing w:after="0"/>
            </w:pPr>
            <w:r/>
            <w:r>
              <w:rPr>
                <w:rFonts w:ascii="Aptos" w:hAnsi="Aptos"/>
                <w:b w:val="0"/>
                <w:color w:val="1D252C"/>
                <w:sz w:val="16"/>
              </w:rPr>
              <w:t>PASS</w:t>
            </w:r>
          </w:p>
        </w:tc>
      </w:tr>
      <w:tr>
        <w:tc>
          <w:tcPr>
            <w:tcW w:type="dxa" w:w="7488"/>
            <w:vAlign w:val="center"/>
            <w:shd w:fill="F4F7F9"/>
          </w:tcPr>
          <w:p>
            <w:pPr>
              <w:spacing w:after="0"/>
            </w:pPr>
            <w:r/>
            <w:r>
              <w:rPr>
                <w:rFonts w:ascii="Aptos" w:hAnsi="Aptos"/>
                <w:b w:val="0"/>
                <w:color w:val="1D252C"/>
                <w:sz w:val="16"/>
              </w:rPr>
              <w:t>Trace Steps Complete</w:t>
            </w:r>
          </w:p>
        </w:tc>
        <w:tc>
          <w:tcPr>
            <w:tcW w:type="dxa" w:w="1440"/>
            <w:vAlign w:val="center"/>
            <w:shd w:fill="F4F7F9"/>
          </w:tcPr>
          <w:p>
            <w:pPr>
              <w:spacing w:after="0"/>
            </w:pPr>
            <w:r/>
            <w:r>
              <w:rPr>
                <w:rFonts w:ascii="Aptos" w:hAnsi="Aptos"/>
                <w:b w:val="0"/>
                <w:color w:val="1D252C"/>
                <w:sz w:val="16"/>
              </w:rPr>
              <w:t>PASS</w:t>
            </w:r>
          </w:p>
        </w:tc>
      </w:tr>
      <w:tr>
        <w:tc>
          <w:tcPr>
            <w:tcW w:type="dxa" w:w="7488"/>
            <w:vAlign w:val="center"/>
          </w:tcPr>
          <w:p>
            <w:pPr>
              <w:spacing w:after="0"/>
            </w:pPr>
            <w:r/>
            <w:r>
              <w:rPr>
                <w:rFonts w:ascii="Aptos" w:hAnsi="Aptos"/>
                <w:b w:val="0"/>
                <w:color w:val="1D252C"/>
                <w:sz w:val="16"/>
              </w:rPr>
              <w:t>Raw Generation Count</w:t>
            </w:r>
          </w:p>
        </w:tc>
        <w:tc>
          <w:tcPr>
            <w:tcW w:type="dxa" w:w="1440"/>
            <w:vAlign w:val="center"/>
          </w:tcPr>
          <w:p>
            <w:pPr>
              <w:spacing w:after="0"/>
            </w:pPr>
            <w:r/>
            <w:r>
              <w:rPr>
                <w:rFonts w:ascii="Aptos" w:hAnsi="Aptos"/>
                <w:b w:val="0"/>
                <w:color w:val="1D252C"/>
                <w:sz w:val="16"/>
              </w:rPr>
              <w:t>PASS</w:t>
            </w:r>
          </w:p>
        </w:tc>
      </w:tr>
      <w:tr>
        <w:tc>
          <w:tcPr>
            <w:tcW w:type="dxa" w:w="7488"/>
            <w:vAlign w:val="center"/>
            <w:shd w:fill="F4F7F9"/>
          </w:tcPr>
          <w:p>
            <w:pPr>
              <w:spacing w:after="0"/>
            </w:pPr>
            <w:r/>
            <w:r>
              <w:rPr>
                <w:rFonts w:ascii="Aptos" w:hAnsi="Aptos"/>
                <w:b w:val="0"/>
                <w:color w:val="1D252C"/>
                <w:sz w:val="16"/>
              </w:rPr>
              <w:t>Raw Generation Pairs Unique</w:t>
            </w:r>
          </w:p>
        </w:tc>
        <w:tc>
          <w:tcPr>
            <w:tcW w:type="dxa" w:w="1440"/>
            <w:vAlign w:val="center"/>
            <w:shd w:fill="F4F7F9"/>
          </w:tcPr>
          <w:p>
            <w:pPr>
              <w:spacing w:after="0"/>
            </w:pPr>
            <w:r/>
            <w:r>
              <w:rPr>
                <w:rFonts w:ascii="Aptos" w:hAnsi="Aptos"/>
                <w:b w:val="0"/>
                <w:color w:val="1D252C"/>
                <w:sz w:val="16"/>
              </w:rPr>
              <w:t>PASS</w:t>
            </w:r>
          </w:p>
        </w:tc>
      </w:tr>
      <w:tr>
        <w:tc>
          <w:tcPr>
            <w:tcW w:type="dxa" w:w="7488"/>
            <w:vAlign w:val="center"/>
          </w:tcPr>
          <w:p>
            <w:pPr>
              <w:spacing w:after="0"/>
            </w:pPr>
            <w:r/>
            <w:r>
              <w:rPr>
                <w:rFonts w:ascii="Aptos" w:hAnsi="Aptos"/>
                <w:b w:val="0"/>
                <w:color w:val="1D252C"/>
                <w:sz w:val="16"/>
              </w:rPr>
              <w:t>Raw Generation Pairs Complete</w:t>
            </w:r>
          </w:p>
        </w:tc>
        <w:tc>
          <w:tcPr>
            <w:tcW w:type="dxa" w:w="1440"/>
            <w:vAlign w:val="center"/>
          </w:tcPr>
          <w:p>
            <w:pPr>
              <w:spacing w:after="0"/>
            </w:pPr>
            <w:r/>
            <w:r>
              <w:rPr>
                <w:rFonts w:ascii="Aptos" w:hAnsi="Aptos"/>
                <w:b w:val="0"/>
                <w:color w:val="1D252C"/>
                <w:sz w:val="16"/>
              </w:rPr>
              <w:t>PASS</w:t>
            </w:r>
          </w:p>
        </w:tc>
      </w:tr>
      <w:tr>
        <w:tc>
          <w:tcPr>
            <w:tcW w:type="dxa" w:w="7488"/>
            <w:vAlign w:val="center"/>
            <w:shd w:fill="F4F7F9"/>
          </w:tcPr>
          <w:p>
            <w:pPr>
              <w:spacing w:after="0"/>
            </w:pPr>
            <w:r/>
            <w:r>
              <w:rPr>
                <w:rFonts w:ascii="Aptos" w:hAnsi="Aptos"/>
                <w:b w:val="0"/>
                <w:color w:val="1D252C"/>
                <w:sz w:val="16"/>
              </w:rPr>
              <w:t>Self Reported Gate Checks Complete</w:t>
            </w:r>
          </w:p>
        </w:tc>
        <w:tc>
          <w:tcPr>
            <w:tcW w:type="dxa" w:w="1440"/>
            <w:vAlign w:val="center"/>
            <w:shd w:fill="F4F7F9"/>
          </w:tcPr>
          <w:p>
            <w:pPr>
              <w:spacing w:after="0"/>
            </w:pPr>
            <w:r/>
            <w:r>
              <w:rPr>
                <w:rFonts w:ascii="Aptos" w:hAnsi="Aptos"/>
                <w:b w:val="0"/>
                <w:color w:val="1D252C"/>
                <w:sz w:val="16"/>
              </w:rPr>
              <w:t>PASS</w:t>
            </w:r>
          </w:p>
        </w:tc>
      </w:tr>
    </w:tbl>
    <w:p>
      <w:pPr>
        <w:spacing w:after="0"/>
      </w:pPr>
    </w:p>
    <w:p>
      <w:pPr>
        <w:pStyle w:val="Heading1"/>
      </w:pPr>
      <w:r>
        <w:t>Appendix B. Registered Claim Statement</w:t>
      </w:r>
    </w:p>
    <w:p>
      <w:r>
        <w:t>Permitted claim: On a frozen 200-item GSM8K sample with Qwen2.5-7B-Instruct and this eight-round iterative prompting protocol, the preregistered adaptive stopping rule preserved or improved accuracy relative to fixed-long inference, reduced generated-token use, prevented most observed correct-to-wrong overthinking events, and stayed below the harm-rate ceiling.</w:t>
      </w:r>
    </w:p>
    <w:p>
      <w:r>
        <w:t>Prohibited overclaim: PX-057 does not yet establish large-scale robustness, general LLM overthinking prevention, cross-domain transfer, cross-model transfer, or superiority of confidence-aware stopping over answer stability alone.</w:t>
      </w:r>
    </w:p>
    <w:sectPr w:rsidR="00FC693F" w:rsidRPr="0006063C" w:rsidSect="00034616">
      <w:headerReference w:type="default" r:id="rId9"/>
      <w:footerReference w:type="default" r:id="rId10"/>
      <w:pgSz w:w="12240" w:h="15840"/>
      <w:pgMar w:top="1037" w:right="1152" w:bottom="936"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66573"/>
      </w:rPr>
      <w:t xml:space="preserve">PX-057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color w:val="2676A6"/>
        <w:sz w:val="16"/>
      </w:rPr>
      <w:t>PRAXIS RESEARCH  /  FINAL EVIDENCE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D25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6324F"/>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676A6"/>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49B8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632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ascii="Aptos Display" w:hAnsi="Aptos Display"/>
      <w:b w:val="0"/>
      <w:i/>
      <w:iCs/>
      <w:color w:val="56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aclanthology.org/2026.findings-acl.1199/" TargetMode="External"/><Relationship Id="rId14" Type="http://schemas.openxmlformats.org/officeDocument/2006/relationships/hyperlink" Target="https://arxiv.org/abs/2408.03314" TargetMode="External"/><Relationship Id="rId15" Type="http://schemas.openxmlformats.org/officeDocument/2006/relationships/hyperlink" Target="https://arxiv.org/abs/2501.19393" TargetMode="External"/><Relationship Id="rId16" Type="http://schemas.openxmlformats.org/officeDocument/2006/relationships/hyperlink" Target="https://arxiv.org/abs/2110.14168" TargetMode="External"/><Relationship Id="rId17" Type="http://schemas.openxmlformats.org/officeDocument/2006/relationships/hyperlink" Target="https://arxiv.org/abs/2412.151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PX-057: Adaptive Stopping to Prevent LLM Overthinking</dc:title>
  <dc:subject>PX-057 adaptive stopping Gate 2 final Praxis paper</dc:subject>
  <dc:creator>Gary Pagan</dc:creator>
  <cp:keywords/>
  <dc:description>generated by python-docx</dc:description>
  <cp:lastModifiedBy/>
  <cp:revision>1</cp:revision>
  <dcterms:created xsi:type="dcterms:W3CDTF">2013-12-23T23:15:00Z</dcterms:created>
  <dcterms:modified xsi:type="dcterms:W3CDTF">2013-12-23T23:15:00Z</dcterms:modified>
  <cp:category/>
</cp:coreProperties>
</file>