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60"/>
      </w:pPr>
      <w:r>
        <w:rPr>
          <w:rFonts w:ascii="Aptos Display" w:hAnsi="Aptos Display"/>
          <w:b/>
          <w:color w:val="149B8C"/>
          <w:sz w:val="32"/>
        </w:rPr>
        <w:t>PX-057</w:t>
      </w:r>
    </w:p>
    <w:p>
      <w:pPr>
        <w:pStyle w:val="Title"/>
      </w:pPr>
      <w:r>
        <w:t>Adaptive Stopping to Prevent</w:t>
        <w:br/>
        <w:t>LLM Overthinking</w:t>
      </w:r>
    </w:p>
    <w:p>
      <w:pPr>
        <w:pStyle w:val="Subtitle"/>
        <w:spacing w:after="520"/>
      </w:pPr>
      <w:r>
        <w:t>Executive determination, evidence summary, and investment recommendation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936"/>
            <w:shd w:fill="16324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4"/>
              </w:rPr>
              <w:t>FINAL PRAXIS REPORT  /  DECISION BRIEF</w:t>
            </w:r>
          </w:p>
        </w:tc>
      </w:tr>
    </w:tbl>
    <w:p>
      <w:pPr>
        <w:spacing w:before="520"/>
      </w:pPr>
      <w:r>
        <w:rPr>
          <w:b/>
        </w:rPr>
        <w:t>Prepared by Gary Pagan</w:t>
        <w:br/>
      </w:r>
      <w:r>
        <w:t>Final evidence date: July 24, 2026</w:t>
        <w:br/>
      </w:r>
      <w:r>
        <w:t>Experiment stage: Gate 2 complete; H1-H3 passed; H4 transfer pending</w:t>
      </w:r>
    </w:p>
    <w:p>
      <w:pPr>
        <w:spacing w:before="760"/>
      </w:pPr>
      <w:r>
        <w:rPr>
          <w:color w:val="566573"/>
          <w:sz w:val="18"/>
        </w:rPr>
        <w:t>CLAIM BOUNDARY</w:t>
        <w:br/>
        <w:t>This document reports one frozen 200-item GSM8K sample, Qwen2.5-7B-Instruct, and one eight-round iterative prompting protocol. It does not claim cross-model, cross-domain, or large-scale robustness.</w:t>
      </w:r>
    </w:p>
    <w:p>
      <w:r>
        <w:br w:type="page"/>
      </w:r>
    </w:p>
    <w:p>
      <w:pPr>
        <w:pStyle w:val="Heading1"/>
      </w:pPr>
      <w:r>
        <w:t>Final Determination</w:t>
      </w:r>
    </w:p>
    <w:p>
      <w:r>
        <w:t>GO FOR H4 REPLICATION. PX-057 is a valid positive Gate 2 result and the strongest current candidate for further investment. All preregistered H1-H3 checks passed. Do not represent the result as large-scale or general robustness until cross-model and cross-domain transfer is demonstrated.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217920" cy="31504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x057_g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50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i/>
          <w:color w:val="566573"/>
          <w:sz w:val="17"/>
        </w:rPr>
        <w:t>Registered outcomes and decision thresholds.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880"/>
        <w:gridCol w:w="4320"/>
      </w:tblGrid>
      <w:tr>
        <w:trPr>
          <w:tblHeader w:val="true"/>
        </w:trPr>
        <w:tc>
          <w:tcPr>
            <w:tcW w:type="dxa" w:w="3312"/>
            <w:shd w:fill="16324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KPI</w:t>
            </w:r>
          </w:p>
        </w:tc>
        <w:tc>
          <w:tcPr>
            <w:tcW w:type="dxa" w:w="3312"/>
            <w:shd w:fill="16324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3312"/>
            <w:shd w:fill="16324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Decision meaning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52C"/>
                <w:sz w:val="16"/>
              </w:rPr>
              <w:t>Adaptive accuracy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52C"/>
                <w:sz w:val="16"/>
              </w:rPr>
              <w:t>91.0% (182/200)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52C"/>
                <w:sz w:val="16"/>
              </w:rPr>
              <w:t>29.5 pp above fixed-long</w:t>
            </w:r>
          </w:p>
        </w:tc>
      </w:tr>
      <w:tr>
        <w:tc>
          <w:tcPr>
            <w:tcW w:type="dxa" w:w="2232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52C"/>
                <w:sz w:val="16"/>
              </w:rPr>
              <w:t>Fixed-long accuracy</w:t>
            </w:r>
          </w:p>
        </w:tc>
        <w:tc>
          <w:tcPr>
            <w:tcW w:type="dxa" w:w="288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52C"/>
                <w:sz w:val="16"/>
              </w:rPr>
              <w:t>61.5% (123/200)</w:t>
            </w:r>
          </w:p>
        </w:tc>
        <w:tc>
          <w:tcPr>
            <w:tcW w:type="dxa" w:w="432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52C"/>
                <w:sz w:val="16"/>
              </w:rPr>
              <w:t>Eight reconsideration rounds degraded many answers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52C"/>
                <w:sz w:val="16"/>
              </w:rPr>
              <w:t>Fixed-short accuracy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52C"/>
                <w:sz w:val="16"/>
              </w:rPr>
              <w:t>88.0% (176/200)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52C"/>
                <w:sz w:val="16"/>
              </w:rPr>
              <w:t>Adaptive added 3.0 pp over round 2</w:t>
            </w:r>
          </w:p>
        </w:tc>
      </w:tr>
      <w:tr>
        <w:tc>
          <w:tcPr>
            <w:tcW w:type="dxa" w:w="2232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52C"/>
                <w:sz w:val="16"/>
              </w:rPr>
              <w:t>Compute saving</w:t>
            </w:r>
          </w:p>
        </w:tc>
        <w:tc>
          <w:tcPr>
            <w:tcW w:type="dxa" w:w="288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52C"/>
                <w:sz w:val="16"/>
              </w:rPr>
              <w:t>66.5% [63.7%, 69.1%]</w:t>
            </w:r>
          </w:p>
        </w:tc>
        <w:tc>
          <w:tcPr>
            <w:tcW w:type="dxa" w:w="432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52C"/>
                <w:sz w:val="16"/>
              </w:rPr>
              <w:t>Passed 20% floor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52C"/>
                <w:sz w:val="16"/>
              </w:rPr>
              <w:t>Prevention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52C"/>
                <w:sz w:val="16"/>
              </w:rPr>
              <w:t>60/67; 89.6% [82.1%, 95.5%]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52C"/>
                <w:sz w:val="16"/>
              </w:rPr>
              <w:t>Passed 25% floor</w:t>
            </w:r>
          </w:p>
        </w:tc>
      </w:tr>
      <w:tr>
        <w:tc>
          <w:tcPr>
            <w:tcW w:type="dxa" w:w="2232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52C"/>
                <w:sz w:val="16"/>
              </w:rPr>
              <w:t>Early-stop harm</w:t>
            </w:r>
          </w:p>
        </w:tc>
        <w:tc>
          <w:tcPr>
            <w:tcW w:type="dxa" w:w="288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52C"/>
                <w:sz w:val="16"/>
              </w:rPr>
              <w:t>1/200; 0.5%</w:t>
            </w:r>
          </w:p>
        </w:tc>
        <w:tc>
          <w:tcPr>
            <w:tcW w:type="dxa" w:w="432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52C"/>
                <w:sz w:val="16"/>
              </w:rPr>
              <w:t>Passed 2% ceiling</w:t>
            </w:r>
          </w:p>
        </w:tc>
      </w:tr>
    </w:tbl>
    <w:p>
      <w:pPr>
        <w:spacing w:after="0"/>
      </w:pPr>
    </w:p>
    <w:p>
      <w:pPr>
        <w:pStyle w:val="Heading1"/>
      </w:pPr>
      <w:r>
        <w:t>What the Result Proves</w:t>
      </w:r>
    </w:p>
    <w:p>
      <w:pPr>
        <w:pStyle w:val="ListBullet"/>
        <w:spacing w:after="60"/>
      </w:pPr>
      <w:r>
        <w:t>The frozen Qwen/GSM8K iterative protocol exhibited frequent correct-to-wrong degradation by round 8.</w:t>
      </w:r>
    </w:p>
    <w:p>
      <w:pPr>
        <w:pStyle w:val="ListBullet"/>
        <w:spacing w:after="60"/>
      </w:pPr>
      <w:r>
        <w:t>The preregistered adaptive policy avoided most observed degradation and used substantially fewer generated tokens.</w:t>
      </w:r>
    </w:p>
    <w:p>
      <w:pPr>
        <w:pStyle w:val="ListBullet"/>
        <w:spacing w:after="60"/>
      </w:pPr>
      <w:r>
        <w:t>The evidence package is complete: 200 unique questions, 200 complete traces, and 1,600 unique round generations were independently verified.</w:t>
      </w:r>
    </w:p>
    <w:p>
      <w:pPr>
        <w:pStyle w:val="Heading1"/>
      </w:pPr>
      <w:r>
        <w:t>Critical Nuance</w:t>
      </w:r>
    </w:p>
    <w:p>
      <w:r>
        <w:t>Adaptive stopping and answer-stability stopping both scored 91.0%. The final Praxis should therefore be framed around stability-gated stopping, not around a proven benefit from the confidence threshold. The confidence component remains a hypothesis for H4, not an established mechanism.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217920" cy="31504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x057_accura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50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i/>
          <w:color w:val="566573"/>
          <w:sz w:val="17"/>
        </w:rPr>
        <w:t>The adaptive arm tied the simpler stability-only control.</w:t>
      </w:r>
    </w:p>
    <w:p>
      <w:pPr>
        <w:pStyle w:val="Heading1"/>
      </w:pPr>
      <w:r>
        <w:t>What It Does Not Prove</w:t>
      </w:r>
    </w:p>
    <w:p>
      <w:pPr>
        <w:pStyle w:val="ListBullet"/>
        <w:spacing w:after="60"/>
      </w:pPr>
      <w:r>
        <w:t>No full-GSM8K or population-level accuracy estimate.</w:t>
      </w:r>
    </w:p>
    <w:p>
      <w:pPr>
        <w:pStyle w:val="ListBullet"/>
        <w:spacing w:after="60"/>
      </w:pPr>
      <w:r>
        <w:t>No cross-model, cross-domain, stochastic-decoding, or prompt-transfer result.</w:t>
      </w:r>
    </w:p>
    <w:p>
      <w:pPr>
        <w:pStyle w:val="ListBullet"/>
        <w:spacing w:after="60"/>
      </w:pPr>
      <w:r>
        <w:t>No calibrated uncertainty result.</w:t>
      </w:r>
    </w:p>
    <w:p>
      <w:pPr>
        <w:pStyle w:val="ListBullet"/>
        <w:spacing w:after="60"/>
      </w:pPr>
      <w:r>
        <w:t>No direct latency, energy, or dollar-cost result.</w:t>
      </w:r>
    </w:p>
    <w:p>
      <w:pPr>
        <w:pStyle w:val="Heading1"/>
      </w:pPr>
      <w:r>
        <w:t>Investment Recommendation</w:t>
      </w:r>
    </w:p>
    <w:p>
      <w:r>
        <w:t>Invest in one tightly frozen H4 study before expanding implementation. Preserve the current result as the discovery experiment and preregister the transfer matrix before inspecting new outputs.</w:t>
      </w:r>
    </w:p>
    <w:p>
      <w:pPr>
        <w:pStyle w:val="ListNumber"/>
        <w:spacing w:after="60"/>
      </w:pPr>
      <w:r>
        <w:t>Replicate on a second open model without retuning the current policy on the test set.</w:t>
      </w:r>
    </w:p>
    <w:p>
      <w:pPr>
        <w:pStyle w:val="ListNumber"/>
        <w:spacing w:after="60"/>
      </w:pPr>
      <w:r>
        <w:t>Add a non-math corpus with deterministic or blinded scoring.</w:t>
      </w:r>
    </w:p>
    <w:p>
      <w:pPr>
        <w:pStyle w:val="ListNumber"/>
        <w:spacing w:after="60"/>
      </w:pPr>
      <w:r>
        <w:t>Keep all six comparison arms, especially stability-only.</w:t>
      </w:r>
    </w:p>
    <w:p>
      <w:pPr>
        <w:pStyle w:val="ListNumber"/>
        <w:spacing w:after="60"/>
      </w:pPr>
      <w:r>
        <w:t>Add latency, GPU-seconds, and dollar cost.</w:t>
      </w:r>
    </w:p>
    <w:p>
      <w:pPr>
        <w:pStyle w:val="ListNumber"/>
        <w:spacing w:after="60"/>
      </w:pPr>
      <w:r>
        <w:t>Retain confidence only if it improves accuracy, reduces harm, or lowers cost versus stability-only.</w:t>
      </w:r>
    </w:p>
    <w:p>
      <w:pPr>
        <w:pStyle w:val="Heading1"/>
      </w:pPr>
      <w:r>
        <w:t>Publication-Ready Claim</w:t>
      </w:r>
    </w:p>
    <w:p>
      <w:r>
        <w:t>On a frozen 200-item GSM8K sample with Qwen2.5-7B-Instruct and an eight-round iterative reconsideration protocol, a preregistered adaptive stopping rule achieved 91.0% accuracy versus 61.5% for fixed-long inference, saved 66.5% of generated tokens, prevented 60 of 67 observed correct-to-wrong events, and harmed 1 of 200 questions. These findings are limited to the tested model, sample, prompting protocol, and thresholds.</w:t>
      </w:r>
    </w:p>
    <w:p>
      <w:pPr>
        <w:pStyle w:val="Heading1"/>
      </w:pPr>
      <w:r>
        <w:t>Literature Foundation</w:t>
      </w:r>
    </w:p>
    <w:p>
      <w:pPr>
        <w:spacing w:after="120"/>
        <w:ind w:left="360" w:hanging="360"/>
      </w:pPr>
      <w:r>
        <w:t xml:space="preserve">Zhou, S., et al. (2026). When More Thinking Hurts: Overthinking in LLM Test-Time Compute Scaling. Findings of ACL 2026. </w:t>
      </w:r>
      <w:hyperlink r:id="rId13">
        <w:r>
          <w:rPr>
            <w:color w:val="2676A6"/>
            <w:u w:val="single"/>
          </w:rPr>
          <w:t>Read the original publication</w:t>
        </w:r>
      </w:hyperlink>
    </w:p>
    <w:p>
      <w:pPr>
        <w:spacing w:after="120"/>
        <w:ind w:left="360" w:hanging="360"/>
      </w:pPr>
      <w:r>
        <w:t xml:space="preserve">Cobbe, K., et al. (2021). Training Verifiers to Solve Math Word Problems. Introduces GSM8K. </w:t>
      </w:r>
      <w:hyperlink r:id="rId14">
        <w:r>
          <w:rPr>
            <w:color w:val="2676A6"/>
            <w:u w:val="single"/>
          </w:rPr>
          <w:t>Read the dataset paper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573"/>
      </w:rPr>
      <w:t xml:space="preserve">PX-057  |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2676A6"/>
        <w:sz w:val="16"/>
      </w:rPr>
      <w:t>PRAXIS RESEARCH  /  FINAL EVIDENCE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D25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676A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9B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56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aclanthology.org/2026.findings-acl.1199/" TargetMode="External"/><Relationship Id="rId14" Type="http://schemas.openxmlformats.org/officeDocument/2006/relationships/hyperlink" Target="https://arxiv.org/abs/2110.141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PX-057 Final Praxis Report</dc:title>
  <dc:subject>PX-057 adaptive stopping Gate 2 final Praxis paper</dc:subject>
  <dc:creator>Gary Pagan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