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bookmarkStart w:id="1" w:name="section_1"/>
      <w:r>
        <w:rPr>
          <w:b w:val="0"/>
          <w:i w:val="0"/>
        </w:rPr>
        <w:t>Praxis Defense Brief</w:t>
      </w:r>
      <w:bookmarkEnd w:id="1"/>
    </w:p>
    <w:p>
      <w:pPr>
        <w:pStyle w:val="Heading2"/>
        <w:pageBreakBefore w:val="0"/>
      </w:pPr>
      <w:bookmarkStart w:id="2" w:name="section_2"/>
      <w:r>
        <w:rPr>
          <w:b w:val="0"/>
          <w:i w:val="0"/>
        </w:rPr>
        <w:t>When Better APT Scores Hide Missed Attack Warnings</w:t>
      </w:r>
      <w:bookmarkEnd w:id="2"/>
    </w:p>
    <w:p>
      <w:pPr/>
      <w:r>
        <w:rPr>
          <w:b/>
          <w:i w:val="0"/>
        </w:rPr>
        <w:t>The problem in plain language.</w:t>
      </w:r>
      <w:r>
        <w:rPr>
          <w:b w:val="0"/>
          <w:i w:val="0"/>
        </w:rPr>
        <w:t xml:space="preserve"> A security model can earn a better overall score while calling more attack records normal. A team using that score to choose a model could lose warnings it would have wanted an analyst to investigate.</w:t>
      </w:r>
    </w:p>
    <w:p>
      <w:pPr>
        <w:pStyle w:val="Heading2"/>
        <w:pageBreakBefore w:val="0"/>
      </w:pPr>
      <w:bookmarkStart w:id="3" w:name="section_3"/>
      <w:r>
        <w:rPr>
          <w:b w:val="0"/>
          <w:i w:val="0"/>
        </w:rPr>
        <w:t>What this praxis contributes</w:t>
      </w:r>
      <w:bookmarkEnd w:id="3"/>
    </w:p>
    <w:p>
      <w:pPr/>
      <w:r>
        <w:rPr>
          <w:b w:val="0"/>
          <w:i w:val="0"/>
        </w:rPr>
        <w:t>This is a measurement study with reusable audit software. It shows how training composition and historical evidence affect three different outcomes: naming the right attack stage, raising some attack warning, and creating false alerts on normal traffic. It also tests whether proposed datasets can support the evaluation being claimed.</w:t>
      </w:r>
    </w:p>
    <w:p>
      <w:pPr/>
      <w:r>
        <w:rPr>
          <w:b w:val="0"/>
          <w:i w:val="0"/>
        </w:rPr>
        <w:t>The metrics already exist. The contribution is the controlled evidence, the error-destination analysis and the executable audit of actual benchmark artifacts. The closest literature and the remaining overlap are addressed in the manuscript.</w:t>
      </w:r>
    </w:p>
    <w:p>
      <w:pPr>
        <w:pStyle w:val="Heading2"/>
        <w:pageBreakBefore w:val="0"/>
      </w:pPr>
      <w:bookmarkStart w:id="4" w:name="section_4"/>
      <w:r>
        <w:rPr>
          <w:b w:val="0"/>
          <w:i w:val="0"/>
        </w:rPr>
        <w:t>Three results to explain first</w:t>
      </w:r>
      <w:bookmarkEnd w:id="4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</w:tblPr>
      <w:tblGrid>
        <w:gridCol w:w="4694"/>
        <w:gridCol w:w="4954"/>
      </w:tblGrid>
      <w:tr>
        <w:trPr>
          <w:cantSplit/>
          <w:tblHeader/>
        </w:trPr>
        <w:tc>
          <w:tcPr>
            <w:tcW w:type="dxa" w:w="46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DF2F7"/>
          </w:tcPr>
          <w:p>
            <w:pPr>
              <w:pStyle w:val="PraxisTable"/>
              <w:keepNext/>
            </w:pPr>
            <w:r>
              <w:rPr>
                <w:b/>
                <w:i w:val="0"/>
              </w:rPr>
              <w:t>Result</w:t>
            </w:r>
          </w:p>
        </w:tc>
        <w:tc>
          <w:tcPr>
            <w:tcW w:type="dxa" w:w="49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DF2F7"/>
          </w:tcPr>
          <w:p>
            <w:pPr>
              <w:pStyle w:val="PraxisTable"/>
              <w:keepNext/>
            </w:pPr>
            <w:r>
              <w:rPr>
                <w:b/>
                <w:i w:val="0"/>
              </w:rPr>
              <w:t>Plain-language meaning</w:t>
            </w:r>
          </w:p>
        </w:tc>
      </w:tr>
      <w:tr>
        <w:trPr>
          <w:cantSplit/>
        </w:trPr>
        <w:tc>
          <w:tcPr>
            <w:tcW w:type="dxa" w:w="46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PraxisTable"/>
              <w:keepNext/>
            </w:pPr>
            <w:r>
              <w:rPr>
                <w:b w:val="0"/>
                <w:i w:val="0"/>
              </w:rPr>
              <w:t>Time-mixed fitting: macro-F1 +0.0632 on identical evaluation rows</w:t>
            </w:r>
          </w:p>
        </w:tc>
        <w:tc>
          <w:tcPr>
            <w:tcW w:type="dxa" w:w="49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PraxisTable"/>
              <w:keepNext/>
            </w:pPr>
            <w:r>
              <w:rPr>
                <w:b w:val="0"/>
                <w:i w:val="0"/>
              </w:rPr>
              <w:t>A substantial score improvement came from changing which time periods supplied training data, while keeping the model and class budgets fixed.</w:t>
            </w:r>
          </w:p>
        </w:tc>
      </w:tr>
      <w:tr>
        <w:trPr>
          <w:cantSplit/>
        </w:trPr>
        <w:tc>
          <w:tcPr>
            <w:tcW w:type="dxa" w:w="46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8FAFC"/>
          </w:tcPr>
          <w:p>
            <w:pPr>
              <w:pStyle w:val="PraxisTable"/>
              <w:keepNext/>
            </w:pPr>
            <w:r>
              <w:rPr>
                <w:b w:val="0"/>
                <w:i w:val="0"/>
              </w:rPr>
              <w:t>Clean acquisition comparison: F1 .7148 to .7379, exfiltration warnings 85.18% to 76.25%</w:t>
            </w:r>
          </w:p>
        </w:tc>
        <w:tc>
          <w:tcPr>
            <w:tcW w:type="dxa" w:w="49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8FAFC"/>
          </w:tcPr>
          <w:p>
            <w:pPr>
              <w:pStyle w:val="PraxisTable"/>
              <w:keepNext/>
            </w:pPr>
            <w:r>
              <w:rPr>
                <w:b w:val="0"/>
                <w:i w:val="0"/>
              </w:rPr>
              <w:t>A better headline score came with fewer exfiltration-labeled records receiving any attack label. The size varies greatly by fitting seed.</w:t>
            </w:r>
          </w:p>
        </w:tc>
      </w:tr>
      <w:tr>
        <w:trPr>
          <w:cantSplit/>
        </w:trPr>
        <w:tc>
          <w:tcPr>
            <w:tcW w:type="dxa" w:w="46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PraxisTable"/>
              <w:keepNext w:val="0"/>
            </w:pPr>
            <w:r>
              <w:rPr>
                <w:b w:val="0"/>
                <w:i w:val="0"/>
              </w:rPr>
              <w:t>Chronological history: F1 .7365 to .7582, benign alerts 24.0 to 14.3</w:t>
            </w:r>
          </w:p>
        </w:tc>
        <w:tc>
          <w:tcPr>
            <w:tcW w:type="dxa" w:w="49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PraxisTable"/>
              <w:keepNext w:val="0"/>
            </w:pPr>
            <w:r>
              <w:rPr>
                <w:b w:val="0"/>
                <w:i w:val="0"/>
              </w:rPr>
              <w:t>History gave useful gains under earlier-to-later evaluation, alongside a smaller loss of exfiltration warnings.</w:t>
            </w:r>
          </w:p>
        </w:tc>
      </w:tr>
    </w:tbl>
    <w:p>
      <w:pPr>
        <w:spacing w:after="40" w:line="60" w:lineRule="auto"/>
      </w:pPr>
    </w:p>
    <w:p>
      <w:pPr/>
      <w:r>
        <w:rPr>
          <w:b w:val="0"/>
          <w:i w:val="0"/>
        </w:rPr>
        <w:t>The data are one previously examined UNRAVELED campaign. Its movement labels describe author-annotated discovery, and the features describe completed flows. This paper does not claim verified theft, early forecasting or independent-campaign generalization.</w:t>
      </w:r>
    </w:p>
    <w:p>
      <w:pPr>
        <w:pStyle w:val="Heading2"/>
        <w:pageBreakBefore w:val="0"/>
      </w:pPr>
      <w:bookmarkStart w:id="5" w:name="section_5"/>
      <w:r>
        <w:rPr>
          <w:b w:val="0"/>
          <w:i w:val="0"/>
        </w:rPr>
        <w:t>What the extra reviewer checks established</w:t>
      </w:r>
      <w:bookmarkEnd w:id="5"/>
    </w:p>
    <w:p>
      <w:pPr/>
      <w:r>
        <w:rPr>
          <w:b/>
          <w:i w:val="0"/>
        </w:rPr>
        <w:t>The direction survived the planned omissions; its size varied.</w:t>
      </w:r>
      <w:r>
        <w:rPr>
          <w:b w:val="0"/>
          <w:i w:val="0"/>
        </w:rPr>
        <w:t xml:space="preserve"> The frozen audit computed 180 capture omissions and 36 seed omissions. All nine group means showing higher F1 with lower exfiltration warning recall retained that direction after every single-capture and single-seed omission. For the headline clean budget-three comparison, excluding seed 8101 shrank warning loss from </w:t>
      </w:r>
      <w:r>
        <w:rPr>
          <w:b/>
          <w:i w:val="0"/>
        </w:rPr>
        <w:t>8.93 to 0.36 percentage points</w:t>
      </w:r>
      <w:r>
        <w:rPr>
          <w:b w:val="0"/>
          <w:i w:val="0"/>
        </w:rPr>
        <w:t>. The 27 acquisition comparisons contain 24 distinct aggregate signatures; neither number represents independent experiments. The temporal current-feature F1 improvement remained positive in all 15 seed/capture omissions.</w:t>
      </w:r>
    </w:p>
    <w:p>
      <w:pPr/>
      <w:r>
        <w:rPr>
          <w:b/>
          <w:i w:val="0"/>
        </w:rPr>
        <w:t>The favorable history result also has a boundary.</w:t>
      </w:r>
      <w:r>
        <w:rPr>
          <w:b w:val="0"/>
          <w:i w:val="0"/>
        </w:rPr>
        <w:t xml:space="preserve"> Chronological history improved F1 in 14 of 15 individual seed/capture omissions; one decreased by 0.13 score points (0.0013 raw macro-F1). All omissions and their supports remain in the evidence. These are fixed-prediction sensitivity checks, not new model fits or confidence intervals.</w:t>
      </w:r>
    </w:p>
    <w:p>
      <w:pPr/>
      <w:r>
        <w:rPr>
          <w:b/>
          <w:i w:val="0"/>
        </w:rPr>
        <w:t>The public arithmetic reproduced in a fresh local Python environment.</w:t>
      </w:r>
      <w:r>
        <w:rPr>
          <w:b w:val="0"/>
          <w:i w:val="0"/>
        </w:rPr>
        <w:t xml:space="preserve"> All 36 comparisons, 720 interval calculations and 206 original artifact hashes passed. One missing archive link was repaired by including the unchanged original ZIP beside its extracted contents; all 74 original local links then passed. This checks the shared calculations without private prediction files. It is not an external laboratory's replication or validation of the author labels.</w:t>
      </w:r>
    </w:p>
    <w:p>
      <w:pPr>
        <w:pStyle w:val="Heading2"/>
        <w:pageBreakBefore w:val="0"/>
      </w:pPr>
      <w:bookmarkStart w:id="6" w:name="section_6"/>
      <w:r>
        <w:rPr>
          <w:b w:val="0"/>
          <w:i w:val="0"/>
        </w:rPr>
        <w:t>Answers to the likely objections</w:t>
      </w:r>
      <w:bookmarkEnd w:id="6"/>
    </w:p>
    <w:p>
      <w:pPr/>
      <w:r>
        <w:rPr>
          <w:b/>
          <w:i w:val="0"/>
        </w:rPr>
        <w:t>Is this just another classifier comparison?</w:t>
      </w:r>
      <w:r>
        <w:rPr>
          <w:b w:val="0"/>
          <w:i w:val="0"/>
        </w:rPr>
        <w:t xml:space="preserve"> The controlled temporal comparison holds the classifier, evaluation rows and class counts fixed. The question is how evaluation and evidence choices change what a score means.</w:t>
      </w:r>
    </w:p>
    <w:p>
      <w:pPr/>
      <w:r>
        <w:rPr>
          <w:b/>
          <w:i w:val="0"/>
        </w:rPr>
        <w:t>Did you invent warning recall?</w:t>
      </w:r>
      <w:r>
        <w:rPr>
          <w:b w:val="0"/>
          <w:i w:val="0"/>
        </w:rPr>
        <w:t xml:space="preserve"> No. It is ordinary attack recall conditioned on a stage. The contribution is the measured tradeoff and transparent evaluation, with existing prior work cited.</w:t>
      </w:r>
    </w:p>
    <w:p>
      <w:pPr/>
      <w:r>
        <w:rPr>
          <w:b/>
          <w:i w:val="0"/>
        </w:rPr>
        <w:t>Are 27 comparisons 27 independent experiments?</w:t>
      </w:r>
      <w:r>
        <w:rPr>
          <w:b w:val="0"/>
          <w:i w:val="0"/>
        </w:rPr>
        <w:t xml:space="preserve"> No. They reuse one campaign, models and sometimes equivalent outcomes. The paper reports the complete inventory; the new sensitivity appendix makes that dependence even more explicit.</w:t>
      </w:r>
    </w:p>
    <w:p>
      <w:pPr/>
      <w:r>
        <w:rPr>
          <w:b/>
          <w:i w:val="0"/>
        </w:rPr>
        <w:t>Why not claim four more dataset replications?</w:t>
      </w:r>
      <w:r>
        <w:rPr>
          <w:b w:val="0"/>
          <w:i w:val="0"/>
        </w:rPr>
        <w:t xml:space="preserve"> The audit found different limits: DAPT's stages cannot all straddle one cutoff; SCVIC's physical chronology is unresolved; DSRL derives from DAPT; no qualified S-DAPT release was acquired. Those are source-qualification results, not four detector tests.</w:t>
      </w:r>
    </w:p>
    <w:p>
      <w:pPr/>
      <w:r>
        <w:rPr>
          <w:b/>
          <w:i w:val="0"/>
        </w:rPr>
        <w:t>What is the practical deliverable?</w:t>
      </w:r>
      <w:r>
        <w:rPr>
          <w:b w:val="0"/>
          <w:i w:val="0"/>
        </w:rPr>
        <w:t xml:space="preserve"> A working procedure and code that check source support, compare the same records, separate wrong-stage warnings from missed warnings, and report benign workload and uncertainty.</w:t>
      </w:r>
    </w:p>
    <w:p>
      <w:pPr/>
      <w:r>
        <w:rPr>
          <w:b/>
          <w:i w:val="0"/>
        </w:rPr>
        <w:t>What remains for a broader claim?</w:t>
      </w:r>
      <w:r>
        <w:rPr>
          <w:b w:val="0"/>
          <w:i w:val="0"/>
        </w:rPr>
        <w:t xml:space="preserve"> Independent repeated executions with reliable labels, event times and legitimate-background activity. Current candidate releases do not remove those requirements merely by adding more files.</w:t>
      </w:r>
    </w:p>
    <w:p>
      <w:pPr>
        <w:pStyle w:val="Heading2"/>
        <w:pageBreakBefore w:val="0"/>
      </w:pPr>
      <w:bookmarkStart w:id="7" w:name="section_7"/>
      <w:r>
        <w:rPr>
          <w:b w:val="0"/>
          <w:i w:val="0"/>
        </w:rPr>
        <w:t>Review decision requested</w:t>
      </w:r>
      <w:bookmarkEnd w:id="7"/>
    </w:p>
    <w:p>
      <w:pPr/>
      <w:r>
        <w:rPr>
          <w:b w:val="0"/>
          <w:i w:val="0"/>
        </w:rPr>
        <w:t>Assess whether the bounded measurement contribution is sufficient for the intended praxis, and whether independent-execution replication is required for the institution or target venue. The complete paper, source-linked evidence, sensitivity results and reproduction receipts accompany this brief. This is a request for substantive human review, not a record that approval has occurred.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23" w:right="1296" w:bottom="1094" w:left="1296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570"/>
        <w:sz w:val="16"/>
      </w:rPr>
      <w:t xml:space="preserve">APT evaluation and attack warnings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570"/>
        <w:sz w:val="16"/>
      </w:rPr>
      <w:t xml:space="preserve">APT evaluation and attack warnings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PRAXIS DEFENSE BRIEF  |  APT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</w:pPr>
    <w:rPr>
      <w:rFonts w:ascii="Times New Roman" w:hAnsi="Times New Roman"/>
      <w:color w:val="20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5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5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7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57" w:lineRule="auto" w:before="5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00" w:line="257" w:lineRule="auto"/>
    </w:pPr>
    <w:rPr>
      <w:rFonts w:asciiTheme="majorHAnsi" w:eastAsiaTheme="majorEastAsia" w:hAnsiTheme="majorHAnsi" w:cstheme="majorBidi" w:ascii="Arial" w:hAnsi="Arial"/>
      <w:b w:val="0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axisTable">
    <w:name w:val="Praxis Table"/>
    <w:basedOn w:val="Normal"/>
    <w:pPr>
      <w:keepLines/>
      <w:spacing w:line="250" w:lineRule="auto" w:after="80" w:before="40"/>
    </w:pPr>
    <w:rPr>
      <w:rFonts w:ascii="Arial" w:hAnsi="Arial"/>
      <w:sz w:val="19"/>
    </w:rPr>
  </w:style>
  <w:style w:type="paragraph" w:customStyle="1" w:styleId="PraxisCode">
    <w:name w:val="Praxis Code"/>
    <w:basedOn w:val="Normal"/>
    <w:pPr>
      <w:spacing w:line="250" w:lineRule="auto" w:after="80"/>
    </w:pPr>
    <w:rPr>
      <w:rFonts w:ascii="Consolas" w:hAnsi="Consolas"/>
      <w:sz w:val="18"/>
    </w:rPr>
  </w:style>
  <w:style w:type="paragraph" w:customStyle="1" w:styleId="PraxisCaption">
    <w:name w:val="Praxis Caption"/>
    <w:basedOn w:val="Normal"/>
    <w:pPr>
      <w:spacing w:line="250" w:lineRule="auto" w:after="80"/>
    </w:pPr>
    <w:rPr>
      <w:i/>
      <w:sz w:val="19"/>
    </w:rPr>
  </w:style>
  <w:style w:type="paragraph" w:customStyle="1" w:styleId="PraxisReference">
    <w:name w:val="Praxis Reference"/>
    <w:basedOn w:val="Normal"/>
    <w:pPr>
      <w:keepLines/>
      <w:spacing w:line="250" w:lineRule="auto" w:after="100"/>
      <w:ind w:left="360" w:hanging="360"/>
    </w:pPr>
    <w:rPr>
      <w:sz w:val="21"/>
    </w:rPr>
  </w:style>
  <w:style w:type="paragraph" w:customStyle="1" w:styleId="PraxisList">
    <w:name w:val="Praxis List"/>
    <w:basedOn w:val="Normal"/>
    <w:pPr>
      <w:spacing w:line="259" w:lineRule="auto" w:after="80"/>
    </w:pPr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Praxis Defense Brief</dc:title>
  <dc:subject>Measurement praxis review edition: temporal evaluation and attack warnings</dc:subject>
  <dc:creator>Praxis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