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WUFront"/>
        <w:spacing w:before="1300" w:after="720"/>
        <w:jc w:val="center"/>
        <w:rPr/>
      </w:pPr>
      <w:r>
        <w:rPr>
          <w:b/>
        </w:rPr>
        <w:t>When Better APT Scores Hide Missed Attack Warnings</w:t>
      </w:r>
    </w:p>
    <w:p>
      <w:pPr>
        <w:pStyle w:val="GWUFront"/>
        <w:spacing w:before="0" w:after="720"/>
        <w:jc w:val="center"/>
        <w:rPr/>
      </w:pPr>
      <w:r>
        <w:rPr>
          <w:b w:val="false"/>
        </w:rPr>
        <w:t>by Gary Pagan</w:t>
      </w:r>
    </w:p>
    <w:p>
      <w:pPr>
        <w:pStyle w:val="GWUFront"/>
        <w:spacing w:before="0" w:after="0"/>
        <w:jc w:val="center"/>
        <w:rPr/>
      </w:pPr>
      <w:r>
        <w:rPr>
          <w:b w:val="false"/>
        </w:rPr>
        <w:t>B.S. in Applied Math and Statistics, May 1999, Stony Brook University</w:t>
      </w:r>
    </w:p>
    <w:p>
      <w:pPr>
        <w:pStyle w:val="GWUFront"/>
        <w:spacing w:before="0" w:after="480"/>
        <w:jc w:val="center"/>
        <w:rPr/>
      </w:pPr>
      <w:r>
        <w:rPr>
          <w:b w:val="false"/>
        </w:rPr>
        <w:t>M.S. in Engineering Management, May 2006, George Washington University</w:t>
      </w:r>
    </w:p>
    <w:p>
      <w:pPr>
        <w:pStyle w:val="GWUFront"/>
        <w:spacing w:before="0" w:after="480"/>
        <w:jc w:val="center"/>
        <w:rPr/>
      </w:pPr>
      <w:r>
        <w:rPr>
          <w:b w:val="false"/>
        </w:rPr>
        <w:t>A Praxis submitted to</w:t>
      </w:r>
    </w:p>
    <w:p>
      <w:pPr>
        <w:pStyle w:val="GWUFront"/>
        <w:spacing w:before="0" w:after="480"/>
        <w:jc w:val="center"/>
        <w:rPr/>
      </w:pPr>
      <w:r>
        <w:rPr>
          <w:b w:val="false"/>
        </w:rPr>
        <w:t>The Faculty of</w:t>
        <w:br/>
        <w:t>The School of Engineering and Applied Science</w:t>
        <w:br/>
        <w:t>of The George Washington University</w:t>
        <w:br/>
        <w:t>in partial fulfillment of the requirements</w:t>
        <w:br/>
        <w:t>for the degree of Doctor of Engineering</w:t>
      </w:r>
    </w:p>
    <w:p>
      <w:pPr>
        <w:pStyle w:val="GWUFront"/>
        <w:spacing w:before="0" w:after="360"/>
        <w:jc w:val="center"/>
        <w:rPr/>
      </w:pPr>
      <w:r>
        <w:rPr>
          <w:b w:val="false"/>
        </w:rPr>
        <w:t>Manuscript prepared September 28, 2026</w:t>
      </w:r>
    </w:p>
    <w:p>
      <w:pPr>
        <w:pStyle w:val="GWUFront"/>
        <w:spacing w:before="0" w:after="360"/>
        <w:jc w:val="center"/>
        <w:rPr/>
      </w:pPr>
      <w:r>
        <w:rPr>
          <w:b w:val="false"/>
        </w:rPr>
        <w:t>Degree-conferral and defense dates are not asserted in this manuscript.</w:t>
      </w:r>
    </w:p>
    <w:p>
      <w:pPr>
        <w:pStyle w:val="GWUFront"/>
        <w:spacing w:before="0" w:after="0"/>
        <w:jc w:val="center"/>
        <w:rPr/>
      </w:pPr>
      <w:r>
        <w:rPr>
          <w:b w:val="false"/>
        </w:rPr>
        <w:t>Praxis direction and committee confirmation pending</w:t>
      </w:r>
      <w:r>
        <w:br w:type="page"/>
      </w:r>
    </w:p>
    <w:p>
      <w:pPr>
        <w:pStyle w:val="GWUFrontHeading"/>
        <w:rPr/>
      </w:pPr>
      <w:r>
        <w:rPr/>
        <w:t>Certification pending</w:t>
      </w:r>
    </w:p>
    <w:p>
      <w:pPr>
        <w:pStyle w:val="Normal"/>
        <w:ind w:hanging="0"/>
        <w:rPr/>
      </w:pPr>
      <w:r>
        <w:rPr/>
        <w:t>This manuscript is prepared for academic review. It does not certify that a final examination has been passed or that the praxis has received institutional approval.</w:t>
      </w:r>
    </w:p>
    <w:p>
      <w:pPr>
        <w:pStyle w:val="Normal"/>
        <w:ind w:hanging="0"/>
        <w:rPr/>
      </w:pPr>
      <w:r>
        <w:rPr/>
        <w:t>The confirmed director and committee, examination date, and approved certification wording must be supplied through the university process before formal submission.</w:t>
      </w:r>
      <w:r>
        <w:br w:type="page"/>
      </w:r>
    </w:p>
    <w:p>
      <w:pPr>
        <w:pStyle w:val="GWUFront"/>
        <w:spacing w:before="5200" w:after="0"/>
        <w:jc w:val="center"/>
        <w:rPr/>
      </w:pPr>
      <w:r>
        <w:rPr>
          <w:b w:val="false"/>
        </w:rPr>
        <w:t>© Copyright 2026 by Gary Pagan</w:t>
        <w:br/>
        <w:t>All rights reserved.</w:t>
      </w:r>
      <w:r>
        <w:br w:type="page"/>
      </w:r>
    </w:p>
    <w:p>
      <w:pPr>
        <w:pStyle w:val="GWUFrontHeading"/>
        <w:rPr/>
      </w:pPr>
      <w:r>
        <w:rPr/>
        <w:t>Abstract of Praxis</w:t>
      </w:r>
    </w:p>
    <w:p>
      <w:pPr>
        <w:pStyle w:val="GWUFront"/>
        <w:spacing w:before="0" w:after="480"/>
        <w:jc w:val="center"/>
        <w:rPr/>
      </w:pPr>
      <w:r>
        <w:rPr>
          <w:b/>
        </w:rPr>
        <w:t>When Better APT Scores Hide Missed Attack Warnings</w:t>
      </w:r>
    </w:p>
    <w:p>
      <w:pPr>
        <w:pStyle w:val="Normal"/>
        <w:rPr/>
      </w:pPr>
      <w:r>
        <w:rPr>
          <w:b w:val="false"/>
          <w:i w:val="false"/>
        </w:rPr>
        <w:t>This praxis examines when improved advanced persistent threat classification scores accompany missed attack warnings. It contributes controlled evidence and an executable procedure reporting exact-stage recognition, attacks classified as benign, and benign false alerts together. In a UNRAVELED acquisition comparison, mean macro-F1 increased from 0.7148 to 0.7379 while exfiltration warning recall decreased from 85.18% to 76.25%; omission analyses revealed substantial effect-size sensitivity. A fixed-anchor temporal contrast increased macro-F1 by 0.0632 when later-period observations entered fitting. A full-release extension verifies 173 files and 6,877,157 rows and fits current-flow and role-augmented models without class caps in six sensor views. Roles improve macro-F1 in two views, while stage support constrains interpretation. An adapted external-source test additionally inspects all 3,465,342 AIT netflow rows, trains on six executions and evaluates two later executions containing 1,067,211 eligible rows. Its three-class, history-only contract differs from the original four-class, two-group task. The original error-focused-versus-entropy score-up/warnings-down direction recurs in none of six execution-by-seed comparisons. Wilson shows a small opposite-order tradeoff: higher F1 under entropy accompanies one to eight additional missed exfiltration warnings; Harrison improves both outcomes. The AIT computational audit passes 1,245 checks. These results support joint reporting while limiting claims about policy superiority and recurrence. Shared laboratory scenarios, publisher-defined labels and completed-flow features leave unrelated-campaign generalization, early forecasting and operational benefits unresolved.</w:t>
      </w:r>
    </w:p>
    <w:sdt>
      <w:sdtPr>
        <w:docPartObj>
          <w:docPartGallery w:val="Table of Contents"/>
          <w:docPartUnique w:val="true"/>
        </w:docPartObj>
      </w:sdtPr>
      <w:sdtContent>
        <w:p>
          <w:pPr>
            <w:pStyle w:val="GWUIndexHeading"/>
            <w:rPr/>
          </w:pPr>
          <w:r>
            <w:rPr/>
            <w:t>Table of Contents</w:t>
          </w:r>
        </w:p>
        <w:p>
          <w:pPr>
            <w:pStyle w:val="TOC1"/>
            <w:tabs>
              <w:tab w:val="clear" w:pos="720"/>
              <w:tab w:val="right" w:pos="8639" w:leader="dot"/>
            </w:tabs>
            <w:rPr/>
          </w:pPr>
          <w:r>
            <w:fldChar w:fldCharType="begin"/>
          </w:r>
          <w:r>
            <w:rPr>
              <w:rStyle w:val="IndexLink"/>
              <w:i w:val="false"/>
            </w:rPr>
            <w:instrText xml:space="preserve"> TOC \o "1-2" \h</w:instrText>
          </w:r>
          <w:r>
            <w:rPr>
              <w:rStyle w:val="IndexLink"/>
              <w:i w:val="false"/>
            </w:rPr>
            <w:fldChar w:fldCharType="separate"/>
          </w:r>
          <w:hyperlink w:anchor="__RefHeading___Toc25671_2336213107" w:tooltip="Chapter 1: Introduction">
            <w:r>
              <w:rPr>
                <w:rStyle w:val="IndexLink"/>
                <w:i w:val="false"/>
              </w:rPr>
              <w:t>Chapter 1: Introduction</w:t>
            </w:r>
            <w:r>
              <w:rPr>
                <w:rStyle w:val="IndexLink"/>
              </w:rPr>
              <w:tab/>
              <w:t>1</w:t>
            </w:r>
          </w:hyperlink>
        </w:p>
        <w:p>
          <w:pPr>
            <w:pStyle w:val="TOC2"/>
            <w:tabs>
              <w:tab w:val="clear" w:pos="720"/>
              <w:tab w:val="right" w:pos="8639" w:leader="dot"/>
            </w:tabs>
            <w:rPr/>
          </w:pPr>
          <w:hyperlink w:anchor="__RefHeading___Toc25673_2336213107" w:tooltip="1.1 Background">
            <w:r>
              <w:rPr>
                <w:rStyle w:val="IndexLink"/>
                <w:i w:val="false"/>
              </w:rPr>
              <w:t>1.1 Background</w:t>
            </w:r>
            <w:r>
              <w:rPr>
                <w:rStyle w:val="IndexLink"/>
              </w:rPr>
              <w:tab/>
              <w:t>1</w:t>
            </w:r>
          </w:hyperlink>
        </w:p>
        <w:p>
          <w:pPr>
            <w:pStyle w:val="TOC2"/>
            <w:tabs>
              <w:tab w:val="clear" w:pos="720"/>
              <w:tab w:val="right" w:pos="8639" w:leader="dot"/>
            </w:tabs>
            <w:rPr/>
          </w:pPr>
          <w:hyperlink w:anchor="__RefHeading___Toc25675_2336213107" w:tooltip="1.2 Research Motivation">
            <w:r>
              <w:rPr>
                <w:rStyle w:val="IndexLink"/>
                <w:i w:val="false"/>
              </w:rPr>
              <w:t>1.2 Research Motivation</w:t>
            </w:r>
            <w:r>
              <w:rPr>
                <w:rStyle w:val="IndexLink"/>
              </w:rPr>
              <w:tab/>
              <w:t>2</w:t>
            </w:r>
          </w:hyperlink>
        </w:p>
        <w:p>
          <w:pPr>
            <w:pStyle w:val="TOC2"/>
            <w:tabs>
              <w:tab w:val="clear" w:pos="720"/>
              <w:tab w:val="right" w:pos="8639" w:leader="dot"/>
            </w:tabs>
            <w:rPr/>
          </w:pPr>
          <w:hyperlink w:anchor="__RefHeading___Toc25677_2336213107" w:tooltip="1.3 Problem Statement">
            <w:r>
              <w:rPr>
                <w:rStyle w:val="IndexLink"/>
                <w:i w:val="false"/>
              </w:rPr>
              <w:t>1.3 Problem Statement</w:t>
            </w:r>
            <w:r>
              <w:rPr>
                <w:rStyle w:val="IndexLink"/>
              </w:rPr>
              <w:tab/>
              <w:t>2</w:t>
            </w:r>
          </w:hyperlink>
        </w:p>
        <w:p>
          <w:pPr>
            <w:pStyle w:val="TOC2"/>
            <w:tabs>
              <w:tab w:val="clear" w:pos="720"/>
              <w:tab w:val="right" w:pos="8639" w:leader="dot"/>
            </w:tabs>
            <w:rPr/>
          </w:pPr>
          <w:hyperlink w:anchor="__RefHeading___Toc25679_2336213107" w:tooltip="1.4 Thesis Statement">
            <w:r>
              <w:rPr>
                <w:rStyle w:val="IndexLink"/>
                <w:i w:val="false"/>
              </w:rPr>
              <w:t>1.4 Thesis Statement</w:t>
            </w:r>
            <w:r>
              <w:rPr>
                <w:rStyle w:val="IndexLink"/>
              </w:rPr>
              <w:tab/>
              <w:t>3</w:t>
            </w:r>
          </w:hyperlink>
        </w:p>
        <w:p>
          <w:pPr>
            <w:pStyle w:val="TOC2"/>
            <w:tabs>
              <w:tab w:val="clear" w:pos="720"/>
              <w:tab w:val="right" w:pos="8639" w:leader="dot"/>
            </w:tabs>
            <w:rPr/>
          </w:pPr>
          <w:hyperlink w:anchor="__RefHeading___Toc25681_2336213107" w:tooltip="1.5 Research Objectives">
            <w:r>
              <w:rPr>
                <w:rStyle w:val="IndexLink"/>
                <w:i w:val="false"/>
              </w:rPr>
              <w:t>1.5 Research Objectives</w:t>
            </w:r>
            <w:r>
              <w:rPr>
                <w:rStyle w:val="IndexLink"/>
              </w:rPr>
              <w:tab/>
              <w:t>3</w:t>
            </w:r>
          </w:hyperlink>
        </w:p>
        <w:p>
          <w:pPr>
            <w:pStyle w:val="TOC2"/>
            <w:tabs>
              <w:tab w:val="clear" w:pos="720"/>
              <w:tab w:val="right" w:pos="8639" w:leader="dot"/>
            </w:tabs>
            <w:rPr/>
          </w:pPr>
          <w:hyperlink w:anchor="__RefHeading___Toc25683_2336213107" w:tooltip="1.6 Research Questions and Analytical Propositions">
            <w:r>
              <w:rPr>
                <w:rStyle w:val="IndexLink"/>
                <w:i w:val="false"/>
              </w:rPr>
              <w:t>1.6 Research Questions and Analytical Propositions</w:t>
            </w:r>
            <w:r>
              <w:rPr>
                <w:rStyle w:val="IndexLink"/>
              </w:rPr>
              <w:tab/>
              <w:t>4</w:t>
            </w:r>
          </w:hyperlink>
        </w:p>
        <w:p>
          <w:pPr>
            <w:pStyle w:val="TOC2"/>
            <w:tabs>
              <w:tab w:val="clear" w:pos="720"/>
              <w:tab w:val="right" w:pos="8639" w:leader="dot"/>
            </w:tabs>
            <w:rPr/>
          </w:pPr>
          <w:hyperlink w:anchor="__RefHeading___Toc25685_2336213107" w:tooltip="1.7 Scope of Research">
            <w:r>
              <w:rPr>
                <w:rStyle w:val="IndexLink"/>
                <w:i w:val="false"/>
              </w:rPr>
              <w:t>1.7 Scope of Research</w:t>
            </w:r>
            <w:r>
              <w:rPr>
                <w:rStyle w:val="IndexLink"/>
              </w:rPr>
              <w:tab/>
              <w:t>5</w:t>
            </w:r>
          </w:hyperlink>
        </w:p>
        <w:p>
          <w:pPr>
            <w:pStyle w:val="TOC2"/>
            <w:tabs>
              <w:tab w:val="clear" w:pos="720"/>
              <w:tab w:val="right" w:pos="8639" w:leader="dot"/>
            </w:tabs>
            <w:rPr/>
          </w:pPr>
          <w:hyperlink w:anchor="__RefHeading___Toc25687_2336213107" w:tooltip="1.8 Research Limitations">
            <w:r>
              <w:rPr>
                <w:rStyle w:val="IndexLink"/>
                <w:i w:val="false"/>
              </w:rPr>
              <w:t>1.8 Research Limitations</w:t>
            </w:r>
            <w:r>
              <w:rPr>
                <w:rStyle w:val="IndexLink"/>
              </w:rPr>
              <w:tab/>
              <w:t>6</w:t>
            </w:r>
          </w:hyperlink>
        </w:p>
        <w:p>
          <w:pPr>
            <w:pStyle w:val="TOC2"/>
            <w:tabs>
              <w:tab w:val="clear" w:pos="720"/>
              <w:tab w:val="right" w:pos="8639" w:leader="dot"/>
            </w:tabs>
            <w:rPr/>
          </w:pPr>
          <w:hyperlink w:anchor="__RefHeading___Toc25689_2336213107" w:tooltip="1.9 Praxis Organization">
            <w:r>
              <w:rPr>
                <w:rStyle w:val="IndexLink"/>
                <w:i w:val="false"/>
              </w:rPr>
              <w:t>1.9 Praxis Organization</w:t>
            </w:r>
            <w:r>
              <w:rPr>
                <w:rStyle w:val="IndexLink"/>
              </w:rPr>
              <w:tab/>
              <w:t>7</w:t>
            </w:r>
          </w:hyperlink>
        </w:p>
        <w:p>
          <w:pPr>
            <w:pStyle w:val="TOC1"/>
            <w:tabs>
              <w:tab w:val="clear" w:pos="720"/>
              <w:tab w:val="right" w:pos="8639" w:leader="dot"/>
            </w:tabs>
            <w:rPr/>
          </w:pPr>
          <w:hyperlink w:anchor="__RefHeading___Toc25691_2336213107" w:tooltip="Chapter 2: Literature Review">
            <w:r>
              <w:rPr>
                <w:rStyle w:val="IndexLink"/>
                <w:i w:val="false"/>
              </w:rPr>
              <w:t>Chapter 2: Literature Review</w:t>
            </w:r>
            <w:r>
              <w:rPr>
                <w:rStyle w:val="IndexLink"/>
              </w:rPr>
              <w:tab/>
              <w:t>8</w:t>
            </w:r>
          </w:hyperlink>
        </w:p>
        <w:p>
          <w:pPr>
            <w:pStyle w:val="TOC2"/>
            <w:tabs>
              <w:tab w:val="clear" w:pos="720"/>
              <w:tab w:val="right" w:pos="8639" w:leader="dot"/>
            </w:tabs>
            <w:rPr/>
          </w:pPr>
          <w:hyperlink w:anchor="__RefHeading___Toc25693_2336213107" w:tooltip="2.1 Introduction">
            <w:r>
              <w:rPr>
                <w:rStyle w:val="IndexLink"/>
                <w:i w:val="false"/>
              </w:rPr>
              <w:t>2.1 Introduction</w:t>
            </w:r>
            <w:r>
              <w:rPr>
                <w:rStyle w:val="IndexLink"/>
              </w:rPr>
              <w:tab/>
              <w:t>8</w:t>
            </w:r>
          </w:hyperlink>
        </w:p>
        <w:p>
          <w:pPr>
            <w:pStyle w:val="TOC2"/>
            <w:tabs>
              <w:tab w:val="clear" w:pos="720"/>
              <w:tab w:val="right" w:pos="8639" w:leader="dot"/>
            </w:tabs>
            <w:rPr/>
          </w:pPr>
          <w:hyperlink w:anchor="__RefHeading___Toc25695_2336213107" w:tooltip="2.2 Temporal Validity in Security Evaluation">
            <w:r>
              <w:rPr>
                <w:rStyle w:val="IndexLink"/>
                <w:i w:val="false"/>
              </w:rPr>
              <w:t>2.2 Temporal Validity in Security Evaluation</w:t>
            </w:r>
            <w:r>
              <w:rPr>
                <w:rStyle w:val="IndexLink"/>
              </w:rPr>
              <w:tab/>
              <w:t>8</w:t>
            </w:r>
          </w:hyperlink>
        </w:p>
        <w:p>
          <w:pPr>
            <w:pStyle w:val="TOC2"/>
            <w:tabs>
              <w:tab w:val="clear" w:pos="720"/>
              <w:tab w:val="right" w:pos="8639" w:leader="dot"/>
            </w:tabs>
            <w:rPr/>
          </w:pPr>
          <w:hyperlink w:anchor="__RefHeading___Toc25697_2336213107" w:tooltip="2.3 Correct Attack Stages and Retained Warnings">
            <w:r>
              <w:rPr>
                <w:rStyle w:val="IndexLink"/>
                <w:i w:val="false"/>
              </w:rPr>
              <w:t>2.3 Correct Attack Stages and Retained Warnings</w:t>
            </w:r>
            <w:r>
              <w:rPr>
                <w:rStyle w:val="IndexLink"/>
              </w:rPr>
              <w:tab/>
              <w:t>9</w:t>
            </w:r>
          </w:hyperlink>
        </w:p>
        <w:p>
          <w:pPr>
            <w:pStyle w:val="TOC2"/>
            <w:tabs>
              <w:tab w:val="clear" w:pos="720"/>
              <w:tab w:val="right" w:pos="8639" w:leader="dot"/>
            </w:tabs>
            <w:rPr/>
          </w:pPr>
          <w:hyperlink w:anchor="__RefHeading___Toc25699_2336213107" w:tooltip="2.4 Recent Flow and Attack-Stage Research">
            <w:r>
              <w:rPr>
                <w:rStyle w:val="IndexLink"/>
                <w:i w:val="false"/>
              </w:rPr>
              <w:t>2.4 Recent Flow and Attack-Stage Research</w:t>
            </w:r>
            <w:r>
              <w:rPr>
                <w:rStyle w:val="IndexLink"/>
              </w:rPr>
              <w:tab/>
              <w:t>9</w:t>
            </w:r>
          </w:hyperlink>
        </w:p>
        <w:p>
          <w:pPr>
            <w:pStyle w:val="TOC2"/>
            <w:tabs>
              <w:tab w:val="clear" w:pos="720"/>
              <w:tab w:val="right" w:pos="8639" w:leader="dot"/>
            </w:tabs>
            <w:rPr/>
          </w:pPr>
          <w:hyperlink w:anchor="__RefHeading___Toc25701_2336213107" w:tooltip="2.5 Dataset Origin and Benchmark Independence">
            <w:r>
              <w:rPr>
                <w:rStyle w:val="IndexLink"/>
                <w:i w:val="false"/>
              </w:rPr>
              <w:t>2.5 Dataset Origin and Benchmark Independence</w:t>
            </w:r>
            <w:r>
              <w:rPr>
                <w:rStyle w:val="IndexLink"/>
              </w:rPr>
              <w:tab/>
              <w:t>10</w:t>
            </w:r>
          </w:hyperlink>
        </w:p>
        <w:p>
          <w:pPr>
            <w:pStyle w:val="TOC2"/>
            <w:tabs>
              <w:tab w:val="clear" w:pos="720"/>
              <w:tab w:val="right" w:pos="8639" w:leader="dot"/>
            </w:tabs>
            <w:rPr/>
          </w:pPr>
          <w:hyperlink w:anchor="__RefHeading___Toc25703_2336213107" w:tooltip="2.6 Literature Gap and Contribution Positioning">
            <w:r>
              <w:rPr>
                <w:rStyle w:val="IndexLink"/>
                <w:i w:val="false"/>
              </w:rPr>
              <w:t>2.6 Literature Gap and Contribution Positioning</w:t>
            </w:r>
            <w:r>
              <w:rPr>
                <w:rStyle w:val="IndexLink"/>
              </w:rPr>
              <w:tab/>
              <w:t>11</w:t>
            </w:r>
          </w:hyperlink>
        </w:p>
        <w:p>
          <w:pPr>
            <w:pStyle w:val="TOC2"/>
            <w:tabs>
              <w:tab w:val="clear" w:pos="720"/>
              <w:tab w:val="right" w:pos="8639" w:leader="dot"/>
            </w:tabs>
            <w:rPr/>
          </w:pPr>
          <w:hyperlink w:anchor="__RefHeading___Toc25705_2336213107" w:tooltip="2.7 Machine-Learning Foundations and Their Role">
            <w:r>
              <w:rPr>
                <w:rStyle w:val="IndexLink"/>
                <w:i w:val="false"/>
              </w:rPr>
              <w:t>2.7 Machine-Learning Foundations and Their Role</w:t>
            </w:r>
            <w:r>
              <w:rPr>
                <w:rStyle w:val="IndexLink"/>
              </w:rPr>
              <w:tab/>
              <w:t>12</w:t>
            </w:r>
          </w:hyperlink>
        </w:p>
        <w:p>
          <w:pPr>
            <w:pStyle w:val="TOC2"/>
            <w:tabs>
              <w:tab w:val="clear" w:pos="720"/>
              <w:tab w:val="right" w:pos="8639" w:leader="dot"/>
            </w:tabs>
            <w:rPr/>
          </w:pPr>
          <w:hyperlink w:anchor="__RefHeading___Toc25707_2336213107" w:tooltip="2.8 Literature Review Summary">
            <w:r>
              <w:rPr>
                <w:rStyle w:val="IndexLink"/>
                <w:i w:val="false"/>
              </w:rPr>
              <w:t>2.8 Literature Review Summary</w:t>
            </w:r>
            <w:r>
              <w:rPr>
                <w:rStyle w:val="IndexLink"/>
              </w:rPr>
              <w:tab/>
              <w:t>13</w:t>
            </w:r>
          </w:hyperlink>
        </w:p>
        <w:p>
          <w:pPr>
            <w:pStyle w:val="TOC1"/>
            <w:tabs>
              <w:tab w:val="clear" w:pos="720"/>
              <w:tab w:val="right" w:pos="8639" w:leader="dot"/>
            </w:tabs>
            <w:rPr/>
          </w:pPr>
          <w:hyperlink w:anchor="__RefHeading___Toc25709_2336213107" w:tooltip="Chapter 3: Methodology">
            <w:r>
              <w:rPr>
                <w:rStyle w:val="IndexLink"/>
                <w:i w:val="false"/>
              </w:rPr>
              <w:t>Chapter 3: Methodology</w:t>
            </w:r>
            <w:r>
              <w:rPr>
                <w:rStyle w:val="IndexLink"/>
              </w:rPr>
              <w:tab/>
              <w:t>14</w:t>
            </w:r>
          </w:hyperlink>
        </w:p>
        <w:p>
          <w:pPr>
            <w:pStyle w:val="TOC2"/>
            <w:tabs>
              <w:tab w:val="clear" w:pos="720"/>
              <w:tab w:val="right" w:pos="8639" w:leader="dot"/>
            </w:tabs>
            <w:rPr/>
          </w:pPr>
          <w:hyperlink w:anchor="__RefHeading___Toc25711_2336213107" w:tooltip="3.1 Introduction and Graphical Model of Research">
            <w:r>
              <w:rPr>
                <w:rStyle w:val="IndexLink"/>
                <w:i w:val="false"/>
              </w:rPr>
              <w:t>3.1 Introduction and Graphical Model of Research</w:t>
            </w:r>
            <w:r>
              <w:rPr>
                <w:rStyle w:val="IndexLink"/>
              </w:rPr>
              <w:tab/>
              <w:t>14</w:t>
            </w:r>
          </w:hyperlink>
        </w:p>
        <w:p>
          <w:pPr>
            <w:pStyle w:val="TOC2"/>
            <w:tabs>
              <w:tab w:val="clear" w:pos="720"/>
              <w:tab w:val="right" w:pos="8639" w:leader="dot"/>
            </w:tabs>
            <w:rPr/>
          </w:pPr>
          <w:hyperlink w:anchor="__RefHeading___Toc25713_2336213107" w:tooltip="3.2 Research Design and Analysis Chronology">
            <w:r>
              <w:rPr>
                <w:rStyle w:val="IndexLink"/>
                <w:i w:val="false"/>
              </w:rPr>
              <w:t>3.2 Research Design and Analysis Chronology</w:t>
            </w:r>
            <w:r>
              <w:rPr>
                <w:rStyle w:val="IndexLink"/>
              </w:rPr>
              <w:tab/>
              <w:t>16</w:t>
            </w:r>
          </w:hyperlink>
        </w:p>
        <w:p>
          <w:pPr>
            <w:pStyle w:val="TOC2"/>
            <w:tabs>
              <w:tab w:val="clear" w:pos="720"/>
              <w:tab w:val="right" w:pos="8639" w:leader="dot"/>
            </w:tabs>
            <w:rPr/>
          </w:pPr>
          <w:hyperlink w:anchor="__RefHeading___Toc25715_2336213107" w:tooltip="3.3 Datasets, Evaluation Support and Feature Interpretation">
            <w:r>
              <w:rPr>
                <w:rStyle w:val="IndexLink"/>
                <w:i w:val="false"/>
              </w:rPr>
              <w:t>3.3 Datasets, Evaluation Support and Feature Interpretation</w:t>
            </w:r>
            <w:r>
              <w:rPr>
                <w:rStyle w:val="IndexLink"/>
              </w:rPr>
              <w:tab/>
              <w:t>17</w:t>
            </w:r>
          </w:hyperlink>
        </w:p>
        <w:p>
          <w:pPr>
            <w:pStyle w:val="TOC2"/>
            <w:tabs>
              <w:tab w:val="clear" w:pos="720"/>
              <w:tab w:val="right" w:pos="8639" w:leader="dot"/>
            </w:tabs>
            <w:rPr/>
          </w:pPr>
          <w:hyperlink w:anchor="__RefHeading___Toc25717_2336213107" w:tooltip="3.4 Evaluation Anchor and Temporal Controls">
            <w:r>
              <w:rPr>
                <w:rStyle w:val="IndexLink"/>
                <w:i w:val="false"/>
              </w:rPr>
              <w:t>3.4 Evaluation Anchor and Temporal Controls</w:t>
            </w:r>
            <w:r>
              <w:rPr>
                <w:rStyle w:val="IndexLink"/>
              </w:rPr>
              <w:tab/>
              <w:t>26</w:t>
            </w:r>
          </w:hyperlink>
        </w:p>
        <w:p>
          <w:pPr>
            <w:pStyle w:val="TOC2"/>
            <w:tabs>
              <w:tab w:val="clear" w:pos="720"/>
              <w:tab w:val="right" w:pos="8639" w:leader="dot"/>
            </w:tabs>
            <w:rPr/>
          </w:pPr>
          <w:hyperlink w:anchor="__RefHeading___Toc25719_2336213107" w:tooltip="3.5 Historical-Evidence and Acquisition Interventions">
            <w:r>
              <w:rPr>
                <w:rStyle w:val="IndexLink"/>
                <w:i w:val="false"/>
              </w:rPr>
              <w:t>3.5 Historical-Evidence and Acquisition Interventions</w:t>
            </w:r>
            <w:r>
              <w:rPr>
                <w:rStyle w:val="IndexLink"/>
              </w:rPr>
              <w:tab/>
              <w:t>27</w:t>
            </w:r>
          </w:hyperlink>
        </w:p>
        <w:p>
          <w:pPr>
            <w:pStyle w:val="TOC2"/>
            <w:tabs>
              <w:tab w:val="clear" w:pos="720"/>
              <w:tab w:val="right" w:pos="8639" w:leader="dot"/>
            </w:tabs>
            <w:rPr/>
          </w:pPr>
          <w:hyperlink w:anchor="__RefHeading___Toc25721_2336213107" w:tooltip="3.6 Implemented Models and Mathematical Summary">
            <w:r>
              <w:rPr>
                <w:rStyle w:val="IndexLink"/>
                <w:i w:val="false"/>
              </w:rPr>
              <w:t>3.6 Implemented Models and Mathematical Summary</w:t>
            </w:r>
            <w:r>
              <w:rPr>
                <w:rStyle w:val="IndexLink"/>
              </w:rPr>
              <w:tab/>
              <w:t>28</w:t>
            </w:r>
          </w:hyperlink>
        </w:p>
        <w:p>
          <w:pPr>
            <w:pStyle w:val="TOC2"/>
            <w:tabs>
              <w:tab w:val="clear" w:pos="720"/>
              <w:tab w:val="right" w:pos="8639" w:leader="dot"/>
            </w:tabs>
            <w:rPr/>
          </w:pPr>
          <w:hyperlink w:anchor="__RefHeading___Toc25723_2336213107" w:tooltip="3.7 Stage, Warning and Workload Metrics">
            <w:r>
              <w:rPr>
                <w:rStyle w:val="IndexLink"/>
                <w:i w:val="false"/>
              </w:rPr>
              <w:t>3.7 Stage, Warning and Workload Metrics</w:t>
            </w:r>
            <w:r>
              <w:rPr>
                <w:rStyle w:val="IndexLink"/>
              </w:rPr>
              <w:tab/>
              <w:t>42</w:t>
            </w:r>
          </w:hyperlink>
        </w:p>
        <w:p>
          <w:pPr>
            <w:pStyle w:val="TOC2"/>
            <w:tabs>
              <w:tab w:val="clear" w:pos="720"/>
              <w:tab w:val="right" w:pos="8639" w:leader="dot"/>
            </w:tabs>
            <w:rPr/>
          </w:pPr>
          <w:hyperlink w:anchor="__RefHeading___Toc25725_2336213107" w:tooltip="3.8 Paired Reanalysis, Uncertainty and Sensitivity">
            <w:r>
              <w:rPr>
                <w:rStyle w:val="IndexLink"/>
                <w:i w:val="false"/>
              </w:rPr>
              <w:t>3.8 Paired Reanalysis, Uncertainty and Sensitivity</w:t>
            </w:r>
            <w:r>
              <w:rPr>
                <w:rStyle w:val="IndexLink"/>
              </w:rPr>
              <w:tab/>
              <w:t>44</w:t>
            </w:r>
          </w:hyperlink>
        </w:p>
        <w:p>
          <w:pPr>
            <w:pStyle w:val="TOC2"/>
            <w:tabs>
              <w:tab w:val="clear" w:pos="720"/>
              <w:tab w:val="right" w:pos="8639" w:leader="dot"/>
            </w:tabs>
            <w:rPr/>
          </w:pPr>
          <w:hyperlink w:anchor="__RefHeading___Toc25727_2336213107" w:tooltip="3.9 Necessary Chronological-Support Test">
            <w:r>
              <w:rPr>
                <w:rStyle w:val="IndexLink"/>
                <w:i w:val="false"/>
              </w:rPr>
              <w:t>3.9 Necessary Chronological-Support Test</w:t>
            </w:r>
            <w:r>
              <w:rPr>
                <w:rStyle w:val="IndexLink"/>
              </w:rPr>
              <w:tab/>
              <w:t>46</w:t>
            </w:r>
          </w:hyperlink>
        </w:p>
        <w:p>
          <w:pPr>
            <w:pStyle w:val="TOC2"/>
            <w:tabs>
              <w:tab w:val="clear" w:pos="720"/>
              <w:tab w:val="right" w:pos="8639" w:leader="dot"/>
            </w:tabs>
            <w:rPr/>
          </w:pPr>
          <w:hyperlink w:anchor="__RefHeading___Toc25729_2336213107" w:tooltip="3.10 Reproducibility, Implementation and Compute">
            <w:r>
              <w:rPr>
                <w:rStyle w:val="IndexLink"/>
                <w:i w:val="false"/>
              </w:rPr>
              <w:t>3.10 Reproducibility, Implementation and Compute</w:t>
            </w:r>
            <w:r>
              <w:rPr>
                <w:rStyle w:val="IndexLink"/>
              </w:rPr>
              <w:tab/>
              <w:t>46</w:t>
            </w:r>
          </w:hyperlink>
        </w:p>
        <w:p>
          <w:pPr>
            <w:pStyle w:val="TOC2"/>
            <w:tabs>
              <w:tab w:val="clear" w:pos="720"/>
              <w:tab w:val="right" w:pos="8639" w:leader="dot"/>
            </w:tabs>
            <w:rPr/>
          </w:pPr>
          <w:hyperlink w:anchor="__RefHeading___Toc25731_2336213107" w:tooltip="3.11 Full-Release, Uncapped Extension">
            <w:r>
              <w:rPr>
                <w:rStyle w:val="IndexLink"/>
                <w:i w:val="false"/>
              </w:rPr>
              <w:t>3.11 Full-Release, Uncapped Extension</w:t>
            </w:r>
            <w:r>
              <w:rPr>
                <w:rStyle w:val="IndexLink"/>
              </w:rPr>
              <w:tab/>
              <w:t>47</w:t>
            </w:r>
          </w:hyperlink>
        </w:p>
        <w:p>
          <w:pPr>
            <w:pStyle w:val="TOC2"/>
            <w:tabs>
              <w:tab w:val="clear" w:pos="720"/>
              <w:tab w:val="right" w:pos="8639" w:leader="dot"/>
            </w:tabs>
            <w:rPr/>
          </w:pPr>
          <w:hyperlink w:anchor="__RefHeading___Toc25733_2336213107" w:tooltip="3.12 Adapted External-Execution Validation on AIT">
            <w:r>
              <w:rPr>
                <w:rStyle w:val="IndexLink"/>
                <w:i w:val="false"/>
              </w:rPr>
              <w:t>3.12 Adapted External-Execution Validation on AIT</w:t>
            </w:r>
            <w:r>
              <w:rPr>
                <w:rStyle w:val="IndexLink"/>
              </w:rPr>
              <w:tab/>
              <w:t>50</w:t>
            </w:r>
          </w:hyperlink>
        </w:p>
        <w:p>
          <w:pPr>
            <w:pStyle w:val="TOC1"/>
            <w:tabs>
              <w:tab w:val="clear" w:pos="720"/>
              <w:tab w:val="right" w:pos="8639" w:leader="dot"/>
            </w:tabs>
            <w:rPr/>
          </w:pPr>
          <w:hyperlink w:anchor="__RefHeading___Toc25735_2336213107" w:tooltip="Chapter 4: Results">
            <w:r>
              <w:rPr>
                <w:rStyle w:val="IndexLink"/>
                <w:i w:val="false"/>
              </w:rPr>
              <w:t>Chapter 4: Results</w:t>
            </w:r>
            <w:r>
              <w:rPr>
                <w:rStyle w:val="IndexLink"/>
              </w:rPr>
              <w:tab/>
              <w:t>55</w:t>
            </w:r>
          </w:hyperlink>
        </w:p>
        <w:p>
          <w:pPr>
            <w:pStyle w:val="TOC2"/>
            <w:tabs>
              <w:tab w:val="clear" w:pos="720"/>
              <w:tab w:val="right" w:pos="8639" w:leader="dot"/>
            </w:tabs>
            <w:rPr/>
          </w:pPr>
          <w:hyperlink w:anchor="__RefHeading___Toc25737_2336213107" w:tooltip="4.1 Primary Finding: Overall Scores and Missed Exfiltration Warnings">
            <w:r>
              <w:rPr>
                <w:rStyle w:val="IndexLink"/>
                <w:i w:val="false"/>
              </w:rPr>
              <w:t>4.1 Primary Finding: Overall Scores and Missed Exfiltration Warnings</w:t>
            </w:r>
            <w:r>
              <w:rPr>
                <w:rStyle w:val="IndexLink"/>
              </w:rPr>
              <w:tab/>
              <w:t>55</w:t>
            </w:r>
          </w:hyperlink>
        </w:p>
        <w:p>
          <w:pPr>
            <w:pStyle w:val="TOC2"/>
            <w:tabs>
              <w:tab w:val="clear" w:pos="720"/>
              <w:tab w:val="right" w:pos="8639" w:leader="dot"/>
            </w:tabs>
            <w:rPr/>
          </w:pPr>
          <w:hyperlink w:anchor="__RefHeading___Toc25739_2336213107" w:tooltip="4.2 Chronological History Gains and Their Tradeoff">
            <w:r>
              <w:rPr>
                <w:rStyle w:val="IndexLink"/>
                <w:i w:val="false"/>
              </w:rPr>
              <w:t>4.2 Chronological History Gains and Their Tradeoff</w:t>
            </w:r>
            <w:r>
              <w:rPr>
                <w:rStyle w:val="IndexLink"/>
              </w:rPr>
              <w:tab/>
              <w:t>60</w:t>
            </w:r>
          </w:hyperlink>
        </w:p>
        <w:p>
          <w:pPr>
            <w:pStyle w:val="TOC2"/>
            <w:tabs>
              <w:tab w:val="clear" w:pos="720"/>
              <w:tab w:val="right" w:pos="8639" w:leader="dot"/>
            </w:tabs>
            <w:rPr/>
          </w:pPr>
          <w:hyperlink w:anchor="__RefHeading___Toc25741_2336213107" w:tooltip="4.3 Supporting Finding: Fixed-Anchor Temporal Sensitivity">
            <w:r>
              <w:rPr>
                <w:rStyle w:val="IndexLink"/>
                <w:i w:val="false"/>
              </w:rPr>
              <w:t>4.3 Supporting Finding: Fixed-Anchor Temporal Sensitivity</w:t>
            </w:r>
            <w:r>
              <w:rPr>
                <w:rStyle w:val="IndexLink"/>
              </w:rPr>
              <w:tab/>
              <w:t>62</w:t>
            </w:r>
          </w:hyperlink>
        </w:p>
        <w:p>
          <w:pPr>
            <w:pStyle w:val="TOC2"/>
            <w:tabs>
              <w:tab w:val="clear" w:pos="720"/>
              <w:tab w:val="right" w:pos="8639" w:leader="dot"/>
            </w:tabs>
            <w:rPr/>
          </w:pPr>
          <w:hyperlink w:anchor="__RefHeading___Toc25743_2336213107" w:tooltip="4.4 History Selection and Simple Controls">
            <w:r>
              <w:rPr>
                <w:rStyle w:val="IndexLink"/>
                <w:i w:val="false"/>
              </w:rPr>
              <w:t>4.4 History Selection and Simple Controls</w:t>
            </w:r>
            <w:r>
              <w:rPr>
                <w:rStyle w:val="IndexLink"/>
              </w:rPr>
              <w:tab/>
              <w:t>65</w:t>
            </w:r>
          </w:hyperlink>
        </w:p>
        <w:p>
          <w:pPr>
            <w:pStyle w:val="TOC2"/>
            <w:tabs>
              <w:tab w:val="clear" w:pos="720"/>
              <w:tab w:val="right" w:pos="8639" w:leader="dot"/>
            </w:tabs>
            <w:rPr/>
          </w:pPr>
          <w:hyperlink w:anchor="__RefHeading___Toc25745_2336213107" w:tooltip="4.5 Dataset Evaluation and Qualification Results">
            <w:r>
              <w:rPr>
                <w:rStyle w:val="IndexLink"/>
                <w:i w:val="false"/>
              </w:rPr>
              <w:t>4.5 Dataset Evaluation and Qualification Results</w:t>
            </w:r>
            <w:r>
              <w:rPr>
                <w:rStyle w:val="IndexLink"/>
              </w:rPr>
              <w:tab/>
              <w:t>67</w:t>
            </w:r>
          </w:hyperlink>
        </w:p>
        <w:p>
          <w:pPr>
            <w:pStyle w:val="TOC2"/>
            <w:tabs>
              <w:tab w:val="clear" w:pos="720"/>
              <w:tab w:val="right" w:pos="8639" w:leader="dot"/>
            </w:tabs>
            <w:rPr/>
          </w:pPr>
          <w:hyperlink w:anchor="__RefHeading___Toc25747_2336213107" w:tooltip="4.6 Capture and Fitting-Seed Sensitivity">
            <w:r>
              <w:rPr>
                <w:rStyle w:val="IndexLink"/>
                <w:i w:val="false"/>
              </w:rPr>
              <w:t>4.6 Capture and Fitting-Seed Sensitivity</w:t>
            </w:r>
            <w:r>
              <w:rPr>
                <w:rStyle w:val="IndexLink"/>
              </w:rPr>
              <w:tab/>
              <w:t>71</w:t>
            </w:r>
          </w:hyperlink>
        </w:p>
        <w:p>
          <w:pPr>
            <w:pStyle w:val="TOC2"/>
            <w:tabs>
              <w:tab w:val="clear" w:pos="720"/>
              <w:tab w:val="right" w:pos="8639" w:leader="dot"/>
            </w:tabs>
            <w:rPr/>
          </w:pPr>
          <w:hyperlink w:anchor="__RefHeading___Toc25749_2336213107" w:tooltip="4.7 Supplementary Technique-Policy Transfer">
            <w:r>
              <w:rPr>
                <w:rStyle w:val="IndexLink"/>
                <w:i w:val="false"/>
              </w:rPr>
              <w:t>4.7 Supplementary Technique-Policy Transfer</w:t>
            </w:r>
            <w:r>
              <w:rPr>
                <w:rStyle w:val="IndexLink"/>
              </w:rPr>
              <w:tab/>
              <w:t>75</w:t>
            </w:r>
          </w:hyperlink>
        </w:p>
        <w:p>
          <w:pPr>
            <w:pStyle w:val="TOC2"/>
            <w:tabs>
              <w:tab w:val="clear" w:pos="720"/>
              <w:tab w:val="right" w:pos="8639" w:leader="dot"/>
            </w:tabs>
            <w:rPr/>
          </w:pPr>
          <w:hyperlink w:anchor="__RefHeading___Toc25751_2336213107" w:tooltip="4.8 Ranking Metrics and Operating Decisions">
            <w:r>
              <w:rPr>
                <w:rStyle w:val="IndexLink"/>
                <w:i w:val="false"/>
              </w:rPr>
              <w:t>4.8 Ranking Metrics and Operating Decisions</w:t>
            </w:r>
            <w:r>
              <w:rPr>
                <w:rStyle w:val="IndexLink"/>
              </w:rPr>
              <w:tab/>
              <w:t>77</w:t>
            </w:r>
          </w:hyperlink>
        </w:p>
        <w:p>
          <w:pPr>
            <w:pStyle w:val="TOC2"/>
            <w:tabs>
              <w:tab w:val="clear" w:pos="720"/>
              <w:tab w:val="right" w:pos="8639" w:leader="dot"/>
            </w:tabs>
            <w:rPr/>
          </w:pPr>
          <w:hyperlink w:anchor="__RefHeading___Toc25753_2336213107" w:tooltip="4.9 Answers to the Research Questions">
            <w:r>
              <w:rPr>
                <w:rStyle w:val="IndexLink"/>
                <w:i w:val="false"/>
              </w:rPr>
              <w:t>4.9 Answers to the Research Questions</w:t>
            </w:r>
            <w:r>
              <w:rPr>
                <w:rStyle w:val="IndexLink"/>
              </w:rPr>
              <w:tab/>
              <w:t>80</w:t>
            </w:r>
          </w:hyperlink>
        </w:p>
        <w:p>
          <w:pPr>
            <w:pStyle w:val="TOC2"/>
            <w:tabs>
              <w:tab w:val="clear" w:pos="720"/>
              <w:tab w:val="right" w:pos="8639" w:leader="dot"/>
            </w:tabs>
            <w:rPr/>
          </w:pPr>
          <w:hyperlink w:anchor="__RefHeading___Toc25755_2336213107" w:tooltip="4.10 Full-Release Results and Calibration Review">
            <w:r>
              <w:rPr>
                <w:rStyle w:val="IndexLink"/>
                <w:i w:val="false"/>
              </w:rPr>
              <w:t>4.10 Full-Release Results and Calibration Review</w:t>
            </w:r>
            <w:r>
              <w:rPr>
                <w:rStyle w:val="IndexLink"/>
              </w:rPr>
              <w:tab/>
              <w:t>80</w:t>
            </w:r>
          </w:hyperlink>
        </w:p>
        <w:p>
          <w:pPr>
            <w:pStyle w:val="TOC2"/>
            <w:tabs>
              <w:tab w:val="clear" w:pos="720"/>
              <w:tab w:val="right" w:pos="8639" w:leader="dot"/>
            </w:tabs>
            <w:rPr/>
          </w:pPr>
          <w:hyperlink w:anchor="__RefHeading___Toc25757_2336213107" w:tooltip="4.11 Adapted AIT Validation Results">
            <w:r>
              <w:rPr>
                <w:rStyle w:val="IndexLink"/>
                <w:i w:val="false"/>
              </w:rPr>
              <w:t>4.11 Adapted AIT Validation Results</w:t>
            </w:r>
            <w:r>
              <w:rPr>
                <w:rStyle w:val="IndexLink"/>
              </w:rPr>
              <w:tab/>
              <w:t>83</w:t>
            </w:r>
          </w:hyperlink>
        </w:p>
        <w:p>
          <w:pPr>
            <w:pStyle w:val="TOC1"/>
            <w:tabs>
              <w:tab w:val="clear" w:pos="720"/>
              <w:tab w:val="right" w:pos="8639" w:leader="dot"/>
            </w:tabs>
            <w:rPr/>
          </w:pPr>
          <w:hyperlink w:anchor="__RefHeading___Toc25759_2336213107" w:tooltip="Chapter 5: Discussion and Conclusions">
            <w:r>
              <w:rPr>
                <w:rStyle w:val="IndexLink"/>
                <w:i w:val="false"/>
              </w:rPr>
              <w:t>Chapter 5: Discussion and Conclusions</w:t>
            </w:r>
            <w:r>
              <w:rPr>
                <w:rStyle w:val="IndexLink"/>
              </w:rPr>
              <w:tab/>
              <w:t>87</w:t>
            </w:r>
          </w:hyperlink>
        </w:p>
        <w:p>
          <w:pPr>
            <w:pStyle w:val="TOC2"/>
            <w:tabs>
              <w:tab w:val="clear" w:pos="720"/>
              <w:tab w:val="right" w:pos="8639" w:leader="dot"/>
            </w:tabs>
            <w:rPr/>
          </w:pPr>
          <w:hyperlink w:anchor="__RefHeading___Toc25761_2336213107" w:tooltip="5.1 Discussion of the Central Finding">
            <w:r>
              <w:rPr>
                <w:rStyle w:val="IndexLink"/>
                <w:i w:val="false"/>
              </w:rPr>
              <w:t>5.1 Discussion of the Central Finding</w:t>
            </w:r>
            <w:r>
              <w:rPr>
                <w:rStyle w:val="IndexLink"/>
              </w:rPr>
              <w:tab/>
              <w:t>87</w:t>
            </w:r>
          </w:hyperlink>
        </w:p>
        <w:p>
          <w:pPr>
            <w:pStyle w:val="TOC2"/>
            <w:tabs>
              <w:tab w:val="clear" w:pos="720"/>
              <w:tab w:val="right" w:pos="8639" w:leader="dot"/>
            </w:tabs>
            <w:rPr/>
          </w:pPr>
          <w:hyperlink w:anchor="__RefHeading___Toc25763_2336213107" w:tooltip="5.2 Contributions to the Body of Knowledge">
            <w:r>
              <w:rPr>
                <w:rStyle w:val="IndexLink"/>
                <w:i w:val="false"/>
              </w:rPr>
              <w:t>5.2 Contributions to the Body of Knowledge</w:t>
            </w:r>
            <w:r>
              <w:rPr>
                <w:rStyle w:val="IndexLink"/>
              </w:rPr>
              <w:tab/>
              <w:t>87</w:t>
            </w:r>
          </w:hyperlink>
        </w:p>
        <w:p>
          <w:pPr>
            <w:pStyle w:val="TOC2"/>
            <w:tabs>
              <w:tab w:val="clear" w:pos="720"/>
              <w:tab w:val="right" w:pos="8639" w:leader="dot"/>
            </w:tabs>
            <w:rPr/>
          </w:pPr>
          <w:hyperlink w:anchor="__RefHeading___Toc25765_2336213107" w:tooltip="5.3 Applied Evaluation Procedure">
            <w:r>
              <w:rPr>
                <w:rStyle w:val="IndexLink"/>
                <w:i w:val="false"/>
              </w:rPr>
              <w:t>5.3 Applied Evaluation Procedure</w:t>
            </w:r>
            <w:r>
              <w:rPr>
                <w:rStyle w:val="IndexLink"/>
              </w:rPr>
              <w:tab/>
              <w:t>88</w:t>
            </w:r>
          </w:hyperlink>
        </w:p>
        <w:p>
          <w:pPr>
            <w:pStyle w:val="TOC2"/>
            <w:tabs>
              <w:tab w:val="clear" w:pos="720"/>
              <w:tab w:val="right" w:pos="8639" w:leader="dot"/>
            </w:tabs>
            <w:rPr/>
          </w:pPr>
          <w:hyperlink w:anchor="__RefHeading___Toc25767_2336213107" w:tooltip="5.4 Construct, Internal and External Validity">
            <w:r>
              <w:rPr>
                <w:rStyle w:val="IndexLink"/>
                <w:i w:val="false"/>
              </w:rPr>
              <w:t>5.4 Construct, Internal and External Validity</w:t>
            </w:r>
            <w:r>
              <w:rPr>
                <w:rStyle w:val="IndexLink"/>
              </w:rPr>
              <w:tab/>
              <w:t>90</w:t>
            </w:r>
          </w:hyperlink>
        </w:p>
        <w:p>
          <w:pPr>
            <w:pStyle w:val="TOC2"/>
            <w:tabs>
              <w:tab w:val="clear" w:pos="720"/>
              <w:tab w:val="right" w:pos="8639" w:leader="dot"/>
            </w:tabs>
            <w:rPr/>
          </w:pPr>
          <w:hyperlink w:anchor="__RefHeading___Toc25769_2336213107" w:tooltip="5.5 Recommendations for Future Research">
            <w:r>
              <w:rPr>
                <w:rStyle w:val="IndexLink"/>
                <w:i w:val="false"/>
              </w:rPr>
              <w:t>5.5 Recommendations for Future Research</w:t>
            </w:r>
            <w:r>
              <w:rPr>
                <w:rStyle w:val="IndexLink"/>
              </w:rPr>
              <w:tab/>
              <w:t>93</w:t>
            </w:r>
          </w:hyperlink>
        </w:p>
        <w:p>
          <w:pPr>
            <w:pStyle w:val="TOC2"/>
            <w:tabs>
              <w:tab w:val="clear" w:pos="720"/>
              <w:tab w:val="right" w:pos="8639" w:leader="dot"/>
            </w:tabs>
            <w:rPr/>
          </w:pPr>
          <w:hyperlink w:anchor="__RefHeading___Toc25771_2336213107" w:tooltip="5.6 Conclusions">
            <w:r>
              <w:rPr>
                <w:rStyle w:val="IndexLink"/>
                <w:i w:val="false"/>
              </w:rPr>
              <w:t>5.6 Conclusions</w:t>
            </w:r>
            <w:r>
              <w:rPr>
                <w:rStyle w:val="IndexLink"/>
              </w:rPr>
              <w:tab/>
              <w:t>94</w:t>
            </w:r>
          </w:hyperlink>
        </w:p>
        <w:p>
          <w:pPr>
            <w:pStyle w:val="TOC1"/>
            <w:tabs>
              <w:tab w:val="clear" w:pos="720"/>
              <w:tab w:val="right" w:pos="8639" w:leader="dot"/>
            </w:tabs>
            <w:rPr/>
          </w:pPr>
          <w:hyperlink w:anchor="__RefHeading___Toc25773_2336213107" w:tooltip="References">
            <w:r>
              <w:rPr>
                <w:rStyle w:val="IndexLink"/>
                <w:i w:val="false"/>
              </w:rPr>
              <w:t>References</w:t>
            </w:r>
            <w:r>
              <w:rPr>
                <w:rStyle w:val="IndexLink"/>
              </w:rPr>
              <w:tab/>
              <w:t>97</w:t>
            </w:r>
          </w:hyperlink>
        </w:p>
        <w:p>
          <w:pPr>
            <w:pStyle w:val="TOC1"/>
            <w:tabs>
              <w:tab w:val="clear" w:pos="720"/>
              <w:tab w:val="right" w:pos="8639" w:leader="dot"/>
            </w:tabs>
            <w:rPr/>
          </w:pPr>
          <w:hyperlink w:anchor="__RefHeading___Toc25775_2336213107" w:tooltip="Appendix A: Complete Results and Dataset Reporting">
            <w:r>
              <w:rPr>
                <w:rStyle w:val="IndexLink"/>
                <w:i w:val="false"/>
              </w:rPr>
              <w:t>Appendix A: Complete Results and Dataset Reporting</w:t>
            </w:r>
            <w:r>
              <w:rPr>
                <w:rStyle w:val="IndexLink"/>
              </w:rPr>
              <w:tab/>
              <w:t>101</w:t>
            </w:r>
          </w:hyperlink>
        </w:p>
        <w:p>
          <w:pPr>
            <w:pStyle w:val="TOC2"/>
            <w:tabs>
              <w:tab w:val="clear" w:pos="720"/>
              <w:tab w:val="right" w:pos="8639" w:leader="dot"/>
            </w:tabs>
            <w:rPr/>
          </w:pPr>
          <w:hyperlink w:anchor="__RefHeading___Toc25777_2336213107" w:tooltip="A.1 Complete Evaluation Inventory">
            <w:r>
              <w:rPr>
                <w:rStyle w:val="IndexLink"/>
                <w:i w:val="false"/>
              </w:rPr>
              <w:t>A.1 Complete Evaluation Inventory</w:t>
            </w:r>
            <w:r>
              <w:rPr>
                <w:rStyle w:val="IndexLink"/>
              </w:rPr>
              <w:tab/>
              <w:t>101</w:t>
            </w:r>
          </w:hyperlink>
        </w:p>
        <w:p>
          <w:pPr>
            <w:pStyle w:val="TOC2"/>
            <w:tabs>
              <w:tab w:val="clear" w:pos="720"/>
              <w:tab w:val="right" w:pos="8639" w:leader="dot"/>
            </w:tabs>
            <w:rPr/>
          </w:pPr>
          <w:hyperlink w:anchor="__RefHeading___Toc25779_2336213107" w:tooltip="A.2 All Reported Group Means">
            <w:r>
              <w:rPr>
                <w:rStyle w:val="IndexLink"/>
                <w:i w:val="false"/>
              </w:rPr>
              <w:t>A.2 All Reported Group Means</w:t>
            </w:r>
            <w:r>
              <w:rPr>
                <w:rStyle w:val="IndexLink"/>
              </w:rPr>
              <w:tab/>
              <w:t>102</w:t>
            </w:r>
          </w:hyperlink>
        </w:p>
        <w:p>
          <w:pPr>
            <w:pStyle w:val="TOC2"/>
            <w:tabs>
              <w:tab w:val="clear" w:pos="720"/>
              <w:tab w:val="right" w:pos="8639" w:leader="dot"/>
            </w:tabs>
            <w:rPr/>
          </w:pPr>
          <w:hyperlink w:anchor="__RefHeading___Toc25781_2336213107" w:tooltip="A.3 Stage Metrics and Source-Record Access">
            <w:r>
              <w:rPr>
                <w:rStyle w:val="IndexLink"/>
                <w:i w:val="false"/>
              </w:rPr>
              <w:t>A.3 Stage Metrics and Source-Record Access</w:t>
            </w:r>
            <w:r>
              <w:rPr>
                <w:rStyle w:val="IndexLink"/>
              </w:rPr>
              <w:tab/>
              <w:t>121</w:t>
            </w:r>
          </w:hyperlink>
        </w:p>
        <w:p>
          <w:pPr>
            <w:pStyle w:val="TOC1"/>
            <w:tabs>
              <w:tab w:val="clear" w:pos="720"/>
              <w:tab w:val="right" w:pos="8639" w:leader="dot"/>
            </w:tabs>
            <w:rPr/>
          </w:pPr>
          <w:hyperlink w:anchor="__RefHeading___Toc25783_2336213107" w:tooltip="Appendix B: Reproducibility, Provenance and Evidence Access">
            <w:r>
              <w:rPr>
                <w:rStyle w:val="IndexLink"/>
                <w:i w:val="false"/>
              </w:rPr>
              <w:t>Appendix B: Reproducibility, Provenance and Evidence Access</w:t>
            </w:r>
            <w:r>
              <w:rPr>
                <w:rStyle w:val="IndexLink"/>
              </w:rPr>
              <w:tab/>
              <w:t>122</w:t>
            </w:r>
          </w:hyperlink>
        </w:p>
        <w:p>
          <w:pPr>
            <w:pStyle w:val="TOC2"/>
            <w:tabs>
              <w:tab w:val="clear" w:pos="720"/>
              <w:tab w:val="right" w:pos="8639" w:leader="dot"/>
            </w:tabs>
            <w:rPr/>
          </w:pPr>
          <w:hyperlink w:anchor="__RefHeading___Toc25785_2336213107" w:tooltip="B.1 Experimental Parameters and Source Provenance">
            <w:r>
              <w:rPr>
                <w:rStyle w:val="IndexLink"/>
                <w:i w:val="false"/>
              </w:rPr>
              <w:t>B.1 Experimental Parameters and Source Provenance</w:t>
            </w:r>
            <w:r>
              <w:rPr>
                <w:rStyle w:val="IndexLink"/>
              </w:rPr>
              <w:tab/>
              <w:t>122</w:t>
            </w:r>
          </w:hyperlink>
        </w:p>
        <w:p>
          <w:pPr>
            <w:pStyle w:val="TOC2"/>
            <w:tabs>
              <w:tab w:val="clear" w:pos="720"/>
              <w:tab w:val="right" w:pos="8639" w:leader="dot"/>
            </w:tabs>
            <w:rPr/>
          </w:pPr>
          <w:hyperlink w:anchor="__RefHeading___Toc25787_2336213107" w:tooltip="B.2 Claim Traceability">
            <w:r>
              <w:rPr>
                <w:rStyle w:val="IndexLink"/>
                <w:i w:val="false"/>
              </w:rPr>
              <w:t>B.2 Claim Traceability</w:t>
            </w:r>
            <w:r>
              <w:rPr>
                <w:rStyle w:val="IndexLink"/>
              </w:rPr>
              <w:tab/>
              <w:t>123</w:t>
            </w:r>
          </w:hyperlink>
        </w:p>
        <w:p>
          <w:pPr>
            <w:pStyle w:val="TOC2"/>
            <w:tabs>
              <w:tab w:val="clear" w:pos="720"/>
              <w:tab w:val="right" w:pos="8639" w:leader="dot"/>
            </w:tabs>
            <w:rPr/>
          </w:pPr>
          <w:hyperlink w:anchor="__RefHeading___Toc25789_2336213107" w:tooltip="B.3 Public Reproduction and Access Limits">
            <w:r>
              <w:rPr>
                <w:rStyle w:val="IndexLink"/>
                <w:i w:val="false"/>
              </w:rPr>
              <w:t>B.3 Public Reproduction and Access Limits</w:t>
            </w:r>
            <w:r>
              <w:rPr>
                <w:rStyle w:val="IndexLink"/>
              </w:rPr>
              <w:tab/>
              <w:t>124</w:t>
            </w:r>
          </w:hyperlink>
        </w:p>
        <w:p>
          <w:pPr>
            <w:pStyle w:val="TOC2"/>
            <w:tabs>
              <w:tab w:val="clear" w:pos="720"/>
              <w:tab w:val="right" w:pos="8639" w:leader="dot"/>
            </w:tabs>
            <w:rPr/>
          </w:pPr>
          <w:hyperlink w:anchor="__RefHeading___Toc25791_2336213107" w:tooltip="B.4 Document and Reference Provenance">
            <w:r>
              <w:rPr>
                <w:rStyle w:val="IndexLink"/>
                <w:i w:val="false"/>
              </w:rPr>
              <w:t>B.4 Document and Reference Provenance</w:t>
            </w:r>
            <w:r>
              <w:rPr>
                <w:rStyle w:val="IndexLink"/>
              </w:rPr>
              <w:tab/>
              <w:t>124</w:t>
            </w:r>
          </w:hyperlink>
        </w:p>
        <w:p>
          <w:pPr>
            <w:pStyle w:val="TOC1"/>
            <w:tabs>
              <w:tab w:val="clear" w:pos="720"/>
              <w:tab w:val="right" w:pos="8639" w:leader="dot"/>
            </w:tabs>
            <w:rPr/>
          </w:pPr>
          <w:hyperlink w:anchor="__RefHeading___Toc25793_2336213107" w:tooltip="Appendix C: Original GWU GML GMR Reference">
            <w:r>
              <w:rPr>
                <w:rStyle w:val="IndexLink"/>
                <w:i w:val="false"/>
              </w:rPr>
              <w:t>Appendix C: Original GWU GML GMR Reference</w:t>
            </w:r>
            <w:r>
              <w:rPr>
                <w:rStyle w:val="IndexLink"/>
              </w:rPr>
              <w:tab/>
              <w:t>126</w:t>
            </w:r>
          </w:hyperlink>
        </w:p>
        <w:p>
          <w:pPr>
            <w:pStyle w:val="TOC1"/>
            <w:tabs>
              <w:tab w:val="clear" w:pos="720"/>
              <w:tab w:val="right" w:pos="8639" w:leader="dot"/>
            </w:tabs>
            <w:rPr/>
          </w:pPr>
          <w:hyperlink w:anchor="__RefHeading___Toc25795_2336213107" w:tooltip="Appendix D: Full-Release Evidence and Reproduction">
            <w:r>
              <w:rPr>
                <w:rStyle w:val="IndexLink"/>
                <w:i w:val="false"/>
              </w:rPr>
              <w:t>Appendix D: Full-Release Evidence and Reproduction</w:t>
            </w:r>
            <w:r>
              <w:rPr>
                <w:rStyle w:val="IndexLink"/>
              </w:rPr>
              <w:tab/>
              <w:t>129</w:t>
            </w:r>
          </w:hyperlink>
        </w:p>
        <w:p>
          <w:pPr>
            <w:pStyle w:val="TOC2"/>
            <w:tabs>
              <w:tab w:val="clear" w:pos="720"/>
              <w:tab w:val="right" w:pos="8639" w:leader="dot"/>
            </w:tabs>
            <w:rPr/>
          </w:pPr>
          <w:hyperlink w:anchor="__RefHeading___Toc25797_2336213107" w:tooltip="D.1 net1011x">
            <w:r>
              <w:rPr>
                <w:rStyle w:val="IndexLink"/>
                <w:i w:val="false"/>
              </w:rPr>
              <w:t>D.1 net1011x</w:t>
            </w:r>
            <w:r>
              <w:rPr>
                <w:rStyle w:val="IndexLink"/>
              </w:rPr>
              <w:tab/>
              <w:t>129</w:t>
            </w:r>
          </w:hyperlink>
        </w:p>
        <w:p>
          <w:pPr>
            <w:pStyle w:val="TOC2"/>
            <w:tabs>
              <w:tab w:val="clear" w:pos="720"/>
              <w:tab w:val="right" w:pos="8639" w:leader="dot"/>
            </w:tabs>
            <w:rPr/>
          </w:pPr>
          <w:hyperlink w:anchor="__RefHeading___Toc25799_2336213107" w:tooltip="D.2 net1012x">
            <w:r>
              <w:rPr>
                <w:rStyle w:val="IndexLink"/>
                <w:i w:val="false"/>
              </w:rPr>
              <w:t>D.2 net1012x</w:t>
            </w:r>
            <w:r>
              <w:rPr>
                <w:rStyle w:val="IndexLink"/>
              </w:rPr>
              <w:tab/>
              <w:t>130</w:t>
            </w:r>
          </w:hyperlink>
        </w:p>
        <w:p>
          <w:pPr>
            <w:pStyle w:val="TOC2"/>
            <w:tabs>
              <w:tab w:val="clear" w:pos="720"/>
              <w:tab w:val="right" w:pos="8639" w:leader="dot"/>
            </w:tabs>
            <w:rPr/>
          </w:pPr>
          <w:hyperlink w:anchor="__RefHeading___Toc25801_2336213107" w:tooltip="D.3 net1013x">
            <w:r>
              <w:rPr>
                <w:rStyle w:val="IndexLink"/>
                <w:i w:val="false"/>
              </w:rPr>
              <w:t>D.3 net1013x</w:t>
            </w:r>
            <w:r>
              <w:rPr>
                <w:rStyle w:val="IndexLink"/>
              </w:rPr>
              <w:tab/>
              <w:t>131</w:t>
            </w:r>
          </w:hyperlink>
        </w:p>
        <w:p>
          <w:pPr>
            <w:pStyle w:val="TOC2"/>
            <w:tabs>
              <w:tab w:val="clear" w:pos="720"/>
              <w:tab w:val="right" w:pos="8639" w:leader="dot"/>
            </w:tabs>
            <w:rPr/>
          </w:pPr>
          <w:hyperlink w:anchor="__RefHeading___Toc25803_2336213107" w:tooltip="D.4 net1014x">
            <w:r>
              <w:rPr>
                <w:rStyle w:val="IndexLink"/>
                <w:i w:val="false"/>
              </w:rPr>
              <w:t>D.4 net1014x</w:t>
            </w:r>
            <w:r>
              <w:rPr>
                <w:rStyle w:val="IndexLink"/>
              </w:rPr>
              <w:tab/>
              <w:t>132</w:t>
            </w:r>
          </w:hyperlink>
        </w:p>
        <w:p>
          <w:pPr>
            <w:pStyle w:val="TOC2"/>
            <w:tabs>
              <w:tab w:val="clear" w:pos="720"/>
              <w:tab w:val="right" w:pos="8639" w:leader="dot"/>
            </w:tabs>
            <w:rPr/>
          </w:pPr>
          <w:hyperlink w:anchor="__RefHeading___Toc25805_2336213107" w:tooltip="D.5 net1015x">
            <w:r>
              <w:rPr>
                <w:rStyle w:val="IndexLink"/>
                <w:i w:val="false"/>
              </w:rPr>
              <w:t>D.5 net1015x</w:t>
            </w:r>
            <w:r>
              <w:rPr>
                <w:rStyle w:val="IndexLink"/>
              </w:rPr>
              <w:tab/>
              <w:t>133</w:t>
            </w:r>
          </w:hyperlink>
        </w:p>
        <w:p>
          <w:pPr>
            <w:pStyle w:val="TOC2"/>
            <w:tabs>
              <w:tab w:val="clear" w:pos="720"/>
              <w:tab w:val="right" w:pos="8639" w:leader="dot"/>
            </w:tabs>
            <w:rPr/>
          </w:pPr>
          <w:hyperlink w:anchor="__RefHeading___Toc25807_2336213107" w:tooltip="D.6 netgw">
            <w:r>
              <w:rPr>
                <w:rStyle w:val="IndexLink"/>
                <w:i w:val="false"/>
              </w:rPr>
              <w:t>D.6 netgw</w:t>
            </w:r>
            <w:r>
              <w:rPr>
                <w:rStyle w:val="IndexLink"/>
              </w:rPr>
              <w:tab/>
              <w:t>134</w:t>
            </w:r>
          </w:hyperlink>
        </w:p>
        <w:p>
          <w:pPr>
            <w:pStyle w:val="TOC2"/>
            <w:tabs>
              <w:tab w:val="clear" w:pos="720"/>
              <w:tab w:val="right" w:pos="8639" w:leader="dot"/>
            </w:tabs>
            <w:rPr/>
          </w:pPr>
          <w:hyperlink w:anchor="__RefHeading___Toc25809_2336213107" w:tooltip="D.7 Artifact Layout and Execution">
            <w:r>
              <w:rPr>
                <w:rStyle w:val="IndexLink"/>
                <w:i w:val="false"/>
              </w:rPr>
              <w:t>D.7 Artifact Layout and Execution</w:t>
            </w:r>
            <w:r>
              <w:rPr>
                <w:rStyle w:val="IndexLink"/>
              </w:rPr>
              <w:tab/>
              <w:t>135</w:t>
            </w:r>
          </w:hyperlink>
        </w:p>
        <w:p>
          <w:pPr>
            <w:pStyle w:val="TOC1"/>
            <w:tabs>
              <w:tab w:val="clear" w:pos="720"/>
              <w:tab w:val="right" w:pos="8639" w:leader="dot"/>
            </w:tabs>
            <w:rPr/>
          </w:pPr>
          <w:hyperlink w:anchor="__RefHeading___Toc25811_2336213107" w:tooltip="Appendix E: Complete AIT Validation and Reproduction">
            <w:r>
              <w:rPr>
                <w:rStyle w:val="IndexLink"/>
                <w:i w:val="false"/>
              </w:rPr>
              <w:t>Appendix E: Complete AIT Validation and Reproduction</w:t>
            </w:r>
            <w:r>
              <w:rPr>
                <w:rStyle w:val="IndexLink"/>
              </w:rPr>
              <w:tab/>
              <w:t>137</w:t>
            </w:r>
          </w:hyperlink>
        </w:p>
        <w:p>
          <w:pPr>
            <w:pStyle w:val="TOC2"/>
            <w:tabs>
              <w:tab w:val="clear" w:pos="720"/>
              <w:tab w:val="right" w:pos="8639" w:leader="dot"/>
            </w:tabs>
            <w:rPr/>
          </w:pPr>
          <w:hyperlink w:anchor="__RefHeading___Toc25813_2336213107" w:tooltip="E.1 Population, contract and audit">
            <w:r>
              <w:rPr>
                <w:rStyle w:val="IndexLink"/>
                <w:i w:val="false"/>
              </w:rPr>
              <w:t>E.1 Population, contract and audit</w:t>
            </w:r>
            <w:r>
              <w:rPr>
                <w:rStyle w:val="IndexLink"/>
              </w:rPr>
              <w:tab/>
              <w:t>137</w:t>
            </w:r>
          </w:hyperlink>
        </w:p>
        <w:p>
          <w:pPr>
            <w:pStyle w:val="TOC2"/>
            <w:tabs>
              <w:tab w:val="clear" w:pos="720"/>
              <w:tab w:val="right" w:pos="8639" w:leader="dot"/>
            </w:tabs>
            <w:rPr/>
          </w:pPr>
          <w:hyperlink w:anchor="__RefHeading___Toc25815_2336213107" w:tooltip="E.2 Seed 8101: Every Policy and Execution">
            <w:r>
              <w:rPr>
                <w:rStyle w:val="IndexLink"/>
                <w:i w:val="false"/>
              </w:rPr>
              <w:t>E.2 Seed 8101: Every Policy and Execution</w:t>
            </w:r>
            <w:r>
              <w:rPr>
                <w:rStyle w:val="IndexLink"/>
              </w:rPr>
              <w:tab/>
              <w:t>137</w:t>
            </w:r>
          </w:hyperlink>
        </w:p>
        <w:p>
          <w:pPr>
            <w:pStyle w:val="TOC2"/>
            <w:tabs>
              <w:tab w:val="clear" w:pos="720"/>
              <w:tab w:val="right" w:pos="8639" w:leader="dot"/>
            </w:tabs>
            <w:rPr/>
          </w:pPr>
          <w:hyperlink w:anchor="__RefHeading___Toc25817_2336213107" w:tooltip="E.3 Seed 8102: Every Policy and Execution">
            <w:r>
              <w:rPr>
                <w:rStyle w:val="IndexLink"/>
                <w:i w:val="false"/>
              </w:rPr>
              <w:t>E.3 Seed 8102: Every Policy and Execution</w:t>
            </w:r>
            <w:r>
              <w:rPr>
                <w:rStyle w:val="IndexLink"/>
              </w:rPr>
              <w:tab/>
              <w:t>138</w:t>
            </w:r>
          </w:hyperlink>
        </w:p>
        <w:p>
          <w:pPr>
            <w:pStyle w:val="TOC2"/>
            <w:tabs>
              <w:tab w:val="clear" w:pos="720"/>
              <w:tab w:val="right" w:pos="8639" w:leader="dot"/>
            </w:tabs>
            <w:rPr/>
          </w:pPr>
          <w:hyperlink w:anchor="__RefHeading___Toc25819_2336213107" w:tooltip="E.4 Seed 8103: Every Policy and Execution">
            <w:r>
              <w:rPr>
                <w:rStyle w:val="IndexLink"/>
                <w:i w:val="false"/>
              </w:rPr>
              <w:t>E.4 Seed 8103: Every Policy and Execution</w:t>
            </w:r>
            <w:r>
              <w:rPr>
                <w:rStyle w:val="IndexLink"/>
              </w:rPr>
              <w:tab/>
              <w:t>139</w:t>
            </w:r>
          </w:hyperlink>
        </w:p>
        <w:p>
          <w:pPr>
            <w:pStyle w:val="TOC2"/>
            <w:tabs>
              <w:tab w:val="clear" w:pos="720"/>
              <w:tab w:val="right" w:pos="8639" w:leader="dot"/>
            </w:tabs>
            <w:rPr/>
          </w:pPr>
          <w:hyperlink w:anchor="__RefHeading___Toc25821_2336213107" w:tooltip="E.5 Reproduction Materials">
            <w:r>
              <w:rPr>
                <w:rStyle w:val="IndexLink"/>
                <w:i w:val="false"/>
              </w:rPr>
              <w:t>E.5 Reproduction Materials</w:t>
            </w:r>
            <w:r>
              <w:rPr>
                <w:rStyle w:val="IndexLink"/>
              </w:rPr>
              <w:tab/>
              <w:t>140</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Figures</w:t>
          </w:r>
        </w:p>
        <w:p>
          <w:pPr>
            <w:pStyle w:val="TOC1"/>
            <w:tabs>
              <w:tab w:val="clear" w:pos="720"/>
              <w:tab w:val="right" w:pos="8639" w:leader="dot"/>
            </w:tabs>
            <w:rPr/>
          </w:pPr>
          <w:r>
            <w:fldChar w:fldCharType="begin"/>
          </w:r>
          <w:r>
            <w:rPr>
              <w:rStyle w:val="IndexLink"/>
              <w:i w:val="false"/>
            </w:rPr>
            <w:instrText xml:space="preserve"> TOC \t "GWU Figure Caption,1" \h</w:instrText>
          </w:r>
          <w:r>
            <w:rPr>
              <w:rStyle w:val="IndexLink"/>
              <w:i w:val="false"/>
            </w:rPr>
            <w:fldChar w:fldCharType="separate"/>
          </w:r>
          <w:hyperlink w:anchor="__RefHeading___Toc25824_2336213107" w:tooltip="Figure 3-1. Graphical Model of Research for the completed APT evaluation study. The six stages connect source qualification, controlled fitting, error destinations, sensitivity checks and a reproducible evidence package.">
            <w:r>
              <w:rPr>
                <w:rStyle w:val="IndexLink"/>
                <w:i w:val="false"/>
              </w:rPr>
              <w:t>Figure 3-1. Graphical Model of Research for the completed APT evaluation study. The six stages connect source qualification, controlled fitting, error destinations, sensitivity checks and a reproducible evidence package.</w:t>
            </w:r>
            <w:r>
              <w:rPr>
                <w:rStyle w:val="IndexLink"/>
              </w:rPr>
              <w:tab/>
              <w:t>15</w:t>
            </w:r>
          </w:hyperlink>
        </w:p>
        <w:p>
          <w:pPr>
            <w:pStyle w:val="TOC1"/>
            <w:tabs>
              <w:tab w:val="clear" w:pos="720"/>
              <w:tab w:val="right" w:pos="8639" w:leader="dot"/>
            </w:tabs>
            <w:rPr/>
          </w:pPr>
          <w:hyperlink w:anchor="__RefHeading___Toc25842_2336213107" w:tooltip="Figure 4-1. Exfiltration error destinations in clean replay at budget three. Exact-stage predictions and wrong-stage attack predictions both retain a warning; benign predictions do not. These are model-label outcomes on the same author-labeled records.">
            <w:r>
              <w:rPr>
                <w:rStyle w:val="IndexLink"/>
                <w:i w:val="false"/>
              </w:rPr>
              <w:t>Figure 4-1. Exfiltration error destinations in clean replay at budget three. Exact-stage predictions and wrong-stage attack predictions both retain a warning; benign predictions do not. These are model-label outcomes on the same author-labeled records.</w:t>
            </w:r>
            <w:r>
              <w:rPr>
                <w:rStyle w:val="IndexLink"/>
              </w:rPr>
              <w:tab/>
              <w:t>58</w:t>
            </w:r>
          </w:hyperlink>
        </w:p>
        <w:p>
          <w:pPr>
            <w:pStyle w:val="TOC1"/>
            <w:tabs>
              <w:tab w:val="clear" w:pos="720"/>
              <w:tab w:val="right" w:pos="8639" w:leader="dot"/>
            </w:tabs>
            <w:rPr/>
          </w:pPr>
          <w:hyperlink w:anchor="__RefHeading___Toc25840_2336213107" w:tooltip="Figure 4-2. Complete acquisition comparisons. Each condition and budget is shown with paired F1, exfiltration warning and benign false-alert changes; all fitting seeds remain in the accompanying tables.">
            <w:r>
              <w:rPr>
                <w:rStyle w:val="IndexLink"/>
                <w:i w:val="false"/>
              </w:rPr>
              <w:t>Figure 4-2. Complete acquisition comparisons. Each condition and budget is shown with paired F1, exfiltration warning and benign false-alert changes; all fitting seeds remain in the accompanying tables.</w:t>
            </w:r>
            <w:r>
              <w:rPr>
                <w:rStyle w:val="IndexLink"/>
              </w:rPr>
              <w:tab/>
              <w:t>59</w:t>
            </w:r>
          </w:hyperlink>
        </w:p>
        <w:p>
          <w:pPr>
            <w:pStyle w:val="TOC1"/>
            <w:tabs>
              <w:tab w:val="clear" w:pos="720"/>
              <w:tab w:val="right" w:pos="8639" w:leader="dot"/>
            </w:tabs>
            <w:rPr/>
          </w:pPr>
          <w:hyperlink w:anchor="__RefHeading___Toc25838_2336213107" w:tooltip="Figure 4-3. Fixed-anchor training-composition differences. Bars show means of three fits on the same events. The adjacent table reports per-seed conditional capture-bootstrap intervals.">
            <w:r>
              <w:rPr>
                <w:rStyle w:val="IndexLink"/>
                <w:i w:val="false"/>
              </w:rPr>
              <w:t>Figure 4-3. Fixed-anchor training-composition differences. Bars show means of three fits on the same events. The adjacent table reports per-seed conditional capture-bootstrap intervals.</w:t>
            </w:r>
            <w:r>
              <w:rPr>
                <w:rStyle w:val="IndexLink"/>
              </w:rPr>
              <w:tab/>
              <w:t>64</w:t>
            </w:r>
          </w:hyperlink>
        </w:p>
        <w:p>
          <w:pPr>
            <w:pStyle w:val="TOC1"/>
            <w:tabs>
              <w:tab w:val="clear" w:pos="720"/>
              <w:tab w:val="right" w:pos="8639" w:leader="dot"/>
            </w:tabs>
            <w:rPr/>
          </w:pPr>
          <w:hyperlink w:anchor="__RefHeading___Toc25836_2336213107" w:tooltip="Figure 4-4. History-selection movement recall and benign false-alert outcomes across all five evidence conditions. Stage weights affect selector targets, while the current-plus-roles model supplies a strong simple control.">
            <w:r>
              <w:rPr>
                <w:rStyle w:val="IndexLink"/>
                <w:i w:val="false"/>
              </w:rPr>
              <w:t>Figure 4-4. History-selection movement recall and benign false-alert outcomes across all five evidence conditions. Stage weights affect selector targets, while the current-plus-roles model supplies a strong simple control.</w:t>
            </w:r>
            <w:r>
              <w:rPr>
                <w:rStyle w:val="IndexLink"/>
              </w:rPr>
              <w:tab/>
              <w:t>66</w:t>
            </w:r>
          </w:hyperlink>
        </w:p>
        <w:p>
          <w:pPr>
            <w:pStyle w:val="TOC1"/>
            <w:tabs>
              <w:tab w:val="clear" w:pos="720"/>
              <w:tab w:val="right" w:pos="8639" w:leader="dot"/>
            </w:tabs>
            <w:rPr/>
          </w:pPr>
          <w:hyperlink w:anchor="__RefHeading___Toc25834_2336213107" w:tooltip="Figure 4-5. Why DAPT cannot support the unchanged all-stage cutoff. Ranges run from each native class's second-earliest to latest recorded start. A cut that trains on exfiltration cannot retain later reconnaissance in this release.">
            <w:r>
              <w:rPr>
                <w:rStyle w:val="IndexLink"/>
                <w:i w:val="false"/>
              </w:rPr>
              <w:t>Figure 4-5. Why DAPT cannot support the unchanged all-stage cutoff. Ranges run from each native class's second-earliest to latest recorded start. A cut that trains on exfiltration cannot retain later reconnaissance in this release.</w:t>
            </w:r>
            <w:r>
              <w:rPr>
                <w:rStyle w:val="IndexLink"/>
              </w:rPr>
              <w:tab/>
              <w:t>69</w:t>
            </w:r>
          </w:hyperlink>
        </w:p>
        <w:p>
          <w:pPr>
            <w:pStyle w:val="TOC1"/>
            <w:tabs>
              <w:tab w:val="clear" w:pos="720"/>
              <w:tab w:val="right" w:pos="8639" w:leader="dot"/>
            </w:tabs>
            <w:rPr/>
          </w:pPr>
          <w:hyperlink w:anchor="__RefHeading___Toc25832_2336213107" w:tooltip="Figure 4-6. Observed class support and source eligibility. Dataset counts and qualification decisions describe the inspected artifacts and the declared task.">
            <w:r>
              <w:rPr>
                <w:rStyle w:val="IndexLink"/>
                <w:i w:val="false"/>
              </w:rPr>
              <w:t>Figure 4-6. Observed class support and source eligibility. Dataset counts and qualification decisions describe the inspected artifacts and the declared task.</w:t>
            </w:r>
            <w:r>
              <w:rPr>
                <w:rStyle w:val="IndexLink"/>
              </w:rPr>
              <w:tab/>
              <w:t>70</w:t>
            </w:r>
          </w:hyperlink>
        </w:p>
        <w:p>
          <w:pPr>
            <w:pStyle w:val="TOC1"/>
            <w:tabs>
              <w:tab w:val="clear" w:pos="720"/>
              <w:tab w:val="right" w:pos="8639" w:leader="dot"/>
            </w:tabs>
            <w:rPr/>
          </w:pPr>
          <w:hyperlink w:anchor="__RefHeading___Toc25830_2336213107" w:tooltip="Figure 4-7. Fitting-seed influence on the clean budget-three warning tradeoff. The full mean and each leave-one-seed-out mean expose the effect-size dependence.">
            <w:r>
              <w:rPr>
                <w:rStyle w:val="IndexLink"/>
                <w:i w:val="false"/>
              </w:rPr>
              <w:t>Figure 4-7. Fitting-seed influence on the clean budget-three warning tradeoff. The full mean and each leave-one-seed-out mean expose the effect-size dependence.</w:t>
            </w:r>
            <w:r>
              <w:rPr>
                <w:rStyle w:val="IndexLink"/>
              </w:rPr>
              <w:tab/>
              <w:t>74</w:t>
            </w:r>
          </w:hyperlink>
        </w:p>
        <w:p>
          <w:pPr>
            <w:pStyle w:val="TOC1"/>
            <w:tabs>
              <w:tab w:val="clear" w:pos="720"/>
              <w:tab w:val="right" w:pos="8639" w:leader="dot"/>
            </w:tabs>
            <w:rPr/>
          </w:pPr>
          <w:hyperlink w:anchor="__RefHeading___Toc25828_2336213107" w:tooltip="Figure 4-8. Secondary policy transfer across all conditions">
            <w:r>
              <w:rPr>
                <w:rStyle w:val="IndexLink"/>
                <w:i w:val="false"/>
              </w:rPr>
              <w:t>Figure 4-8. Secondary policy transfer across all conditions</w:t>
            </w:r>
            <w:r>
              <w:rPr>
                <w:rStyle w:val="IndexLink"/>
              </w:rPr>
              <w:tab/>
              <w:t>76</w:t>
            </w:r>
          </w:hyperlink>
        </w:p>
        <w:p>
          <w:pPr>
            <w:pStyle w:val="TOC1"/>
            <w:tabs>
              <w:tab w:val="clear" w:pos="720"/>
              <w:tab w:val="right" w:pos="8639" w:leader="dot"/>
            </w:tabs>
            <w:rPr/>
          </w:pPr>
          <w:hyperlink w:anchor="__RefHeading___Toc25826_2336213107" w:tooltip="Figure C-1. Historical Graphical Model of Research from the original GWU GML praxis. Reproduced unchanged from the author-provided reference; it is not the current study's methodology. The full-resolution image is included with the supplement.">
            <w:r>
              <w:rPr>
                <w:rStyle w:val="IndexLink"/>
                <w:i w:val="false"/>
              </w:rPr>
              <w:t>Figure C-1. Historical Graphical Model of Research from the original GWU GML praxis. Reproduced unchanged from the author-provided reference; it is not the current study's methodology. The full-resolution image is included with the supplement.</w:t>
            </w:r>
            <w:r>
              <w:rPr>
                <w:rStyle w:val="IndexLink"/>
              </w:rPr>
              <w:tab/>
              <w:t>127</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Tables</w:t>
          </w:r>
        </w:p>
        <w:p>
          <w:pPr>
            <w:pStyle w:val="TOC1"/>
            <w:tabs>
              <w:tab w:val="clear" w:pos="720"/>
              <w:tab w:val="right" w:pos="8639" w:leader="dot"/>
            </w:tabs>
            <w:rPr/>
          </w:pPr>
          <w:r>
            <w:fldChar w:fldCharType="begin"/>
          </w:r>
          <w:r>
            <w:rPr>
              <w:rStyle w:val="IndexLink"/>
              <w:i w:val="false"/>
            </w:rPr>
            <w:instrText xml:space="preserve"> TOC \t "GWU Table Caption,1" \h</w:instrText>
          </w:r>
          <w:r>
            <w:rPr>
              <w:rStyle w:val="IndexLink"/>
              <w:i w:val="false"/>
            </w:rPr>
            <w:fldChar w:fldCharType="separate"/>
          </w:r>
          <w:hyperlink w:anchor="__RefHeading___Toc25845_2336213107" w:tooltip="Table 2-1. Closest literature and study scope">
            <w:r>
              <w:rPr>
                <w:rStyle w:val="IndexLink"/>
                <w:i w:val="false"/>
              </w:rPr>
              <w:t>Table 2-1. Closest literature and study scope</w:t>
            </w:r>
            <w:r>
              <w:rPr>
                <w:rStyle w:val="IndexLink"/>
              </w:rPr>
              <w:tab/>
              <w:t>12</w:t>
            </w:r>
          </w:hyperlink>
        </w:p>
        <w:p>
          <w:pPr>
            <w:pStyle w:val="TOC1"/>
            <w:tabs>
              <w:tab w:val="clear" w:pos="720"/>
              <w:tab w:val="right" w:pos="8639" w:leader="dot"/>
            </w:tabs>
            <w:rPr/>
          </w:pPr>
          <w:hyperlink w:anchor="__RefHeading___Toc25963_2336213107" w:tooltip="Table 3-1. Components of the evidence and their roles.">
            <w:r>
              <w:rPr>
                <w:rStyle w:val="IndexLink"/>
                <w:i w:val="false"/>
              </w:rPr>
              <w:t>Table 3-1. Components of the evidence and their roles.</w:t>
            </w:r>
            <w:r>
              <w:rPr>
                <w:rStyle w:val="IndexLink"/>
              </w:rPr>
              <w:tab/>
              <w:t>17</w:t>
            </w:r>
          </w:hyperlink>
        </w:p>
        <w:p>
          <w:pPr>
            <w:pStyle w:val="TOC1"/>
            <w:tabs>
              <w:tab w:val="clear" w:pos="720"/>
              <w:tab w:val="right" w:pos="8639" w:leader="dot"/>
            </w:tabs>
            <w:rPr/>
          </w:pPr>
          <w:hyperlink w:anchor="__RefHeading___Toc25961_2336213107" w:tooltip="Table 3-2. Dataset roles and qualification boundaries">
            <w:r>
              <w:rPr>
                <w:rStyle w:val="IndexLink"/>
                <w:i w:val="false"/>
              </w:rPr>
              <w:t>Table 3-2. Dataset roles and qualification boundaries</w:t>
            </w:r>
            <w:r>
              <w:rPr>
                <w:rStyle w:val="IndexLink"/>
              </w:rPr>
              <w:tab/>
              <w:t>18</w:t>
            </w:r>
          </w:hyperlink>
        </w:p>
        <w:p>
          <w:pPr>
            <w:pStyle w:val="TOC1"/>
            <w:tabs>
              <w:tab w:val="clear" w:pos="720"/>
              <w:tab w:val="right" w:pos="8639" w:leader="dot"/>
            </w:tabs>
            <w:rPr/>
          </w:pPr>
          <w:hyperlink w:anchor="__RefHeading___Toc25959_2336213107" w:tooltip="Table 3-3. UNRAVELED class support by partition">
            <w:r>
              <w:rPr>
                <w:rStyle w:val="IndexLink"/>
                <w:i w:val="false"/>
              </w:rPr>
              <w:t>Table 3-3. UNRAVELED class support by partition</w:t>
            </w:r>
            <w:r>
              <w:rPr>
                <w:rStyle w:val="IndexLink"/>
              </w:rPr>
              <w:tab/>
              <w:t>19</w:t>
            </w:r>
          </w:hyperlink>
        </w:p>
        <w:p>
          <w:pPr>
            <w:pStyle w:val="TOC1"/>
            <w:tabs>
              <w:tab w:val="clear" w:pos="720"/>
              <w:tab w:val="right" w:pos="8639" w:leader="dot"/>
            </w:tabs>
            <w:rPr/>
          </w:pPr>
          <w:hyperlink w:anchor="__RefHeading___Toc25957_2336213107" w:tooltip="Table 3-4. Prepared features and availability">
            <w:r>
              <w:rPr>
                <w:rStyle w:val="IndexLink"/>
                <w:i w:val="false"/>
              </w:rPr>
              <w:t>Table 3-4. Prepared features and availability</w:t>
            </w:r>
            <w:r>
              <w:rPr>
                <w:rStyle w:val="IndexLink"/>
              </w:rPr>
              <w:tab/>
              <w:t>21</w:t>
            </w:r>
          </w:hyperlink>
        </w:p>
        <w:p>
          <w:pPr>
            <w:pStyle w:val="TOC1"/>
            <w:tabs>
              <w:tab w:val="clear" w:pos="720"/>
              <w:tab w:val="right" w:pos="8639" w:leader="dot"/>
            </w:tabs>
            <w:rPr/>
          </w:pPr>
          <w:hyperlink w:anchor="__RefHeading___Toc25955_2336213107" w:tooltip="Table 3-5. Published aggregate example">
            <w:r>
              <w:rPr>
                <w:rStyle w:val="IndexLink"/>
                <w:i w:val="false"/>
              </w:rPr>
              <w:t>Table 3-5. Published aggregate example</w:t>
            </w:r>
            <w:r>
              <w:rPr>
                <w:rStyle w:val="IndexLink"/>
              </w:rPr>
              <w:tab/>
              <w:t>22</w:t>
            </w:r>
          </w:hyperlink>
        </w:p>
        <w:p>
          <w:pPr>
            <w:pStyle w:val="TOC1"/>
            <w:tabs>
              <w:tab w:val="clear" w:pos="720"/>
              <w:tab w:val="right" w:pos="8639" w:leader="dot"/>
            </w:tabs>
            <w:rPr/>
          </w:pPr>
          <w:hyperlink w:anchor="__RefHeading___Toc25953_2336213107" w:tooltip="Table 3-6. Completed model-fitting inventory">
            <w:r>
              <w:rPr>
                <w:rStyle w:val="IndexLink"/>
                <w:i w:val="false"/>
              </w:rPr>
              <w:t>Table 3-6. Completed model-fitting inventory</w:t>
            </w:r>
            <w:r>
              <w:rPr>
                <w:rStyle w:val="IndexLink"/>
              </w:rPr>
              <w:tab/>
              <w:t>29</w:t>
            </w:r>
          </w:hyperlink>
        </w:p>
        <w:p>
          <w:pPr>
            <w:pStyle w:val="TOC1"/>
            <w:tabs>
              <w:tab w:val="clear" w:pos="720"/>
              <w:tab w:val="right" w:pos="8639" w:leader="dot"/>
            </w:tabs>
            <w:rPr/>
          </w:pPr>
          <w:hyperlink w:anchor="__RefHeading___Toc25951_2336213107" w:tooltip="Table 3-7. Boosting iterations, tree size, and learning rate">
            <w:r>
              <w:rPr>
                <w:rStyle w:val="IndexLink"/>
                <w:i w:val="false"/>
              </w:rPr>
              <w:t>Table 3-7. Boosting iterations, tree size, and learning rate</w:t>
            </w:r>
            <w:r>
              <w:rPr>
                <w:rStyle w:val="IndexLink"/>
              </w:rPr>
              <w:tab/>
              <w:t>31</w:t>
            </w:r>
          </w:hyperlink>
        </w:p>
        <w:p>
          <w:pPr>
            <w:pStyle w:val="TOC1"/>
            <w:tabs>
              <w:tab w:val="clear" w:pos="720"/>
              <w:tab w:val="right" w:pos="8639" w:leader="dot"/>
            </w:tabs>
            <w:rPr/>
          </w:pPr>
          <w:hyperlink w:anchor="__RefHeading___Toc25949_2336213107" w:tooltip="Table 3-8. Regularization and execution settings">
            <w:r>
              <w:rPr>
                <w:rStyle w:val="IndexLink"/>
                <w:i w:val="false"/>
              </w:rPr>
              <w:t>Table 3-8. Regularization and execution settings</w:t>
            </w:r>
            <w:r>
              <w:rPr>
                <w:rStyle w:val="IndexLink"/>
              </w:rPr>
              <w:tab/>
              <w:t>32</w:t>
            </w:r>
          </w:hyperlink>
        </w:p>
        <w:p>
          <w:pPr>
            <w:pStyle w:val="TOC1"/>
            <w:tabs>
              <w:tab w:val="clear" w:pos="720"/>
              <w:tab w:val="right" w:pos="8639" w:leader="dot"/>
            </w:tabs>
            <w:rPr/>
          </w:pPr>
          <w:hyperlink w:anchor="__RefHeading___Toc25947_2336213107" w:tooltip="Table 3-9. Implemented and unexecuted approaches">
            <w:r>
              <w:rPr>
                <w:rStyle w:val="IndexLink"/>
                <w:i w:val="false"/>
              </w:rPr>
              <w:t>Table 3-9. Implemented and unexecuted approaches</w:t>
            </w:r>
            <w:r>
              <w:rPr>
                <w:rStyle w:val="IndexLink"/>
              </w:rPr>
              <w:tab/>
              <w:t>42</w:t>
            </w:r>
          </w:hyperlink>
        </w:p>
        <w:p>
          <w:pPr>
            <w:pStyle w:val="TOC1"/>
            <w:tabs>
              <w:tab w:val="clear" w:pos="720"/>
              <w:tab w:val="right" w:pos="8639" w:leader="dot"/>
            </w:tabs>
            <w:rPr/>
          </w:pPr>
          <w:hyperlink w:anchor="__RefHeading___Toc25945_2336213107" w:tooltip="Table 3-10. Complete AIT source coverage and final allocation.">
            <w:r>
              <w:rPr>
                <w:rStyle w:val="IndexLink"/>
                <w:i w:val="false"/>
              </w:rPr>
              <w:t>Table 3-10. Complete AIT source coverage and final allocation.</w:t>
            </w:r>
            <w:r>
              <w:rPr>
                <w:rStyle w:val="IndexLink"/>
              </w:rPr>
              <w:tab/>
              <w:t>52</w:t>
            </w:r>
          </w:hyperlink>
        </w:p>
        <w:p>
          <w:pPr>
            <w:pStyle w:val="TOC1"/>
            <w:tabs>
              <w:tab w:val="clear" w:pos="720"/>
              <w:tab w:val="right" w:pos="8639" w:leader="dot"/>
            </w:tabs>
            <w:rPr/>
          </w:pPr>
          <w:hyperlink w:anchor="__RefHeading___Toc25943_2336213107" w:tooltip="Table 4-1. Acquisition comparisons at the largest registered budget.">
            <w:r>
              <w:rPr>
                <w:rStyle w:val="IndexLink"/>
                <w:i w:val="false"/>
              </w:rPr>
              <w:t>Table 4-1. Acquisition comparisons at the largest registered budget.</w:t>
            </w:r>
            <w:r>
              <w:rPr>
                <w:rStyle w:val="IndexLink"/>
              </w:rPr>
              <w:tab/>
              <w:t>55</w:t>
            </w:r>
          </w:hyperlink>
        </w:p>
        <w:p>
          <w:pPr>
            <w:pStyle w:val="TOC1"/>
            <w:tabs>
              <w:tab w:val="clear" w:pos="720"/>
              <w:tab w:val="right" w:pos="8639" w:leader="dot"/>
            </w:tabs>
            <w:rPr/>
          </w:pPr>
          <w:hyperlink w:anchor="__RefHeading___Toc25941_2336213107" w:tooltip="Table 4-2. Acquisition differences by condition and budget">
            <w:r>
              <w:rPr>
                <w:rStyle w:val="IndexLink"/>
                <w:i w:val="false"/>
              </w:rPr>
              <w:t>Table 4-2. Acquisition differences by condition and budget</w:t>
            </w:r>
            <w:r>
              <w:rPr>
                <w:rStyle w:val="IndexLink"/>
              </w:rPr>
              <w:tab/>
              <w:t>56</w:t>
            </w:r>
          </w:hyperlink>
        </w:p>
        <w:p>
          <w:pPr>
            <w:pStyle w:val="TOC1"/>
            <w:tabs>
              <w:tab w:val="clear" w:pos="720"/>
              <w:tab w:val="right" w:pos="8639" w:leader="dot"/>
            </w:tabs>
            <w:rPr/>
          </w:pPr>
          <w:hyperlink w:anchor="__RefHeading___Toc25939_2336213107" w:tooltip="Table 4-3. Clean budget-three differences by fitting seed">
            <w:r>
              <w:rPr>
                <w:rStyle w:val="IndexLink"/>
                <w:i w:val="false"/>
              </w:rPr>
              <w:t>Table 4-3. Clean budget-three differences by fitting seed</w:t>
            </w:r>
            <w:r>
              <w:rPr>
                <w:rStyle w:val="IndexLink"/>
              </w:rPr>
              <w:tab/>
              <w:t>57</w:t>
            </w:r>
          </w:hyperlink>
        </w:p>
        <w:p>
          <w:pPr>
            <w:pStyle w:val="TOC1"/>
            <w:tabs>
              <w:tab w:val="clear" w:pos="720"/>
              <w:tab w:val="right" w:pos="8639" w:leader="dot"/>
            </w:tabs>
            <w:rPr/>
          </w:pPr>
          <w:hyperlink w:anchor="__RefHeading___Toc25937_2336213107" w:tooltip="Table 4-4. Chronological history differences by fitting seed">
            <w:r>
              <w:rPr>
                <w:rStyle w:val="IndexLink"/>
                <w:i w:val="false"/>
              </w:rPr>
              <w:t>Table 4-4. Chronological history differences by fitting seed</w:t>
            </w:r>
            <w:r>
              <w:rPr>
                <w:rStyle w:val="IndexLink"/>
              </w:rPr>
              <w:tab/>
              <w:t>61</w:t>
            </w:r>
          </w:hyperlink>
        </w:p>
        <w:p>
          <w:pPr>
            <w:pStyle w:val="TOC1"/>
            <w:tabs>
              <w:tab w:val="clear" w:pos="720"/>
              <w:tab w:val="right" w:pos="8639" w:leader="dot"/>
            </w:tabs>
            <w:rPr/>
          </w:pPr>
          <w:hyperlink w:anchor="__RefHeading___Toc25935_2336213107" w:tooltip="Table 4-5. Temporal experiment.">
            <w:r>
              <w:rPr>
                <w:rStyle w:val="IndexLink"/>
                <w:i w:val="false"/>
              </w:rPr>
              <w:t>Table 4-5. Temporal experiment.</w:t>
            </w:r>
            <w:r>
              <w:rPr>
                <w:rStyle w:val="IndexLink"/>
              </w:rPr>
              <w:tab/>
              <w:t>62</w:t>
            </w:r>
          </w:hyperlink>
        </w:p>
        <w:p>
          <w:pPr>
            <w:pStyle w:val="TOC1"/>
            <w:tabs>
              <w:tab w:val="clear" w:pos="720"/>
              <w:tab w:val="right" w:pos="8639" w:leader="dot"/>
            </w:tabs>
            <w:rPr/>
          </w:pPr>
          <w:hyperlink w:anchor="__RefHeading___Toc25933_2336213107" w:tooltip="Table 4-6. Fixed-anchor temporal differences by fitting seed">
            <w:r>
              <w:rPr>
                <w:rStyle w:val="IndexLink"/>
                <w:i w:val="false"/>
              </w:rPr>
              <w:t>Table 4-6. Fixed-anchor temporal differences by fitting seed</w:t>
            </w:r>
            <w:r>
              <w:rPr>
                <w:rStyle w:val="IndexLink"/>
              </w:rPr>
              <w:tab/>
              <w:t>63</w:t>
            </w:r>
          </w:hyperlink>
        </w:p>
        <w:p>
          <w:pPr>
            <w:pStyle w:val="TOC1"/>
            <w:tabs>
              <w:tab w:val="clear" w:pos="720"/>
              <w:tab w:val="right" w:pos="8639" w:leader="dot"/>
            </w:tabs>
            <w:rPr/>
          </w:pPr>
          <w:hyperlink w:anchor="__RefHeading___Toc25931_2336213107" w:tooltip="Table 4-7. History-selection tradeoffs.">
            <w:r>
              <w:rPr>
                <w:rStyle w:val="IndexLink"/>
                <w:i w:val="false"/>
              </w:rPr>
              <w:t>Table 4-7. History-selection tradeoffs.</w:t>
            </w:r>
            <w:r>
              <w:rPr>
                <w:rStyle w:val="IndexLink"/>
              </w:rPr>
              <w:tab/>
              <w:t>65</w:t>
            </w:r>
          </w:hyperlink>
        </w:p>
        <w:p>
          <w:pPr>
            <w:pStyle w:val="TOC1"/>
            <w:tabs>
              <w:tab w:val="clear" w:pos="720"/>
              <w:tab w:val="right" w:pos="8639" w:leader="dot"/>
            </w:tabs>
            <w:rPr/>
          </w:pPr>
          <w:hyperlink w:anchor="__RefHeading___Toc25929_2336213107" w:tooltip="Table 4-8. Results of source qualification.">
            <w:r>
              <w:rPr>
                <w:rStyle w:val="IndexLink"/>
                <w:i w:val="false"/>
              </w:rPr>
              <w:t>Table 4-8. Results of source qualification.</w:t>
            </w:r>
            <w:r>
              <w:rPr>
                <w:rStyle w:val="IndexLink"/>
              </w:rPr>
              <w:tab/>
              <w:t>67</w:t>
            </w:r>
          </w:hyperlink>
        </w:p>
        <w:p>
          <w:pPr>
            <w:pStyle w:val="TOC1"/>
            <w:tabs>
              <w:tab w:val="clear" w:pos="720"/>
              <w:tab w:val="right" w:pos="8639" w:leader="dot"/>
            </w:tabs>
            <w:rPr/>
          </w:pPr>
          <w:hyperlink w:anchor="__RefHeading___Toc25927_2336213107" w:tooltip="Table 4-9. Seed and capture omissions at clean budget three">
            <w:r>
              <w:rPr>
                <w:rStyle w:val="IndexLink"/>
                <w:i w:val="false"/>
              </w:rPr>
              <w:t>Table 4-9. Seed and capture omissions at clean budget three</w:t>
            </w:r>
            <w:r>
              <w:rPr>
                <w:rStyle w:val="IndexLink"/>
              </w:rPr>
              <w:tab/>
              <w:t>71</w:t>
            </w:r>
          </w:hyperlink>
        </w:p>
        <w:p>
          <w:pPr>
            <w:pStyle w:val="TOC1"/>
            <w:tabs>
              <w:tab w:val="clear" w:pos="720"/>
              <w:tab w:val="right" w:pos="8639" w:leader="dot"/>
            </w:tabs>
            <w:rPr/>
          </w:pPr>
          <w:hyperlink w:anchor="__RefHeading___Toc25925_2336213107" w:tooltip="Table 4-10. Current-feature temporal gains after capture omission">
            <w:r>
              <w:rPr>
                <w:rStyle w:val="IndexLink"/>
                <w:i w:val="false"/>
              </w:rPr>
              <w:t>Table 4-10. Current-feature temporal gains after capture omission</w:t>
            </w:r>
            <w:r>
              <w:rPr>
                <w:rStyle w:val="IndexLink"/>
              </w:rPr>
              <w:tab/>
              <w:t>72</w:t>
            </w:r>
          </w:hyperlink>
        </w:p>
        <w:p>
          <w:pPr>
            <w:pStyle w:val="TOC1"/>
            <w:tabs>
              <w:tab w:val="clear" w:pos="720"/>
              <w:tab w:val="right" w:pos="8639" w:leader="dot"/>
            </w:tabs>
            <w:rPr/>
          </w:pPr>
          <w:hyperlink w:anchor="__RefHeading___Toc25923_2336213107" w:tooltip="Table 4-11. Stage-level discrimination under chronological fitting.">
            <w:r>
              <w:rPr>
                <w:rStyle w:val="IndexLink"/>
                <w:i w:val="false"/>
              </w:rPr>
              <w:t>Table 4-11. Stage-level discrimination under chronological fitting.</w:t>
            </w:r>
            <w:r>
              <w:rPr>
                <w:rStyle w:val="IndexLink"/>
              </w:rPr>
              <w:tab/>
              <w:t>79</w:t>
            </w:r>
          </w:hyperlink>
        </w:p>
        <w:p>
          <w:pPr>
            <w:pStyle w:val="TOC1"/>
            <w:tabs>
              <w:tab w:val="clear" w:pos="720"/>
              <w:tab w:val="right" w:pos="8639" w:leader="dot"/>
            </w:tabs>
            <w:rPr/>
          </w:pPr>
          <w:hyperlink w:anchor="__RefHeading___Toc25921_2336213107" w:tooltip="Table 4-12. Complete release coverage and chronological allocation.">
            <w:r>
              <w:rPr>
                <w:rStyle w:val="IndexLink"/>
                <w:i w:val="false"/>
              </w:rPr>
              <w:t>Table 4-12. Complete release coverage and chronological allocation.</w:t>
            </w:r>
            <w:r>
              <w:rPr>
                <w:rStyle w:val="IndexLink"/>
              </w:rPr>
              <w:tab/>
              <w:t>81</w:t>
            </w:r>
          </w:hyperlink>
        </w:p>
        <w:p>
          <w:pPr>
            <w:pStyle w:val="TOC1"/>
            <w:tabs>
              <w:tab w:val="clear" w:pos="720"/>
              <w:tab w:val="right" w:pos="8639" w:leader="dot"/>
            </w:tabs>
            <w:rPr/>
          </w:pPr>
          <w:hyperlink w:anchor="__RefHeading___Toc25919_2336213107" w:tooltip="Table 4-13. Full-release paired test results.">
            <w:r>
              <w:rPr>
                <w:rStyle w:val="IndexLink"/>
                <w:i w:val="false"/>
              </w:rPr>
              <w:t>Table 4-13. Full-release paired test results.</w:t>
            </w:r>
            <w:r>
              <w:rPr>
                <w:rStyle w:val="IndexLink"/>
              </w:rPr>
              <w:tab/>
              <w:t>82</w:t>
            </w:r>
          </w:hyperlink>
        </w:p>
        <w:p>
          <w:pPr>
            <w:pStyle w:val="TOC1"/>
            <w:tabs>
              <w:tab w:val="clear" w:pos="720"/>
              <w:tab w:val="right" w:pos="8639" w:leader="dot"/>
            </w:tabs>
            <w:rPr/>
          </w:pPr>
          <w:hyperlink w:anchor="__RefHeading___Toc25917_2336213107" w:tooltip="Table 4-14. Calibration-only model choices.">
            <w:r>
              <w:rPr>
                <w:rStyle w:val="IndexLink"/>
                <w:i w:val="false"/>
              </w:rPr>
              <w:t>Table 4-14. Calibration-only model choices.</w:t>
            </w:r>
            <w:r>
              <w:rPr>
                <w:rStyle w:val="IndexLink"/>
              </w:rPr>
              <w:tab/>
              <w:t>83</w:t>
            </w:r>
          </w:hyperlink>
        </w:p>
        <w:p>
          <w:pPr>
            <w:pStyle w:val="TOC1"/>
            <w:tabs>
              <w:tab w:val="clear" w:pos="720"/>
              <w:tab w:val="right" w:pos="8639" w:leader="dot"/>
            </w:tabs>
            <w:rPr/>
          </w:pPr>
          <w:hyperlink w:anchor="__RefHeading___Toc25915_2336213107" w:tooltip="Table 4-15. Pooled AIT held-out results.">
            <w:r>
              <w:rPr>
                <w:rStyle w:val="IndexLink"/>
                <w:i w:val="false"/>
              </w:rPr>
              <w:t>Table 4-15. Pooled AIT held-out results.</w:t>
            </w:r>
            <w:r>
              <w:rPr>
                <w:rStyle w:val="IndexLink"/>
              </w:rPr>
              <w:tab/>
              <w:t>84</w:t>
            </w:r>
          </w:hyperlink>
        </w:p>
        <w:p>
          <w:pPr>
            <w:pStyle w:val="TOC1"/>
            <w:tabs>
              <w:tab w:val="clear" w:pos="720"/>
              <w:tab w:val="right" w:pos="8639" w:leader="dot"/>
            </w:tabs>
            <w:rPr/>
          </w:pPr>
          <w:hyperlink w:anchor="__RefHeading___Toc25913_2336213107" w:tooltip="Table 4-16. Separate AIT held-out executions.">
            <w:r>
              <w:rPr>
                <w:rStyle w:val="IndexLink"/>
                <w:i w:val="false"/>
              </w:rPr>
              <w:t>Table 4-16. Separate AIT held-out executions.</w:t>
            </w:r>
            <w:r>
              <w:rPr>
                <w:rStyle w:val="IndexLink"/>
              </w:rPr>
              <w:tab/>
              <w:t>85</w:t>
            </w:r>
          </w:hyperlink>
        </w:p>
        <w:p>
          <w:pPr>
            <w:pStyle w:val="TOC1"/>
            <w:tabs>
              <w:tab w:val="clear" w:pos="720"/>
              <w:tab w:val="right" w:pos="8639" w:leader="dot"/>
            </w:tabs>
            <w:rPr/>
          </w:pPr>
          <w:hyperlink w:anchor="__RefHeading___Toc25911_2336213107" w:tooltip="Table 4-17. AIT paired sensitivity by execution and seed.">
            <w:r>
              <w:rPr>
                <w:rStyle w:val="IndexLink"/>
                <w:i w:val="false"/>
              </w:rPr>
              <w:t>Table 4-17. AIT paired sensitivity by execution and seed.</w:t>
            </w:r>
            <w:r>
              <w:rPr>
                <w:rStyle w:val="IndexLink"/>
              </w:rPr>
              <w:tab/>
              <w:t>86</w:t>
            </w:r>
          </w:hyperlink>
        </w:p>
        <w:p>
          <w:pPr>
            <w:pStyle w:val="TOC1"/>
            <w:tabs>
              <w:tab w:val="clear" w:pos="720"/>
              <w:tab w:val="right" w:pos="8639" w:leader="dot"/>
            </w:tabs>
            <w:rPr/>
          </w:pPr>
          <w:hyperlink w:anchor="__RefHeading___Toc25909_2336213107" w:tooltip="Table 5-1. Minimum audit record for a stage-classifier comparison.">
            <w:r>
              <w:rPr>
                <w:rStyle w:val="IndexLink"/>
                <w:i w:val="false"/>
              </w:rPr>
              <w:t>Table 5-1. Minimum audit record for a stage-classifier comparison.</w:t>
            </w:r>
            <w:r>
              <w:rPr>
                <w:rStyle w:val="IndexLink"/>
              </w:rPr>
              <w:tab/>
              <w:t>89</w:t>
            </w:r>
          </w:hyperlink>
        </w:p>
        <w:p>
          <w:pPr>
            <w:pStyle w:val="TOC1"/>
            <w:tabs>
              <w:tab w:val="clear" w:pos="720"/>
              <w:tab w:val="right" w:pos="8639" w:leader="dot"/>
            </w:tabs>
            <w:rPr/>
          </w:pPr>
          <w:hyperlink w:anchor="__RefHeading___Toc25907_2336213107" w:tooltip="Table A-1. Complete evaluation inventory">
            <w:r>
              <w:rPr>
                <w:rStyle w:val="IndexLink"/>
                <w:i w:val="false"/>
              </w:rPr>
              <w:t>Table A-1. Complete evaluation inventory</w:t>
            </w:r>
            <w:r>
              <w:rPr>
                <w:rStyle w:val="IndexLink"/>
              </w:rPr>
              <w:tab/>
              <w:t>101</w:t>
            </w:r>
          </w:hyperlink>
        </w:p>
        <w:p>
          <w:pPr>
            <w:pStyle w:val="TOC1"/>
            <w:tabs>
              <w:tab w:val="clear" w:pos="720"/>
              <w:tab w:val="right" w:pos="8639" w:leader="dot"/>
            </w:tabs>
            <w:rPr/>
          </w:pPr>
          <w:hyperlink w:anchor="__RefHeading___Toc25905_2336213107" w:tooltip="Table A-2. History-selection group means">
            <w:r>
              <w:rPr>
                <w:rStyle w:val="IndexLink"/>
                <w:i w:val="false"/>
              </w:rPr>
              <w:t>Table A-2. History-selection group means</w:t>
            </w:r>
            <w:r>
              <w:rPr>
                <w:rStyle w:val="IndexLink"/>
              </w:rPr>
              <w:tab/>
              <w:t>102</w:t>
            </w:r>
          </w:hyperlink>
        </w:p>
        <w:p>
          <w:pPr>
            <w:pStyle w:val="TOC1"/>
            <w:tabs>
              <w:tab w:val="clear" w:pos="720"/>
              <w:tab w:val="right" w:pos="8639" w:leader="dot"/>
            </w:tabs>
            <w:rPr/>
          </w:pPr>
          <w:hyperlink w:anchor="__RefHeading___Toc25903_2336213107" w:tooltip="Table A-3. Evidence-acquisition group means">
            <w:r>
              <w:rPr>
                <w:rStyle w:val="IndexLink"/>
                <w:i w:val="false"/>
              </w:rPr>
              <w:t>Table A-3. Evidence-acquisition group means</w:t>
            </w:r>
            <w:r>
              <w:rPr>
                <w:rStyle w:val="IndexLink"/>
              </w:rPr>
              <w:tab/>
              <w:t>105</w:t>
            </w:r>
          </w:hyperlink>
        </w:p>
        <w:p>
          <w:pPr>
            <w:pStyle w:val="TOC1"/>
            <w:tabs>
              <w:tab w:val="clear" w:pos="720"/>
              <w:tab w:val="right" w:pos="8639" w:leader="dot"/>
            </w:tabs>
            <w:rPr/>
          </w:pPr>
          <w:hyperlink w:anchor="__RefHeading___Toc25901_2336213107" w:tooltip="Table A-4. Temporal-comparison group means">
            <w:r>
              <w:rPr>
                <w:rStyle w:val="IndexLink"/>
                <w:i w:val="false"/>
              </w:rPr>
              <w:t>Table A-4. Temporal-comparison group means</w:t>
            </w:r>
            <w:r>
              <w:rPr>
                <w:rStyle w:val="IndexLink"/>
              </w:rPr>
              <w:tab/>
              <w:t>109</w:t>
            </w:r>
          </w:hyperlink>
        </w:p>
        <w:p>
          <w:pPr>
            <w:pStyle w:val="TOC1"/>
            <w:tabs>
              <w:tab w:val="clear" w:pos="720"/>
              <w:tab w:val="right" w:pos="8639" w:leader="dot"/>
            </w:tabs>
            <w:rPr/>
          </w:pPr>
          <w:hyperlink w:anchor="__RefHeading___Toc25899_2336213107" w:tooltip="Table A-5. CasinoLimit policy group means">
            <w:r>
              <w:rPr>
                <w:rStyle w:val="IndexLink"/>
                <w:i w:val="false"/>
              </w:rPr>
              <w:t>Table A-5. CasinoLimit policy group means</w:t>
            </w:r>
            <w:r>
              <w:rPr>
                <w:rStyle w:val="IndexLink"/>
              </w:rPr>
              <w:tab/>
              <w:t>109</w:t>
            </w:r>
          </w:hyperlink>
        </w:p>
        <w:p>
          <w:pPr>
            <w:pStyle w:val="TOC1"/>
            <w:tabs>
              <w:tab w:val="clear" w:pos="720"/>
              <w:tab w:val="right" w:pos="8639" w:leader="dot"/>
            </w:tabs>
            <w:rPr/>
          </w:pPr>
          <w:hyperlink w:anchor="__RefHeading___Toc25897_2336213107" w:tooltip="Table A-6. CAM-LDS policy group means">
            <w:r>
              <w:rPr>
                <w:rStyle w:val="IndexLink"/>
                <w:i w:val="false"/>
              </w:rPr>
              <w:t>Table A-6. CAM-LDS policy group means</w:t>
            </w:r>
            <w:r>
              <w:rPr>
                <w:rStyle w:val="IndexLink"/>
              </w:rPr>
              <w:tab/>
              <w:t>115</w:t>
            </w:r>
          </w:hyperlink>
        </w:p>
        <w:p>
          <w:pPr>
            <w:pStyle w:val="TOC1"/>
            <w:tabs>
              <w:tab w:val="clear" w:pos="720"/>
              <w:tab w:val="right" w:pos="8639" w:leader="dot"/>
            </w:tabs>
            <w:rPr/>
          </w:pPr>
          <w:hyperlink w:anchor="__RefHeading___Toc25895_2336213107" w:tooltip="Table B-1. Experimental settings and fitting seeds">
            <w:r>
              <w:rPr>
                <w:rStyle w:val="IndexLink"/>
                <w:i w:val="false"/>
              </w:rPr>
              <w:t>Table B-1. Experimental settings and fitting seeds</w:t>
            </w:r>
            <w:r>
              <w:rPr>
                <w:rStyle w:val="IndexLink"/>
              </w:rPr>
              <w:tab/>
              <w:t>122</w:t>
            </w:r>
          </w:hyperlink>
        </w:p>
        <w:p>
          <w:pPr>
            <w:pStyle w:val="TOC1"/>
            <w:tabs>
              <w:tab w:val="clear" w:pos="720"/>
              <w:tab w:val="right" w:pos="8639" w:leader="dot"/>
            </w:tabs>
            <w:rPr/>
          </w:pPr>
          <w:hyperlink w:anchor="__RefHeading___Toc25893_2336213107" w:tooltip="Table B-2. Source freezes and evidence bindings">
            <w:r>
              <w:rPr>
                <w:rStyle w:val="IndexLink"/>
                <w:i w:val="false"/>
              </w:rPr>
              <w:t>Table B-2. Source freezes and evidence bindings</w:t>
            </w:r>
            <w:r>
              <w:rPr>
                <w:rStyle w:val="IndexLink"/>
              </w:rPr>
              <w:tab/>
              <w:t>122</w:t>
            </w:r>
          </w:hyperlink>
        </w:p>
        <w:p>
          <w:pPr>
            <w:pStyle w:val="TOC1"/>
            <w:tabs>
              <w:tab w:val="clear" w:pos="720"/>
              <w:tab w:val="right" w:pos="8639" w:leader="dot"/>
            </w:tabs>
            <w:rPr/>
          </w:pPr>
          <w:hyperlink w:anchor="__RefHeading___Toc25891_2336213107" w:tooltip="Table B-3. Claim traceability">
            <w:r>
              <w:rPr>
                <w:rStyle w:val="IndexLink"/>
                <w:i w:val="false"/>
              </w:rPr>
              <w:t>Table B-3. Claim traceability</w:t>
            </w:r>
            <w:r>
              <w:rPr>
                <w:rStyle w:val="IndexLink"/>
              </w:rPr>
              <w:tab/>
              <w:t>123</w:t>
            </w:r>
          </w:hyperlink>
        </w:p>
        <w:p>
          <w:pPr>
            <w:pStyle w:val="TOC1"/>
            <w:tabs>
              <w:tab w:val="clear" w:pos="720"/>
              <w:tab w:val="right" w:pos="8639" w:leader="dot"/>
            </w:tabs>
            <w:rPr/>
          </w:pPr>
          <w:hyperlink w:anchor="__RefHeading___Toc25889_2336213107" w:tooltip="Table D-1. net1011x class support by split.">
            <w:r>
              <w:rPr>
                <w:rStyle w:val="IndexLink"/>
                <w:i w:val="false"/>
              </w:rPr>
              <w:t>Table D-1. net1011x class support by split.</w:t>
            </w:r>
            <w:r>
              <w:rPr>
                <w:rStyle w:val="IndexLink"/>
              </w:rPr>
              <w:tab/>
              <w:t>129</w:t>
            </w:r>
          </w:hyperlink>
        </w:p>
        <w:p>
          <w:pPr>
            <w:pStyle w:val="TOC1"/>
            <w:tabs>
              <w:tab w:val="clear" w:pos="720"/>
              <w:tab w:val="right" w:pos="8639" w:leader="dot"/>
            </w:tabs>
            <w:rPr/>
          </w:pPr>
          <w:hyperlink w:anchor="__RefHeading___Toc25887_2336213107" w:tooltip="Table D-2. net1011x current test outcomes.">
            <w:r>
              <w:rPr>
                <w:rStyle w:val="IndexLink"/>
                <w:i w:val="false"/>
              </w:rPr>
              <w:t>Table D-2. net1011x current test outcomes.</w:t>
            </w:r>
            <w:r>
              <w:rPr>
                <w:rStyle w:val="IndexLink"/>
              </w:rPr>
              <w:tab/>
              <w:t>129</w:t>
            </w:r>
          </w:hyperlink>
        </w:p>
        <w:p>
          <w:pPr>
            <w:pStyle w:val="TOC1"/>
            <w:tabs>
              <w:tab w:val="clear" w:pos="720"/>
              <w:tab w:val="right" w:pos="8639" w:leader="dot"/>
            </w:tabs>
            <w:rPr/>
          </w:pPr>
          <w:hyperlink w:anchor="__RefHeading___Toc25885_2336213107" w:tooltip="Table D-3. net1011x current roles test outcomes.">
            <w:r>
              <w:rPr>
                <w:rStyle w:val="IndexLink"/>
                <w:i w:val="false"/>
              </w:rPr>
              <w:t>Table D-3. net1011x current roles test outcomes.</w:t>
            </w:r>
            <w:r>
              <w:rPr>
                <w:rStyle w:val="IndexLink"/>
              </w:rPr>
              <w:tab/>
              <w:t>130</w:t>
            </w:r>
          </w:hyperlink>
        </w:p>
        <w:p>
          <w:pPr>
            <w:pStyle w:val="TOC1"/>
            <w:tabs>
              <w:tab w:val="clear" w:pos="720"/>
              <w:tab w:val="right" w:pos="8639" w:leader="dot"/>
            </w:tabs>
            <w:rPr/>
          </w:pPr>
          <w:hyperlink w:anchor="__RefHeading___Toc25883_2336213107" w:tooltip="Table D-4. net1012x class support by split.">
            <w:r>
              <w:rPr>
                <w:rStyle w:val="IndexLink"/>
                <w:i w:val="false"/>
              </w:rPr>
              <w:t>Table D-4. net1012x class support by split.</w:t>
            </w:r>
            <w:r>
              <w:rPr>
                <w:rStyle w:val="IndexLink"/>
              </w:rPr>
              <w:tab/>
              <w:t>130</w:t>
            </w:r>
          </w:hyperlink>
        </w:p>
        <w:p>
          <w:pPr>
            <w:pStyle w:val="TOC1"/>
            <w:tabs>
              <w:tab w:val="clear" w:pos="720"/>
              <w:tab w:val="right" w:pos="8639" w:leader="dot"/>
            </w:tabs>
            <w:rPr/>
          </w:pPr>
          <w:hyperlink w:anchor="__RefHeading___Toc25881_2336213107" w:tooltip="Table D-5. net1012x current test outcomes.">
            <w:r>
              <w:rPr>
                <w:rStyle w:val="IndexLink"/>
                <w:i w:val="false"/>
              </w:rPr>
              <w:t>Table D-5. net1012x current test outcomes.</w:t>
            </w:r>
            <w:r>
              <w:rPr>
                <w:rStyle w:val="IndexLink"/>
              </w:rPr>
              <w:tab/>
              <w:t>130</w:t>
            </w:r>
          </w:hyperlink>
        </w:p>
        <w:p>
          <w:pPr>
            <w:pStyle w:val="TOC1"/>
            <w:tabs>
              <w:tab w:val="clear" w:pos="720"/>
              <w:tab w:val="right" w:pos="8639" w:leader="dot"/>
            </w:tabs>
            <w:rPr/>
          </w:pPr>
          <w:hyperlink w:anchor="__RefHeading___Toc25879_2336213107" w:tooltip="Table D-6. net1012x current roles test outcomes.">
            <w:r>
              <w:rPr>
                <w:rStyle w:val="IndexLink"/>
                <w:i w:val="false"/>
              </w:rPr>
              <w:t>Table D-6. net1012x current roles test outcomes.</w:t>
            </w:r>
            <w:r>
              <w:rPr>
                <w:rStyle w:val="IndexLink"/>
              </w:rPr>
              <w:tab/>
              <w:t>131</w:t>
            </w:r>
          </w:hyperlink>
        </w:p>
        <w:p>
          <w:pPr>
            <w:pStyle w:val="TOC1"/>
            <w:tabs>
              <w:tab w:val="clear" w:pos="720"/>
              <w:tab w:val="right" w:pos="8639" w:leader="dot"/>
            </w:tabs>
            <w:rPr/>
          </w:pPr>
          <w:hyperlink w:anchor="__RefHeading___Toc25877_2336213107" w:tooltip="Table D-7. net1013x class support by split.">
            <w:r>
              <w:rPr>
                <w:rStyle w:val="IndexLink"/>
                <w:i w:val="false"/>
              </w:rPr>
              <w:t>Table D-7. net1013x class support by split.</w:t>
            </w:r>
            <w:r>
              <w:rPr>
                <w:rStyle w:val="IndexLink"/>
              </w:rPr>
              <w:tab/>
              <w:t>131</w:t>
            </w:r>
          </w:hyperlink>
        </w:p>
        <w:p>
          <w:pPr>
            <w:pStyle w:val="TOC1"/>
            <w:tabs>
              <w:tab w:val="clear" w:pos="720"/>
              <w:tab w:val="right" w:pos="8639" w:leader="dot"/>
            </w:tabs>
            <w:rPr/>
          </w:pPr>
          <w:hyperlink w:anchor="__RefHeading___Toc25875_2336213107" w:tooltip="Table D-8. net1013x current test outcomes.">
            <w:r>
              <w:rPr>
                <w:rStyle w:val="IndexLink"/>
                <w:i w:val="false"/>
              </w:rPr>
              <w:t>Table D-8. net1013x current test outcomes.</w:t>
            </w:r>
            <w:r>
              <w:rPr>
                <w:rStyle w:val="IndexLink"/>
              </w:rPr>
              <w:tab/>
              <w:t>131</w:t>
            </w:r>
          </w:hyperlink>
        </w:p>
        <w:p>
          <w:pPr>
            <w:pStyle w:val="TOC1"/>
            <w:tabs>
              <w:tab w:val="clear" w:pos="720"/>
              <w:tab w:val="right" w:pos="8639" w:leader="dot"/>
            </w:tabs>
            <w:rPr/>
          </w:pPr>
          <w:hyperlink w:anchor="__RefHeading___Toc25873_2336213107" w:tooltip="Table D-9. net1013x current roles test outcomes.">
            <w:r>
              <w:rPr>
                <w:rStyle w:val="IndexLink"/>
                <w:i w:val="false"/>
              </w:rPr>
              <w:t>Table D-9. net1013x current roles test outcomes.</w:t>
            </w:r>
            <w:r>
              <w:rPr>
                <w:rStyle w:val="IndexLink"/>
              </w:rPr>
              <w:tab/>
              <w:t>132</w:t>
            </w:r>
          </w:hyperlink>
        </w:p>
        <w:p>
          <w:pPr>
            <w:pStyle w:val="TOC1"/>
            <w:tabs>
              <w:tab w:val="clear" w:pos="720"/>
              <w:tab w:val="right" w:pos="8639" w:leader="dot"/>
            </w:tabs>
            <w:rPr/>
          </w:pPr>
          <w:hyperlink w:anchor="__RefHeading___Toc25871_2336213107" w:tooltip="Table D-10. net1014x class support by split.">
            <w:r>
              <w:rPr>
                <w:rStyle w:val="IndexLink"/>
                <w:i w:val="false"/>
              </w:rPr>
              <w:t>Table D-10. net1014x class support by split.</w:t>
            </w:r>
            <w:r>
              <w:rPr>
                <w:rStyle w:val="IndexLink"/>
              </w:rPr>
              <w:tab/>
              <w:t>132</w:t>
            </w:r>
          </w:hyperlink>
        </w:p>
        <w:p>
          <w:pPr>
            <w:pStyle w:val="TOC1"/>
            <w:tabs>
              <w:tab w:val="clear" w:pos="720"/>
              <w:tab w:val="right" w:pos="8639" w:leader="dot"/>
            </w:tabs>
            <w:rPr/>
          </w:pPr>
          <w:hyperlink w:anchor="__RefHeading___Toc25869_2336213107" w:tooltip="Table D-11. net1014x current test outcomes.">
            <w:r>
              <w:rPr>
                <w:rStyle w:val="IndexLink"/>
                <w:i w:val="false"/>
              </w:rPr>
              <w:t>Table D-11. net1014x current test outcomes.</w:t>
            </w:r>
            <w:r>
              <w:rPr>
                <w:rStyle w:val="IndexLink"/>
              </w:rPr>
              <w:tab/>
              <w:t>132</w:t>
            </w:r>
          </w:hyperlink>
        </w:p>
        <w:p>
          <w:pPr>
            <w:pStyle w:val="TOC1"/>
            <w:tabs>
              <w:tab w:val="clear" w:pos="720"/>
              <w:tab w:val="right" w:pos="8639" w:leader="dot"/>
            </w:tabs>
            <w:rPr/>
          </w:pPr>
          <w:hyperlink w:anchor="__RefHeading___Toc25867_2336213107" w:tooltip="Table D-12. net1014x current roles test outcomes.">
            <w:r>
              <w:rPr>
                <w:rStyle w:val="IndexLink"/>
                <w:i w:val="false"/>
              </w:rPr>
              <w:t>Table D-12. net1014x current roles test outcomes.</w:t>
            </w:r>
            <w:r>
              <w:rPr>
                <w:rStyle w:val="IndexLink"/>
              </w:rPr>
              <w:tab/>
              <w:t>133</w:t>
            </w:r>
          </w:hyperlink>
        </w:p>
        <w:p>
          <w:pPr>
            <w:pStyle w:val="TOC1"/>
            <w:tabs>
              <w:tab w:val="clear" w:pos="720"/>
              <w:tab w:val="right" w:pos="8639" w:leader="dot"/>
            </w:tabs>
            <w:rPr/>
          </w:pPr>
          <w:hyperlink w:anchor="__RefHeading___Toc25865_2336213107" w:tooltip="Table D-13. net1015x class support by split.">
            <w:r>
              <w:rPr>
                <w:rStyle w:val="IndexLink"/>
                <w:i w:val="false"/>
              </w:rPr>
              <w:t>Table D-13. net1015x class support by split.</w:t>
            </w:r>
            <w:r>
              <w:rPr>
                <w:rStyle w:val="IndexLink"/>
              </w:rPr>
              <w:tab/>
              <w:t>133</w:t>
            </w:r>
          </w:hyperlink>
        </w:p>
        <w:p>
          <w:pPr>
            <w:pStyle w:val="TOC1"/>
            <w:tabs>
              <w:tab w:val="clear" w:pos="720"/>
              <w:tab w:val="right" w:pos="8639" w:leader="dot"/>
            </w:tabs>
            <w:rPr/>
          </w:pPr>
          <w:hyperlink w:anchor="__RefHeading___Toc25863_2336213107" w:tooltip="Table D-14. net1015x current test outcomes.">
            <w:r>
              <w:rPr>
                <w:rStyle w:val="IndexLink"/>
                <w:i w:val="false"/>
              </w:rPr>
              <w:t>Table D-14. net1015x current test outcomes.</w:t>
            </w:r>
            <w:r>
              <w:rPr>
                <w:rStyle w:val="IndexLink"/>
              </w:rPr>
              <w:tab/>
              <w:t>133</w:t>
            </w:r>
          </w:hyperlink>
        </w:p>
        <w:p>
          <w:pPr>
            <w:pStyle w:val="TOC1"/>
            <w:tabs>
              <w:tab w:val="clear" w:pos="720"/>
              <w:tab w:val="right" w:pos="8639" w:leader="dot"/>
            </w:tabs>
            <w:rPr/>
          </w:pPr>
          <w:hyperlink w:anchor="__RefHeading___Toc25861_2336213107" w:tooltip="Table D-15. net1015x current roles test outcomes.">
            <w:r>
              <w:rPr>
                <w:rStyle w:val="IndexLink"/>
                <w:i w:val="false"/>
              </w:rPr>
              <w:t>Table D-15. net1015x current roles test outcomes.</w:t>
            </w:r>
            <w:r>
              <w:rPr>
                <w:rStyle w:val="IndexLink"/>
              </w:rPr>
              <w:tab/>
              <w:t>134</w:t>
            </w:r>
          </w:hyperlink>
        </w:p>
        <w:p>
          <w:pPr>
            <w:pStyle w:val="TOC1"/>
            <w:tabs>
              <w:tab w:val="clear" w:pos="720"/>
              <w:tab w:val="right" w:pos="8639" w:leader="dot"/>
            </w:tabs>
            <w:rPr/>
          </w:pPr>
          <w:hyperlink w:anchor="__RefHeading___Toc25859_2336213107" w:tooltip="Table D-16. netgw class support by split.">
            <w:r>
              <w:rPr>
                <w:rStyle w:val="IndexLink"/>
                <w:i w:val="false"/>
              </w:rPr>
              <w:t>Table D-16. netgw class support by split.</w:t>
            </w:r>
            <w:r>
              <w:rPr>
                <w:rStyle w:val="IndexLink"/>
              </w:rPr>
              <w:tab/>
              <w:t>134</w:t>
            </w:r>
          </w:hyperlink>
        </w:p>
        <w:p>
          <w:pPr>
            <w:pStyle w:val="TOC1"/>
            <w:tabs>
              <w:tab w:val="clear" w:pos="720"/>
              <w:tab w:val="right" w:pos="8639" w:leader="dot"/>
            </w:tabs>
            <w:rPr/>
          </w:pPr>
          <w:hyperlink w:anchor="__RefHeading___Toc25857_2336213107" w:tooltip="Table D-17. netgw current test outcomes.">
            <w:r>
              <w:rPr>
                <w:rStyle w:val="IndexLink"/>
                <w:i w:val="false"/>
              </w:rPr>
              <w:t>Table D-17. netgw current test outcomes.</w:t>
            </w:r>
            <w:r>
              <w:rPr>
                <w:rStyle w:val="IndexLink"/>
              </w:rPr>
              <w:tab/>
              <w:t>134</w:t>
            </w:r>
          </w:hyperlink>
        </w:p>
        <w:p>
          <w:pPr>
            <w:pStyle w:val="TOC1"/>
            <w:tabs>
              <w:tab w:val="clear" w:pos="720"/>
              <w:tab w:val="right" w:pos="8639" w:leader="dot"/>
            </w:tabs>
            <w:rPr/>
          </w:pPr>
          <w:hyperlink w:anchor="__RefHeading___Toc25855_2336213107" w:tooltip="Table D-18. netgw current roles test outcomes.">
            <w:r>
              <w:rPr>
                <w:rStyle w:val="IndexLink"/>
                <w:i w:val="false"/>
              </w:rPr>
              <w:t>Table D-18. netgw current roles test outcomes.</w:t>
            </w:r>
            <w:r>
              <w:rPr>
                <w:rStyle w:val="IndexLink"/>
              </w:rPr>
              <w:tab/>
              <w:t>135</w:t>
            </w:r>
          </w:hyperlink>
        </w:p>
        <w:p>
          <w:pPr>
            <w:pStyle w:val="TOC1"/>
            <w:tabs>
              <w:tab w:val="clear" w:pos="720"/>
              <w:tab w:val="right" w:pos="8639" w:leader="dot"/>
            </w:tabs>
            <w:rPr/>
          </w:pPr>
          <w:hyperlink w:anchor="__RefHeading___Toc25853_2336213107" w:tooltip="Table E-1. AIT eligible class support by execution.">
            <w:r>
              <w:rPr>
                <w:rStyle w:val="IndexLink"/>
                <w:i w:val="false"/>
              </w:rPr>
              <w:t>Table E-1. AIT eligible class support by execution.</w:t>
            </w:r>
            <w:r>
              <w:rPr>
                <w:rStyle w:val="IndexLink"/>
              </w:rPr>
              <w:tab/>
              <w:t>137</w:t>
            </w:r>
          </w:hyperlink>
        </w:p>
        <w:p>
          <w:pPr>
            <w:pStyle w:val="TOC1"/>
            <w:tabs>
              <w:tab w:val="clear" w:pos="720"/>
              <w:tab w:val="right" w:pos="8639" w:leader="dot"/>
            </w:tabs>
            <w:rPr/>
          </w:pPr>
          <w:hyperlink w:anchor="__RefHeading___Toc25851_2336213107" w:tooltip="Table E-2. Complete AIT outcomes for seed 8101.">
            <w:r>
              <w:rPr>
                <w:rStyle w:val="IndexLink"/>
                <w:i w:val="false"/>
              </w:rPr>
              <w:t>Table E-2. Complete AIT outcomes for seed 8101.</w:t>
            </w:r>
            <w:r>
              <w:rPr>
                <w:rStyle w:val="IndexLink"/>
              </w:rPr>
              <w:tab/>
              <w:t>137</w:t>
            </w:r>
          </w:hyperlink>
        </w:p>
        <w:p>
          <w:pPr>
            <w:pStyle w:val="TOC1"/>
            <w:tabs>
              <w:tab w:val="clear" w:pos="720"/>
              <w:tab w:val="right" w:pos="8639" w:leader="dot"/>
            </w:tabs>
            <w:rPr/>
          </w:pPr>
          <w:hyperlink w:anchor="__RefHeading___Toc25849_2336213107" w:tooltip="Table E-3. Complete AIT outcomes for seed 8102.">
            <w:r>
              <w:rPr>
                <w:rStyle w:val="IndexLink"/>
                <w:i w:val="false"/>
              </w:rPr>
              <w:t>Table E-3. Complete AIT outcomes for seed 8102.</w:t>
            </w:r>
            <w:r>
              <w:rPr>
                <w:rStyle w:val="IndexLink"/>
              </w:rPr>
              <w:tab/>
              <w:t>138</w:t>
            </w:r>
          </w:hyperlink>
        </w:p>
        <w:p>
          <w:pPr>
            <w:pStyle w:val="TOC1"/>
            <w:tabs>
              <w:tab w:val="clear" w:pos="720"/>
              <w:tab w:val="right" w:pos="8639" w:leader="dot"/>
            </w:tabs>
            <w:rPr/>
          </w:pPr>
          <w:hyperlink w:anchor="__RefHeading___Toc25847_2336213107" w:tooltip="Table E-4. Complete AIT outcomes for seed 8103.">
            <w:r>
              <w:rPr>
                <w:rStyle w:val="IndexLink"/>
                <w:i w:val="false"/>
              </w:rPr>
              <w:t>Table E-4. Complete AIT outcomes for seed 8103.</w:t>
            </w:r>
            <w:r>
              <w:rPr>
                <w:rStyle w:val="IndexLink"/>
              </w:rPr>
              <w:tab/>
              <w:t>139</w:t>
            </w:r>
          </w:hyperlink>
          <w:r>
            <w:rPr>
              <w:rStyle w:val="IndexLink"/>
            </w:rPr>
            <w:fldChar w:fldCharType="end"/>
          </w:r>
        </w:p>
      </w:sdtContent>
    </w:sdt>
    <w:p>
      <w:pPr>
        <w:pStyle w:val="GWUFront"/>
        <w:rPr/>
      </w:pPr>
      <w:r>
        <w:rPr/>
      </w:r>
      <w:r>
        <w:br w:type="page"/>
      </w:r>
    </w:p>
    <w:p>
      <w:pPr>
        <w:pStyle w:val="GWUFrontHeading"/>
        <w:rPr/>
      </w:pPr>
      <w:r>
        <w:rPr/>
        <w:t>List of Symbols</w:t>
      </w:r>
    </w:p>
    <w:p>
      <w:pPr>
        <w:pStyle w:val="GWUFront"/>
        <w:spacing w:before="0" w:after="240"/>
        <w:jc w:val="start"/>
        <w:rPr/>
      </w:pPr>
      <w:r>
        <w:rPr>
          <w:b w:val="false"/>
        </w:rPr>
        <w:t>x: observed feature vector</w:t>
      </w:r>
    </w:p>
    <w:p>
      <w:pPr>
        <w:pStyle w:val="GWUFront"/>
        <w:spacing w:before="0" w:after="240"/>
        <w:jc w:val="start"/>
        <w:rPr/>
      </w:pPr>
      <w:r>
        <w:rPr>
          <w:b w:val="false"/>
        </w:rPr>
        <w:t>y: declared evaluation class</w:t>
      </w:r>
    </w:p>
    <w:p>
      <w:pPr>
        <w:pStyle w:val="GWUFront"/>
        <w:spacing w:before="0" w:after="240"/>
        <w:jc w:val="start"/>
        <w:rPr/>
      </w:pPr>
      <w:r>
        <w:rPr>
          <w:b w:val="false"/>
        </w:rPr>
        <w:t>p: model class-score vector</w:t>
      </w:r>
    </w:p>
    <w:p>
      <w:pPr>
        <w:pStyle w:val="GWUFront"/>
        <w:spacing w:before="0" w:after="240"/>
        <w:jc w:val="start"/>
        <w:rPr/>
      </w:pPr>
      <w:r>
        <w:rPr>
          <w:b w:val="false"/>
        </w:rPr>
        <w:t>g: fitted history selector</w:t>
      </w:r>
    </w:p>
    <w:p>
      <w:pPr>
        <w:pStyle w:val="GWUFront"/>
        <w:spacing w:before="0" w:after="240"/>
        <w:jc w:val="start"/>
        <w:rPr/>
      </w:pPr>
      <w:r>
        <w:rPr>
          <w:b w:val="false"/>
        </w:rPr>
        <w:t>w: declared stage-cost vector</w:t>
      </w:r>
    </w:p>
    <w:p>
      <w:pPr>
        <w:pStyle w:val="GWUFront"/>
        <w:spacing w:before="0" w:after="240"/>
        <w:jc w:val="start"/>
        <w:rPr/>
      </w:pPr>
      <w:r>
        <w:rPr>
          <w:b w:val="false"/>
        </w:rPr>
        <w:t>B: simulated evidence budget</w:t>
      </w:r>
    </w:p>
    <w:p>
      <w:pPr>
        <w:pStyle w:val="GWUFront"/>
        <w:spacing w:before="0" w:after="240"/>
        <w:jc w:val="start"/>
        <w:rPr/>
      </w:pPr>
      <w:r>
        <w:rPr>
          <w:b w:val="false"/>
        </w:rPr>
        <w:t>D: simulated decision deadline</w:t>
      </w:r>
    </w:p>
    <w:p>
      <w:pPr>
        <w:pStyle w:val="GWUFront"/>
        <w:spacing w:before="0" w:after="240"/>
        <w:jc w:val="start"/>
        <w:rPr/>
      </w:pPr>
      <w:r>
        <w:rPr>
          <w:b w:val="false"/>
        </w:rPr>
        <w:t>C(s,j): confusion count for true class s and predicted class j</w:t>
      </w:r>
      <w:r>
        <w:br w:type="page"/>
      </w:r>
    </w:p>
    <w:p>
      <w:pPr>
        <w:pStyle w:val="GWUFrontHeading"/>
        <w:rPr/>
      </w:pPr>
      <w:r>
        <w:rPr/>
        <w:t>List of Acronyms</w:t>
      </w:r>
    </w:p>
    <w:p>
      <w:pPr>
        <w:pStyle w:val="GWUFront"/>
        <w:spacing w:before="0" w:after="240"/>
        <w:jc w:val="start"/>
        <w:rPr/>
      </w:pPr>
      <w:r>
        <w:rPr>
          <w:b w:val="false"/>
        </w:rPr>
        <w:t>APT: Advanced Persistent Threat</w:t>
      </w:r>
    </w:p>
    <w:p>
      <w:pPr>
        <w:pStyle w:val="GWUFront"/>
        <w:spacing w:before="0" w:after="240"/>
        <w:jc w:val="start"/>
        <w:rPr/>
      </w:pPr>
      <w:r>
        <w:rPr>
          <w:b w:val="false"/>
        </w:rPr>
        <w:t>AUC: Area Under the Curve</w:t>
      </w:r>
    </w:p>
    <w:p>
      <w:pPr>
        <w:pStyle w:val="GWUFront"/>
        <w:spacing w:before="0" w:after="240"/>
        <w:jc w:val="start"/>
        <w:rPr/>
      </w:pPr>
      <w:r>
        <w:rPr>
          <w:b w:val="false"/>
        </w:rPr>
        <w:t>EDA: Exploratory Data Analysis</w:t>
      </w:r>
    </w:p>
    <w:p>
      <w:pPr>
        <w:pStyle w:val="GWUFront"/>
        <w:spacing w:before="0" w:after="240"/>
        <w:jc w:val="start"/>
        <w:rPr/>
      </w:pPr>
      <w:r>
        <w:rPr>
          <w:b w:val="false"/>
        </w:rPr>
        <w:t>GML: Graph Machine Learning</w:t>
      </w:r>
    </w:p>
    <w:p>
      <w:pPr>
        <w:pStyle w:val="GWUFront"/>
        <w:spacing w:before="0" w:after="240"/>
        <w:jc w:val="start"/>
        <w:rPr/>
      </w:pPr>
      <w:r>
        <w:rPr>
          <w:b w:val="false"/>
        </w:rPr>
        <w:t>GMR: Graphical Model of Research</w:t>
      </w:r>
    </w:p>
    <w:p>
      <w:pPr>
        <w:pStyle w:val="GWUFront"/>
        <w:spacing w:before="0" w:after="240"/>
        <w:jc w:val="start"/>
        <w:rPr/>
      </w:pPr>
      <w:r>
        <w:rPr>
          <w:b w:val="false"/>
        </w:rPr>
        <w:t>IDS: Intrusion Detection System</w:t>
      </w:r>
    </w:p>
    <w:p>
      <w:pPr>
        <w:pStyle w:val="GWUFront"/>
        <w:spacing w:before="0" w:after="240"/>
        <w:jc w:val="start"/>
        <w:rPr/>
      </w:pPr>
      <w:r>
        <w:rPr>
          <w:b w:val="false"/>
        </w:rPr>
        <w:t>ML: Machine Learning</w:t>
      </w:r>
    </w:p>
    <w:p>
      <w:pPr>
        <w:pStyle w:val="GWUFront"/>
        <w:spacing w:before="0" w:after="240"/>
        <w:jc w:val="start"/>
        <w:rPr/>
      </w:pPr>
      <w:r>
        <w:rPr>
          <w:b w:val="false"/>
        </w:rPr>
        <w:t>ROC: Receiver Operating Characteristic</w:t>
      </w:r>
    </w:p>
    <w:p>
      <w:pPr>
        <w:pStyle w:val="GWUFront"/>
        <w:spacing w:before="0" w:after="0"/>
        <w:jc w:val="start"/>
        <w:rPr/>
        <w:sectPr>
          <w:footerReference w:type="even" r:id="rId2"/>
          <w:footerReference w:type="default" r:id="rId3"/>
          <w:footerReference w:type="first" r:id="rId4"/>
          <w:type w:val="nextPage"/>
          <w:pgSz w:w="12240" w:h="15840"/>
          <w:pgMar w:left="1800" w:right="1800" w:gutter="0" w:header="0" w:top="1440" w:footer="720" w:bottom="1440"/>
          <w:pgNumType w:start="1" w:fmt="lowerRoman"/>
          <w:formProt w:val="false"/>
          <w:titlePg/>
          <w:textDirection w:val="lrTb"/>
          <w:docGrid w:type="default" w:linePitch="360" w:charSpace="0"/>
        </w:sectPr>
      </w:pPr>
      <w:r>
        <w:rPr>
          <w:b w:val="false"/>
        </w:rPr>
        <w:t>RQ: Research Question</w:t>
      </w:r>
    </w:p>
    <w:p>
      <w:pPr>
        <w:pStyle w:val="Heading1"/>
        <w:rPr/>
      </w:pPr>
      <w:bookmarkStart w:id="0" w:name="__RefHeading___Toc25671_2336213107"/>
      <w:bookmarkEnd w:id="0"/>
      <w:r>
        <w:rPr>
          <w:rFonts w:ascii="Times New Roman" w:hAnsi="Times New Roman"/>
          <w:b/>
          <w:i w:val="false"/>
        </w:rPr>
        <w:t>Chapter 1: Introduction</w:t>
      </w:r>
    </w:p>
    <w:p>
      <w:pPr>
        <w:pStyle w:val="Heading2"/>
        <w:rPr/>
      </w:pPr>
      <w:bookmarkStart w:id="1" w:name="__RefHeading___Toc25673_2336213107"/>
      <w:bookmarkEnd w:id="1"/>
      <w:r>
        <w:rPr>
          <w:rFonts w:ascii="Times New Roman" w:hAnsi="Times New Roman"/>
          <w:b/>
          <w:i w:val="false"/>
        </w:rPr>
        <w:t>1.1 Background</w:t>
      </w:r>
    </w:p>
    <w:p>
      <w:pPr>
        <w:pStyle w:val="Normal"/>
        <w:rPr/>
      </w:pPr>
      <w:r>
        <w:rPr>
          <w:b w:val="false"/>
          <w:i w:val="false"/>
        </w:rPr>
        <w:t>A security analyst reviewing a suspicious transfer faces two related questions: should this activity receive an attack warning, and which attack stage best describes it? A system can answer the second question incorrectly while still drawing attention to the activity. It can also assign a benign label and remove that opportunity for review. These outcomes have different operational meanings, even when a multiclass objective assigns them the same penalty.</w:t>
      </w:r>
    </w:p>
    <w:p>
      <w:pPr>
        <w:pStyle w:val="Normal"/>
        <w:rPr/>
      </w:pPr>
      <w:r>
        <w:rPr>
          <w:b w:val="false"/>
          <w:i w:val="false"/>
        </w:rPr>
        <w:t>Consider 100 records labeled exfiltration by a dataset author. If a model calls 60 exfiltration, 20 another attack stage, and 20 benign, its exact-stage recall is 60% and its warning recall is 80%. This illustrative accounting is not a study result. It explains why a single headline score cannot describe both stage accuracy and preservation of an attack label. Warning recall must also be considered with benign false alerts: predicting an attack for every record preserves every warning and creates an unusable workload.</w:t>
      </w:r>
    </w:p>
    <w:p>
      <w:pPr>
        <w:pStyle w:val="Normal"/>
        <w:rPr/>
      </w:pPr>
      <w:r>
        <w:rPr>
          <w:b w:val="false"/>
          <w:i w:val="false"/>
        </w:rPr>
        <w:t>Uddin et al. (2025) provide a direct empirical precedent for this distinction. Their hierarchical-versus-flat intrusion study reports per-attack recognition and attacks misclassified as normal. Recent APT provenance work also challenges the relationship between conventional evaluation scores and practical detection behavior (Bilot et al., 2025; Guerra et al., 2026). These findings motivate closer measurement of the decisions represented by a score, rather than assuming that a new model architecture solves the evaluation problem.</w:t>
      </w:r>
    </w:p>
    <w:p>
      <w:pPr>
        <w:pStyle w:val="Heading2"/>
        <w:rPr/>
      </w:pPr>
      <w:bookmarkStart w:id="2" w:name="__RefHeading___Toc25675_2336213107"/>
      <w:bookmarkEnd w:id="2"/>
      <w:r>
        <w:rPr>
          <w:rFonts w:ascii="Times New Roman" w:hAnsi="Times New Roman"/>
          <w:b/>
          <w:i w:val="false"/>
        </w:rPr>
        <w:t>1.2 Research Motivation</w:t>
      </w:r>
    </w:p>
    <w:p>
      <w:pPr>
        <w:pStyle w:val="Normal"/>
        <w:rPr/>
      </w:pPr>
      <w:r>
        <w:rPr>
          <w:b w:val="false"/>
          <w:i w:val="false"/>
        </w:rPr>
        <w:t>Security-model review is an engineering decision: a practitioner must decide whether a proposed change improves outcomes that matter for the intended use. A multiclass score summarizes several kinds of error, yet those errors do not have the same meaning for an investigation. An event labelled as the wrong attack stage can still receive attention; an event labelled benign may receive none. Historical context can change both the stage label and the error destination.</w:t>
      </w:r>
    </w:p>
    <w:p>
      <w:pPr>
        <w:pStyle w:val="Normal"/>
        <w:rPr/>
      </w:pPr>
      <w:r>
        <w:rPr>
          <w:b w:val="false"/>
          <w:i w:val="false"/>
        </w:rPr>
        <w:t>This study began with two practical interventions: learning when historical context should be used and choosing additional evidence under a collection budget. Their completed comparisons revealed a useful evaluation question. Improvements in aggregate classification performance sometimes occurred alongside a loss of attack warnings. The praxis therefore centres on measuring that relationship and providing an inspection procedure supported by the recorded comparisons. The model implementations serve as experimental tools for this applied question.</w:t>
      </w:r>
    </w:p>
    <w:p>
      <w:pPr>
        <w:pStyle w:val="Heading2"/>
        <w:rPr/>
      </w:pPr>
      <w:bookmarkStart w:id="3" w:name="__RefHeading___Toc25677_2336213107"/>
      <w:bookmarkEnd w:id="3"/>
      <w:r>
        <w:rPr>
          <w:rFonts w:ascii="Times New Roman" w:hAnsi="Times New Roman"/>
          <w:b/>
          <w:i w:val="false"/>
        </w:rPr>
        <w:t>1.3 Problem Statement</w:t>
      </w:r>
    </w:p>
    <w:p>
      <w:pPr>
        <w:pStyle w:val="Normal"/>
        <w:rPr/>
      </w:pPr>
      <w:r>
        <w:rPr>
          <w:b/>
          <w:i w:val="false"/>
        </w:rPr>
        <w:t>Problem statement.</w:t>
      </w:r>
      <w:r>
        <w:rPr>
          <w:b w:val="false"/>
          <w:i w:val="false"/>
        </w:rPr>
        <w:t xml:space="preserve"> APT-stage evaluation can reward a change in aggregate classification performance without making its effects on missed attack warnings and benign alert workload visible, while available benchmark artifacts may not support the temporal comparison needed to interpret that change.</w:t>
      </w:r>
    </w:p>
    <w:p>
      <w:pPr>
        <w:pStyle w:val="Normal"/>
        <w:rPr/>
      </w:pPr>
      <w:r>
        <w:rPr>
          <w:b w:val="false"/>
          <w:i w:val="false"/>
        </w:rPr>
        <w:t>The purpose of this praxis is to measure these effects under explicit controls and provide an executable audit that practitioners can apply before accepting a stage classifier. The immediate application is model evaluation and selection. It is not a production detector deployment or a forecast of data theft.</w:t>
      </w:r>
    </w:p>
    <w:p>
      <w:pPr>
        <w:pStyle w:val="Normal"/>
        <w:rPr/>
      </w:pPr>
      <w:r>
        <w:rPr>
          <w:b w:val="false"/>
          <w:i w:val="false"/>
        </w:rPr>
        <w:t>The industry consequence is concrete: a team comparing model updates could accept a higher F1 score while sending fewer exfiltration-labeled events for investigation. A team can also overestimate its evidence by counting many correlated flows as independent incidents or by treating related dataset releases as separate replications. The study measures examples of these issues and documents the source checks needed to interpret them.</w:t>
      </w:r>
    </w:p>
    <w:p>
      <w:pPr>
        <w:pStyle w:val="Heading2"/>
        <w:rPr/>
      </w:pPr>
      <w:bookmarkStart w:id="4" w:name="__RefHeading___Toc25679_2336213107"/>
      <w:bookmarkEnd w:id="4"/>
      <w:r>
        <w:rPr>
          <w:rFonts w:ascii="Times New Roman" w:hAnsi="Times New Roman"/>
          <w:b/>
          <w:i w:val="false"/>
        </w:rPr>
        <w:t>1.4 Thesis Statement</w:t>
      </w:r>
    </w:p>
    <w:p>
      <w:pPr>
        <w:pStyle w:val="Normal"/>
        <w:rPr/>
      </w:pPr>
      <w:r>
        <w:rPr>
          <w:b w:val="false"/>
          <w:i w:val="false"/>
        </w:rPr>
        <w:t>Evaluating APT models using overall performance, stage-specific missed warnings and benign false alerts together reveals consequential tradeoffs that an overall score alone does not describe. A defensible comparison must also establish that its training chronology, evaluation population and source labels support the question being asked.</w:t>
      </w:r>
    </w:p>
    <w:p>
      <w:pPr>
        <w:pStyle w:val="Normal"/>
        <w:rPr/>
      </w:pPr>
      <w:r>
        <w:rPr>
          <w:b w:val="false"/>
          <w:i w:val="false"/>
        </w:rPr>
        <w:t>The thesis is evaluated as an empirical measurement contribution. It does not require a new detector architecture. Its evidence comprises controlled comparisons, observed error destinations, sensitivity analyses and an executable source-qualification procedure.</w:t>
      </w:r>
    </w:p>
    <w:p>
      <w:pPr>
        <w:pStyle w:val="Heading2"/>
        <w:rPr/>
      </w:pPr>
      <w:bookmarkStart w:id="5" w:name="__RefHeading___Toc25681_2336213107"/>
      <w:bookmarkEnd w:id="5"/>
      <w:r>
        <w:rPr>
          <w:rFonts w:ascii="Times New Roman" w:hAnsi="Times New Roman"/>
          <w:b/>
          <w:i w:val="false"/>
        </w:rPr>
        <w:t>1.5 Research Objectives</w:t>
      </w:r>
    </w:p>
    <w:p>
      <w:pPr>
        <w:pStyle w:val="Normal"/>
        <w:rPr/>
      </w:pPr>
      <w:r>
        <w:rPr>
          <w:b w:val="false"/>
          <w:i w:val="false"/>
        </w:rPr>
        <w:t>The objectives are to:</w:t>
      </w:r>
    </w:p>
    <w:p>
      <w:pPr>
        <w:pStyle w:val="PraxisList"/>
        <w:numPr>
          <w:ilvl w:val="0"/>
          <w:numId w:val="7"/>
        </w:numPr>
        <w:rPr/>
      </w:pPr>
      <w:r>
        <w:rPr>
          <w:b w:val="false"/>
          <w:i w:val="false"/>
        </w:rPr>
        <w:t>Quantify how historical-evidence choices change macro-F1, exact-stage recognition, stage-conditioned warning recall and benign false alerts on the same evaluation records.</w:t>
      </w:r>
    </w:p>
    <w:p>
      <w:pPr>
        <w:pStyle w:val="PraxisList"/>
        <w:numPr>
          <w:ilvl w:val="0"/>
          <w:numId w:val="7"/>
        </w:numPr>
        <w:rPr/>
      </w:pPr>
      <w:r>
        <w:rPr>
          <w:b w:val="false"/>
          <w:i w:val="false"/>
        </w:rPr>
        <w:t>Measure training-composition sensitivity while holding the classifier family, evaluation anchor and class-specific fitting budgets fixed.</w:t>
      </w:r>
    </w:p>
    <w:p>
      <w:pPr>
        <w:pStyle w:val="PraxisList"/>
        <w:numPr>
          <w:ilvl w:val="0"/>
          <w:numId w:val="7"/>
        </w:numPr>
        <w:rPr/>
      </w:pPr>
      <w:r>
        <w:rPr>
          <w:b w:val="false"/>
          <w:i w:val="false"/>
        </w:rPr>
        <w:t>Determine whether four proposed APT releases can support the declared all-native-class chronological comparison.</w:t>
      </w:r>
    </w:p>
    <w:p>
      <w:pPr>
        <w:pStyle w:val="PraxisList"/>
        <w:numPr>
          <w:ilvl w:val="0"/>
          <w:numId w:val="7"/>
        </w:numPr>
        <w:rPr/>
      </w:pPr>
      <w:r>
        <w:rPr>
          <w:b w:val="false"/>
          <w:i w:val="false"/>
        </w:rPr>
        <w:t>Deliver traceable results, understandable model mathematics and a reproducible reporting procedure that keeps adverse outcomes and uncertainty visible.</w:t>
      </w:r>
    </w:p>
    <w:p>
      <w:pPr>
        <w:pStyle w:val="Heading2"/>
        <w:rPr/>
      </w:pPr>
      <w:bookmarkStart w:id="6" w:name="__RefHeading___Toc25683_2336213107"/>
      <w:bookmarkEnd w:id="6"/>
      <w:r>
        <w:rPr>
          <w:rFonts w:ascii="Times New Roman" w:hAnsi="Times New Roman"/>
          <w:b/>
          <w:i w:val="false"/>
        </w:rPr>
        <w:t>1.6 Research Questions and Analytical Propositions</w:t>
      </w:r>
    </w:p>
    <w:p>
      <w:pPr>
        <w:pStyle w:val="Normal"/>
        <w:rPr/>
      </w:pPr>
      <w:r>
        <w:rPr>
          <w:b/>
          <w:i w:val="false"/>
        </w:rPr>
        <w:t>RQ1, primary:</w:t>
      </w:r>
      <w:r>
        <w:rPr>
          <w:b w:val="false"/>
          <w:i w:val="false"/>
        </w:rPr>
        <w:t xml:space="preserve"> When historical-evidence choices improve an APT model's overall score, what happens to exfiltration warnings and false alarms on the same evaluation records?</w:t>
      </w:r>
    </w:p>
    <w:p>
      <w:pPr>
        <w:pStyle w:val="Normal"/>
        <w:rPr/>
      </w:pPr>
      <w:r>
        <w:rPr>
          <w:b/>
          <w:i w:val="false"/>
        </w:rPr>
        <w:t>RQ2, supporting:</w:t>
      </w:r>
      <w:r>
        <w:rPr>
          <w:b w:val="false"/>
          <w:i w:val="false"/>
        </w:rPr>
        <w:t xml:space="preserve"> How much does access to later-period fitting observations change reported stage performance when architecture, evaluation records and per-class fitting counts remain fixed?</w:t>
      </w:r>
    </w:p>
    <w:p>
      <w:pPr>
        <w:pStyle w:val="Normal"/>
        <w:rPr/>
      </w:pPr>
      <w:r>
        <w:rPr>
          <w:b/>
          <w:i w:val="false"/>
        </w:rPr>
        <w:t>RQ3, supporting:</w:t>
      </w:r>
      <w:r>
        <w:rPr>
          <w:b w:val="false"/>
          <w:i w:val="false"/>
        </w:rPr>
        <w:t xml:space="preserve"> Which proposed benchmark artifacts support the unchanged all-native-class chronological comparison, and what prevents the others from supporting it?</w:t>
      </w:r>
    </w:p>
    <w:p>
      <w:pPr>
        <w:pStyle w:val="Normal"/>
        <w:rPr/>
      </w:pPr>
      <w:r>
        <w:rPr>
          <w:b w:val="false"/>
          <w:i w:val="false"/>
        </w:rPr>
        <w:t>The evaluation proposition for RQ1 is that a higher macro-F1 does not ensure preservation of warnings for a particular attack stage. For RQ2, the tested expectation is that changing temporal access and training composition can change scores despite a fixed evaluation anchor. For RQ3, the necessary-condition proposition is that a single cutoff cannot provide the specified earlier and later native-class support when the class-support interval is empty.</w:t>
      </w:r>
    </w:p>
    <w:p>
      <w:pPr>
        <w:pStyle w:val="Normal"/>
        <w:rPr/>
      </w:pPr>
      <w:r>
        <w:rPr>
          <w:b w:val="false"/>
          <w:i w:val="false"/>
        </w:rPr>
        <w:t>The fitted experiments froze their protocols before fitting. The warning-loss pattern was inspected retrospectively; these propositions do not retroactively constitute newly preregistered hypotheses. The complete comparisons and unfavorable outcomes remain in the results. This edition places the warning question first for clarity; the original experiment identifiers, protocols and results retain their original labels in the evidence archive.</w:t>
      </w:r>
    </w:p>
    <w:p>
      <w:pPr>
        <w:pStyle w:val="Heading2"/>
        <w:rPr/>
      </w:pPr>
      <w:bookmarkStart w:id="7" w:name="__RefHeading___Toc25685_2336213107"/>
      <w:bookmarkEnd w:id="7"/>
      <w:r>
        <w:rPr>
          <w:rFonts w:ascii="Times New Roman" w:hAnsi="Times New Roman"/>
          <w:b/>
          <w:i w:val="false"/>
        </w:rPr>
        <w:t>1.7 Scope of Research</w:t>
      </w:r>
    </w:p>
    <w:p>
      <w:pPr>
        <w:pStyle w:val="Normal"/>
        <w:rPr/>
      </w:pPr>
      <w:r>
        <w:rPr>
          <w:b w:val="false"/>
          <w:i w:val="false"/>
        </w:rPr>
        <w:t>The main study evaluates the prepared UNRAVELED flow artifact and uses its four declared evaluation classes. The history-selection, evidence-acquisition and temporal experiments contribute 141 fitted models; a separate two-fit policy-transfer supplement brings the wider batch to 143. These fitting counts are not counts of independent attacks.</w:t>
      </w:r>
    </w:p>
    <w:p>
      <w:pPr>
        <w:pStyle w:val="Normal"/>
        <w:rPr/>
      </w:pPr>
      <w:r>
        <w:rPr>
          <w:b w:val="false"/>
          <w:i w:val="false"/>
        </w:rPr>
        <w:t>The September 27 full-release extension additionally audits all 173 released flow files and all 6,877,157 source rows across six sensor views, fitting current-flow and current-flow-plus-role models on every eligible training row. Its 12 fitting jobs bring the combined recorded inventory to 155; single-class training jobs are explicitly identified as degenerate controls. The new extension extends population coverage and removes fitting caps for the role-feature comparison. It does not rerun every historical intervention on the expanded population and does not create a second campaign.</w:t>
      </w:r>
    </w:p>
    <w:p>
      <w:pPr>
        <w:pStyle w:val="Normal"/>
        <w:rPr/>
      </w:pPr>
      <w:r>
        <w:rPr>
          <w:b w:val="false"/>
          <w:i w:val="false"/>
        </w:rPr>
        <w:t>The source-qualification study covers inspected SCVIC-APT-2021, DAPT2020 and DSRL-APT-2023 artifacts and the acquisition status of S-DAPT-2026. It does not claim four additional fitted replications. CasinoLimit and CAM-LDS support a separately labelled technique-recognition supplement, whose units and negative labels differ from the main benign-versus-attack stage task.</w:t>
      </w:r>
    </w:p>
    <w:p>
      <w:pPr>
        <w:pStyle w:val="Normal"/>
        <w:rPr/>
      </w:pPr>
      <w:r>
        <w:rPr>
          <w:b w:val="false"/>
          <w:i w:val="false"/>
        </w:rPr>
        <w:t>The September 28 external-source extension qualifies all eight AIT netflow testbeds and evaluates a separately frozen three-class, one-history-group configuration on two later, held-out executions. It inspects 3,465,342 source rows and uses every eligible row: 2,397,158 for final training and 1,067,211 for evaluation. Its 36 classifier and six selector fits bring the recorded project inventory to 197 fitting jobs, including earlier constant-class controls. Separate source executions broaden the empirical record; the repeated laboratory scenario, different class taxonomy and different evidence groups limit the test to an adapted validation. Sections 3.12 and 4.11 state those changes before interpreting its results.</w:t>
      </w:r>
    </w:p>
    <w:p>
      <w:pPr>
        <w:pStyle w:val="Heading2"/>
        <w:rPr/>
      </w:pPr>
      <w:bookmarkStart w:id="8" w:name="__RefHeading___Toc25687_2336213107"/>
      <w:bookmarkEnd w:id="8"/>
      <w:r>
        <w:rPr>
          <w:rFonts w:ascii="Times New Roman" w:hAnsi="Times New Roman"/>
          <w:b/>
          <w:i w:val="false"/>
        </w:rPr>
        <w:t>1.8 Research Limitations</w:t>
      </w:r>
    </w:p>
    <w:p>
      <w:pPr>
        <w:pStyle w:val="Normal"/>
        <w:rPr/>
      </w:pPr>
      <w:r>
        <w:rPr>
          <w:b w:val="false"/>
          <w:i w:val="false"/>
        </w:rPr>
        <w:t>The main results describe one previously examined campaign. Its movement target denotes author-annotated remote discovery on one host pair, with only 35 evaluation rows and 18 anchor rows. Completed-flow features do not measure detection before flow completion. Stage labels do not independently verify successful compromise or delivery of stolen files. Simulated missing, delayed and wrong-host evidence probes specified conditions; it does not estimate their frequency or price in production.</w:t>
      </w:r>
    </w:p>
    <w:p>
      <w:pPr>
        <w:pStyle w:val="Normal"/>
        <w:rPr/>
      </w:pPr>
      <w:r>
        <w:rPr>
          <w:b w:val="false"/>
          <w:i w:val="false"/>
        </w:rPr>
        <w:t>The paired warning analysis is retrospective, and the five capture fragments are correlated parts of a shared workflow. Conditional resampling intervals and fitting-seed sensitivity describe these data rather than a population of independent campaigns. Chapter 5 states the implications of these limits for the empirical claim.</w:t>
      </w:r>
    </w:p>
    <w:p>
      <w:pPr>
        <w:pStyle w:val="Normal"/>
        <w:rPr/>
      </w:pPr>
      <w:r>
        <w:rPr>
          <w:b w:val="false"/>
          <w:i w:val="false"/>
        </w:rPr>
        <w:t>The added AIT evaluation uses two held-out executions from a common laboratory generator. It supplies an external-source test for the adapted configuration, while leaving the original four-class, two-group experiment and real-world generalization distinct. The frozen original-direction test is unreplicated; a much smaller warning tradeoff appears in one execution with the opposite policy ordering.</w:t>
      </w:r>
    </w:p>
    <w:p>
      <w:pPr>
        <w:pStyle w:val="Heading2"/>
        <w:rPr/>
      </w:pPr>
      <w:bookmarkStart w:id="9" w:name="__RefHeading___Toc25689_2336213107"/>
      <w:bookmarkEnd w:id="9"/>
      <w:r>
        <w:rPr>
          <w:rFonts w:ascii="Times New Roman" w:hAnsi="Times New Roman"/>
          <w:b/>
          <w:i w:val="false"/>
        </w:rPr>
        <w:t>1.9 Praxis Organization</w:t>
      </w:r>
    </w:p>
    <w:p>
      <w:pPr>
        <w:pStyle w:val="Normal"/>
        <w:rPr/>
      </w:pPr>
      <w:r>
        <w:rPr>
          <w:b w:val="false"/>
          <w:i w:val="false"/>
        </w:rPr>
        <w:t>Chapter 2 reviews the relevant literature and identifies the narrow empirical contribution. Chapter 3 presents the Graphical Model of Research, source evaluation, implemented models, mathematical objectives and evaluation controls. Chapter 4 reports the completed results and sensitivity analyses. Chapter 5 discusses their meaning, contributions, limitations and recommendations. The appendices and accompanying machine-readable supplement retain comprehensive result coverage, provenance and the original GML GMR reference.</w:t>
      </w:r>
      <w:r>
        <w:br w:type="page"/>
      </w:r>
    </w:p>
    <w:p>
      <w:pPr>
        <w:pStyle w:val="Heading1"/>
        <w:rPr/>
      </w:pPr>
      <w:bookmarkStart w:id="10" w:name="__RefHeading___Toc25691_2336213107"/>
      <w:bookmarkEnd w:id="10"/>
      <w:r>
        <w:rPr>
          <w:rFonts w:ascii="Times New Roman" w:hAnsi="Times New Roman"/>
          <w:b/>
          <w:i w:val="false"/>
        </w:rPr>
        <w:t>Chapter 2: Literature Review</w:t>
      </w:r>
    </w:p>
    <w:p>
      <w:pPr>
        <w:pStyle w:val="Heading2"/>
        <w:rPr/>
      </w:pPr>
      <w:bookmarkStart w:id="11" w:name="__RefHeading___Toc25693_2336213107"/>
      <w:bookmarkEnd w:id="11"/>
      <w:r>
        <w:rPr>
          <w:rFonts w:ascii="Times New Roman" w:hAnsi="Times New Roman"/>
          <w:b/>
          <w:i w:val="false"/>
        </w:rPr>
        <w:t>2.1 Introduction</w:t>
      </w:r>
    </w:p>
    <w:p>
      <w:pPr>
        <w:pStyle w:val="Normal"/>
        <w:rPr/>
      </w:pPr>
      <w:r>
        <w:rPr>
          <w:b w:val="false"/>
          <w:i w:val="false"/>
        </w:rPr>
        <w:t>This review positions the study relative to recent APT evaluation, temporal validity and error-destination research. It is a targeted primary-source review completed September 23, 2026, centred on 2024-2026 publications and supplemented with original dataset and method sources. It identifies overlap and concrete distinctions; it is not a systematic review or an exhaustive priority claim.</w:t>
      </w:r>
    </w:p>
    <w:p>
      <w:pPr>
        <w:pStyle w:val="Heading2"/>
        <w:rPr/>
      </w:pPr>
      <w:bookmarkStart w:id="12" w:name="__RefHeading___Toc25695_2336213107"/>
      <w:bookmarkEnd w:id="12"/>
      <w:r>
        <w:rPr>
          <w:rFonts w:ascii="Times New Roman" w:hAnsi="Times New Roman"/>
          <w:b/>
          <w:i w:val="false"/>
        </w:rPr>
        <w:t>2.2 Temporal Validity in Security Evaluation</w:t>
      </w:r>
    </w:p>
    <w:p>
      <w:pPr>
        <w:pStyle w:val="Normal"/>
        <w:rPr/>
      </w:pPr>
      <w:r>
        <w:rPr>
          <w:b w:val="false"/>
          <w:i w:val="false"/>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pStyle w:val="Normal"/>
        <w:rPr/>
      </w:pPr>
      <w:r>
        <w:rPr>
          <w:b w:val="false"/>
          <w:i w:val="false"/>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pStyle w:val="Normal"/>
        <w:rPr/>
      </w:pPr>
      <w:r>
        <w:rPr>
          <w:b w:val="false"/>
          <w:i w:val="false"/>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rPr/>
      </w:pPr>
      <w:bookmarkStart w:id="13" w:name="__RefHeading___Toc25697_2336213107"/>
      <w:bookmarkEnd w:id="13"/>
      <w:r>
        <w:rPr>
          <w:rFonts w:ascii="Times New Roman" w:hAnsi="Times New Roman"/>
          <w:b/>
          <w:i w:val="false"/>
        </w:rPr>
        <w:t>2.3 Correct Attack Stages and Retained Warnings</w:t>
      </w:r>
    </w:p>
    <w:p>
      <w:pPr>
        <w:pStyle w:val="Normal"/>
        <w:rPr/>
      </w:pPr>
      <w:r>
        <w:rPr>
          <w:b w:val="false"/>
          <w:i w:val="false"/>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pStyle w:val="Normal"/>
        <w:rPr/>
      </w:pPr>
      <w:r>
        <w:rPr>
          <w:b w:val="false"/>
          <w:i w:val="false"/>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rPr/>
      </w:pPr>
      <w:bookmarkStart w:id="14" w:name="__RefHeading___Toc25699_2336213107"/>
      <w:bookmarkEnd w:id="14"/>
      <w:r>
        <w:rPr>
          <w:rFonts w:ascii="Times New Roman" w:hAnsi="Times New Roman"/>
          <w:b/>
          <w:i w:val="false"/>
        </w:rPr>
        <w:t>2.4 Recent Flow and Attack-Stage Research</w:t>
      </w:r>
    </w:p>
    <w:p>
      <w:pPr>
        <w:pStyle w:val="Normal"/>
        <w:rPr/>
      </w:pPr>
      <w:r>
        <w:rPr>
          <w:b w:val="false"/>
          <w:i w:val="false"/>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pStyle w:val="Normal"/>
        <w:rPr/>
      </w:pPr>
      <w:r>
        <w:rPr>
          <w:b w:val="false"/>
          <w:i w:val="false"/>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pStyle w:val="Normal"/>
        <w:rPr/>
      </w:pPr>
      <w:r>
        <w:rPr>
          <w:b w:val="false"/>
          <w:i w:val="false"/>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pStyle w:val="Normal"/>
        <w:rPr/>
      </w:pPr>
      <w:r>
        <w:rPr>
          <w:b w:val="false"/>
          <w:i w:val="false"/>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rPr/>
      </w:pPr>
      <w:bookmarkStart w:id="15" w:name="__RefHeading___Toc25701_2336213107"/>
      <w:bookmarkEnd w:id="15"/>
      <w:r>
        <w:rPr>
          <w:rFonts w:ascii="Times New Roman" w:hAnsi="Times New Roman"/>
          <w:b/>
          <w:i w:val="false"/>
        </w:rPr>
        <w:t>2.5 Dataset Origin and Benchmark Independence</w:t>
      </w:r>
    </w:p>
    <w:p>
      <w:pPr>
        <w:pStyle w:val="Normal"/>
        <w:rPr/>
      </w:pPr>
      <w:r>
        <w:rPr>
          <w:b w:val="false"/>
          <w:i w:val="false"/>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pStyle w:val="Normal"/>
        <w:rPr/>
      </w:pPr>
      <w:r>
        <w:rPr>
          <w:b w:val="false"/>
          <w:i w:val="false"/>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Normal"/>
        <w:rPr/>
      </w:pPr>
      <w:r>
        <w:rPr>
          <w:b w:val="false"/>
          <w:i w:val="false"/>
        </w:rPr>
        <w:t>The AIT netflow release (Soro et al., 2024) derives TCP and UDP flow records from eight executions of the AIT laboratory environment. Its simulated legitimate activity and attack scenarios are described by Landauer et al. (2023), building on the model-driven testbed approach of Landauer et al. (2021). The released flow labels support benign activity, other attacks and DNS exfiltration. They do not supply the same movement class or evidence channels as the original UNRAVELED experiment. This distinction motivates the explicitly adapted validation in Section 3.12, rather than treating a dataset name as proof of an unchanged replication.</w:t>
      </w:r>
    </w:p>
    <w:p>
      <w:pPr>
        <w:pStyle w:val="Heading2"/>
        <w:rPr/>
      </w:pPr>
      <w:bookmarkStart w:id="16" w:name="__RefHeading___Toc25703_2336213107"/>
      <w:bookmarkEnd w:id="16"/>
      <w:r>
        <w:rPr>
          <w:rFonts w:ascii="Times New Roman" w:hAnsi="Times New Roman"/>
          <w:b/>
          <w:i w:val="false"/>
        </w:rPr>
        <w:t>2.6 Literature Gap and Contribution Positioning</w:t>
      </w:r>
    </w:p>
    <w:p>
      <w:pPr>
        <w:pStyle w:val="Normal"/>
        <w:rPr/>
      </w:pPr>
      <w:r>
        <w:rPr>
          <w:b w:val="false"/>
          <w:i w:val="false"/>
        </w:rPr>
        <w:t>The working gap is the lack of the specific controlled evidence assembled here: fixed-anchor training-composition effects, joint accounting of stage errors and lost warnings under historical-evidence choices, and an executable qualification audit of the requested APT-flow releases. Close prior work covers each surrounding concept. The claim is an applied measurement contribution with explicit experimental controls and artifacts, not proof that no earlier paper contains any related observation.</w:t>
      </w:r>
    </w:p>
    <w:p>
      <w:pPr>
        <w:pStyle w:val="Normal"/>
        <w:rPr/>
      </w:pPr>
      <w:r>
        <w:rPr>
          <w:b w:val="false"/>
          <w:i w:val="false"/>
        </w:rPr>
        <w:t>The literature review is targeted, not systematic. It checks named closest work and recent primary sources on temporal APT evaluation, hierarchical error destinations, stage reasoning, and source datasets. The reference and claim audit records publication status, accessible sections, metadata, and limits of verification. The accessible 2024 author version of the Uddin study is distinguished from its 2025 journal record; available 2026 preprints are distinguished from proceedings not yet published.</w:t>
      </w:r>
    </w:p>
    <w:p>
      <w:pPr>
        <w:pStyle w:val="GWUTableCaption"/>
        <w:rPr/>
      </w:pPr>
      <w:bookmarkStart w:id="17" w:name="__RefHeading___Toc25845_2336213107"/>
      <w:bookmarkEnd w:id="17"/>
      <w:r>
        <w:rPr>
          <w:b w:val="false"/>
          <w:i w:val="false"/>
        </w:rPr>
        <w:t>Table 2-1. Closest literature and study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02"/>
        <w:gridCol w:w="2969"/>
        <w:gridCol w:w="2969"/>
      </w:tblGrid>
      <w:tr>
        <w:trPr>
          <w:tblHeader w:val="true"/>
          <w:cantSplit/>
        </w:trPr>
        <w:tc>
          <w:tcPr>
            <w:tcW w:w="270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Closest work</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Established contribution</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Scope of this study</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TESSERACT (2019)</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and distribution constraints in malware evaluation</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Same-anchor APT-flow training-pool contrast</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Bilot et al. (2025); Guerra et al.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Critical provenance/ APT benchmarking and practical controls</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Flow-stage observations with explicit source support</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Uddin et al. (2025)</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Attack-type errors versus attacks called normal</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Measured metric/warning tradeoffs under evidence changes</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TAN-IDS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Flow-based cross-domain evaluation; binary scope</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Stage-conditioned warning outcomes and temporal controls</w:t>
            </w:r>
          </w:p>
        </w:tc>
      </w:tr>
      <w:tr>
        <w:trPr>
          <w:cantSplit/>
        </w:trPr>
        <w:tc>
          <w:tcPr>
            <w:tcW w:w="270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Othman et al. (2026)</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stage timing and residual-time survival analysis</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Necessary support for a different, all-class classifier split</w:t>
            </w:r>
          </w:p>
        </w:tc>
      </w:tr>
    </w:tbl>
    <w:p>
      <w:pPr>
        <w:pStyle w:val="Normal"/>
        <w:spacing w:lineRule="auto" w:line="60" w:before="0" w:after="40"/>
        <w:rPr/>
      </w:pPr>
      <w:r>
        <w:rPr/>
      </w:r>
    </w:p>
    <w:p>
      <w:pPr>
        <w:pStyle w:val="Heading2"/>
        <w:rPr/>
      </w:pPr>
      <w:bookmarkStart w:id="18" w:name="__RefHeading___Toc25705_2336213107"/>
      <w:bookmarkEnd w:id="18"/>
      <w:r>
        <w:rPr>
          <w:rFonts w:ascii="Times New Roman" w:hAnsi="Times New Roman"/>
          <w:b/>
          <w:i w:val="false"/>
        </w:rPr>
        <w:t>2.7 Machine-Learning Foundations and Their Role</w:t>
      </w:r>
    </w:p>
    <w:p>
      <w:pPr>
        <w:pStyle w:val="Normal"/>
        <w:rPr/>
      </w:pPr>
      <w:r>
        <w:rPr>
          <w:b w:val="false"/>
          <w:i w:val="false"/>
        </w:rPr>
        <w:t>The main experiments use gradient-boosted decision trees for multiclass prediction and scalar regression. Boosting adds trees sequentially to improve a specified loss; using the same family across comparisons limits architecture changes as an explanation for a score difference. Chapter 3 distinguishes the multiclass experts from the regressors that select history or additional evidence, and reports their actual objectives.</w:t>
      </w:r>
    </w:p>
    <w:p>
      <w:pPr>
        <w:pStyle w:val="Normal"/>
        <w:rPr/>
      </w:pPr>
      <w:r>
        <w:rPr>
          <w:b w:val="false"/>
          <w:i w:val="false"/>
        </w:rPr>
        <w:t>The separate policy-transfer supplement uses previously fitted logistic-regression experts and newly fitted Ridge selectors. These models provide a deliberately modest test of whether a learned context-selection score changes the decisions of its source experts. The model-specific primary references and equations are given alongside their implementations in Chapter 3. No graph-neural model, TabM architecture or large language model was fitted in this completed measurement batch.</w:t>
      </w:r>
    </w:p>
    <w:p>
      <w:pPr>
        <w:pStyle w:val="Heading2"/>
        <w:rPr/>
      </w:pPr>
      <w:bookmarkStart w:id="19" w:name="__RefHeading___Toc25707_2336213107"/>
      <w:bookmarkEnd w:id="19"/>
      <w:r>
        <w:rPr>
          <w:rFonts w:ascii="Times New Roman" w:hAnsi="Times New Roman"/>
          <w:b/>
          <w:i w:val="false"/>
        </w:rPr>
        <w:t>2.8 Literature Review Summary</w:t>
      </w:r>
    </w:p>
    <w:p>
      <w:pPr>
        <w:pStyle w:val="Normal"/>
        <w:rPr/>
      </w:pPr>
      <w:r>
        <w:rPr>
          <w:b w:val="false"/>
          <w:i w:val="false"/>
        </w:rPr>
        <w:t>The literature establishes that time ordering, source semantics and error destinations matter in security evaluation. The empirical contribution here is a controlled flow-level account of their interaction: fixed-anchor training-composition comparisons, stage-conditioned warning and workload measurements under evidence choices, and a task-specific audit of named dataset releases. Existing metric definitions are used directly. The purpose is to add inspectable measurements and a reusable applied procedure, while keeping the distinction between published precedent and this study's observed results clear.</w:t>
      </w:r>
      <w:r>
        <w:br w:type="page"/>
      </w:r>
    </w:p>
    <w:p>
      <w:pPr>
        <w:pStyle w:val="Heading1"/>
        <w:rPr/>
      </w:pPr>
      <w:bookmarkStart w:id="20" w:name="__RefHeading___Toc25709_2336213107"/>
      <w:bookmarkEnd w:id="20"/>
      <w:r>
        <w:rPr>
          <w:rFonts w:ascii="Times New Roman" w:hAnsi="Times New Roman"/>
          <w:b/>
          <w:i w:val="false"/>
        </w:rPr>
        <w:t>Chapter 3: Methodology</w:t>
      </w:r>
    </w:p>
    <w:p>
      <w:pPr>
        <w:pStyle w:val="Heading2"/>
        <w:rPr/>
      </w:pPr>
      <w:bookmarkStart w:id="21" w:name="__RefHeading___Toc25711_2336213107"/>
      <w:bookmarkEnd w:id="21"/>
      <w:r>
        <w:rPr>
          <w:rFonts w:ascii="Times New Roman" w:hAnsi="Times New Roman"/>
          <w:b/>
          <w:i w:val="false"/>
        </w:rPr>
        <w:t>3.1 Introduction and Graphical Model of Research</w:t>
      </w:r>
    </w:p>
    <w:p>
      <w:pPr>
        <w:pStyle w:val="Normal"/>
        <w:rPr/>
      </w:pPr>
      <w:r>
        <w:rPr>
          <w:b w:val="false"/>
          <w:i w:val="false"/>
        </w:rPr>
        <w:t>The Graphical Model of Research (GMR) summarizes the completed workflow. It follows the numbered What/Why/How convention in the author's earlier GWU GML praxis (Pagan, 2026), with the content adapted to the present measurement study. The original graph-construction, architecture-training and tuning diagram is retained separately as a historical reference in Appendix C.</w:t>
      </w:r>
    </w:p>
    <w:p>
      <w:pPr>
        <w:pStyle w:val="GWUEquation"/>
        <w:keepNext w:val="true"/>
        <w:spacing w:before="0" w:after="80"/>
        <w:jc w:val="center"/>
        <w:rPr/>
      </w:pPr>
      <w:r>
        <w:rPr/>
        <w:drawing>
          <wp:inline distT="0" distB="0" distL="0" distR="0">
            <wp:extent cx="5486400" cy="6812280"/>
            <wp:effectExtent l="0" t="0" r="0" b="0"/>
            <wp:docPr id="1" name="Picture 1" descr="Graphical Model of Research for the completed APT evaluation study. The six stages connect source qualification, controlled fitting, error destinations, sensitivity checks and a reproducible evidenc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Model of Research for the completed APT evaluation study. The six stages connect source qualification, controlled fitting, error destinations, sensitivity checks and a reproducible evidence package."/>
                    <pic:cNvPicPr>
                      <a:picLocks noChangeAspect="1" noChangeArrowheads="1"/>
                    </pic:cNvPicPr>
                  </pic:nvPicPr>
                  <pic:blipFill>
                    <a:blip r:embed="rId5"/>
                    <a:stretch>
                      <a:fillRect/>
                    </a:stretch>
                  </pic:blipFill>
                  <pic:spPr bwMode="auto">
                    <a:xfrm>
                      <a:off x="0" y="0"/>
                      <a:ext cx="5486400" cy="6812280"/>
                    </a:xfrm>
                    <a:prstGeom prst="rect">
                      <a:avLst/>
                    </a:prstGeom>
                    <a:noFill/>
                  </pic:spPr>
                </pic:pic>
              </a:graphicData>
            </a:graphic>
          </wp:inline>
        </w:drawing>
      </w:r>
    </w:p>
    <w:p>
      <w:pPr>
        <w:pStyle w:val="GWUFigureCaption"/>
        <w:rPr/>
      </w:pPr>
      <w:bookmarkStart w:id="22" w:name="__RefHeading___Toc25824_2336213107"/>
      <w:bookmarkEnd w:id="22"/>
      <w:r>
        <w:rPr>
          <w:b w:val="false"/>
          <w:i w:val="false"/>
        </w:rPr>
        <w:t>Figure 3-1. Graphical Model of Research for the completed APT evaluation study. The six stages connect source qualification, controlled fitting, error destinations, sensitivity checks and a reproducible evidence package.</w:t>
      </w:r>
    </w:p>
    <w:p>
      <w:pPr>
        <w:pStyle w:val="Normal"/>
        <w:rPr/>
      </w:pPr>
      <w:r>
        <w:rPr>
          <w:b w:val="false"/>
          <w:i w:val="false"/>
        </w:rPr>
        <w:t>The first two stages establish which records, targets and chronology are available. The third fits the declared comparison models without selecting a new architecture from evaluation scores. The fourth records what each prediction does to the attack warning and the benign workload. The fifth evaluates conditional uncertainty and source support. The sixth assembles the completed evidence into a reproducible praxis. The figure is a workflow description, not an additional empirical result.</w:t>
      </w:r>
    </w:p>
    <w:p>
      <w:pPr>
        <w:pStyle w:val="Heading2"/>
        <w:rPr/>
      </w:pPr>
      <w:bookmarkStart w:id="23" w:name="__RefHeading___Toc25713_2336213107"/>
      <w:bookmarkEnd w:id="23"/>
      <w:r>
        <w:rPr>
          <w:rFonts w:ascii="Times New Roman" w:hAnsi="Times New Roman"/>
          <w:b/>
          <w:i w:val="false"/>
        </w:rPr>
        <w:t>3.2 Research Design and Analysis Chronology</w:t>
      </w:r>
    </w:p>
    <w:p>
      <w:pPr>
        <w:pStyle w:val="Normal"/>
        <w:rPr/>
      </w:pPr>
      <w:r>
        <w:rPr>
          <w:b w:val="false"/>
          <w:i w:val="false"/>
        </w:rPr>
        <w:t>The study combines completed controlled experiments with a retrospective analysis of their saved predictions and a separate benchmark-qualification study. These components answer different questions and have different evidentiary status.</w:t>
      </w:r>
    </w:p>
    <w:p>
      <w:pPr>
        <w:pStyle w:val="Normal"/>
        <w:rPr/>
      </w:pPr>
      <w:r>
        <w:rPr>
          <w:b w:val="false"/>
          <w:i w:val="false"/>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pStyle w:val="Normal"/>
        <w:rPr/>
      </w:pPr>
      <w:r>
        <w:rPr>
          <w:b w:val="false"/>
          <w:i w:val="false"/>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p>
    <w:p>
      <w:pPr>
        <w:pStyle w:val="GWUTableCaption"/>
        <w:rPr/>
      </w:pPr>
      <w:bookmarkStart w:id="24" w:name="__RefHeading___Toc25963_2336213107"/>
      <w:bookmarkEnd w:id="24"/>
      <w:r>
        <w:rPr>
          <w:b w:val="false"/>
          <w:i w:val="false"/>
        </w:rPr>
        <w:t>Table 3-1. Components of the evidence and their roles.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61"/>
        <w:gridCol w:w="2906"/>
        <w:gridCol w:w="2973"/>
      </w:tblGrid>
      <w:tr>
        <w:trPr>
          <w:tblHeader w:val="true"/>
          <w:cantSplit/>
        </w:trPr>
        <w:tc>
          <w:tcPr>
            <w:tcW w:w="27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Component</w:t>
            </w:r>
          </w:p>
        </w:tc>
        <w:tc>
          <w:tcPr>
            <w:tcW w:w="29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scope</w:t>
            </w:r>
          </w:p>
        </w:tc>
        <w:tc>
          <w:tcPr>
            <w:tcW w:w="29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r>
      <w:tr>
        <w:trPr>
          <w:cantSplit/>
        </w:trPr>
        <w:tc>
          <w:tcPr>
            <w:tcW w:w="27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90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39 fits; 7 arms; 5 conditions; 3 seeds</w:t>
            </w:r>
          </w:p>
        </w:tc>
        <w:tc>
          <w:tcPr>
            <w:tcW w:w="29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tradeoffs and simple controls</w:t>
            </w:r>
          </w:p>
        </w:tc>
      </w:tr>
      <w:tr>
        <w:trPr>
          <w:cantSplit/>
        </w:trPr>
        <w:tc>
          <w:tcPr>
            <w:tcW w:w="27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90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 fits; 3 budgets; 3 conditions; 3 seeds</w:t>
            </w:r>
          </w:p>
        </w:tc>
        <w:tc>
          <w:tcPr>
            <w:tcW w:w="29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stage/warning outcomes</w:t>
            </w:r>
          </w:p>
        </w:tc>
      </w:tr>
      <w:tr>
        <w:trPr>
          <w:cantSplit/>
        </w:trPr>
        <w:tc>
          <w:tcPr>
            <w:tcW w:w="27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90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 fits; 2 feature views; 3 split arms; 3 seeds</w:t>
            </w:r>
          </w:p>
        </w:tc>
        <w:tc>
          <w:tcPr>
            <w:tcW w:w="29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Fixed-anchor protocol sensitivity</w:t>
            </w:r>
          </w:p>
        </w:tc>
      </w:tr>
      <w:tr>
        <w:trPr>
          <w:cantSplit/>
        </w:trPr>
        <w:tc>
          <w:tcPr>
            <w:tcW w:w="27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90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 comparisons; no new fits</w:t>
            </w:r>
          </w:p>
        </w:tc>
        <w:tc>
          <w:tcPr>
            <w:tcW w:w="29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capture-conditional uncertainty</w:t>
            </w:r>
          </w:p>
        </w:tc>
      </w:tr>
      <w:tr>
        <w:trPr>
          <w:cantSplit/>
        </w:trPr>
        <w:tc>
          <w:tcPr>
            <w:tcW w:w="27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Benchmark qualification</w:t>
            </w:r>
          </w:p>
        </w:tc>
        <w:tc>
          <w:tcPr>
            <w:tcW w:w="290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requested sources; no new fits</w:t>
            </w:r>
          </w:p>
        </w:tc>
        <w:tc>
          <w:tcPr>
            <w:tcW w:w="29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 support, timing and dependencies</w:t>
            </w:r>
          </w:p>
        </w:tc>
      </w:tr>
      <w:tr>
        <w:trPr>
          <w:cantSplit/>
        </w:trPr>
        <w:tc>
          <w:tcPr>
            <w:tcW w:w="27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Full-release extension</w:t>
            </w:r>
          </w:p>
        </w:tc>
        <w:tc>
          <w:tcPr>
            <w:tcW w:w="290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173 files; 6,877,157 rows; 12 fitting jobs</w:t>
            </w:r>
          </w:p>
        </w:tc>
        <w:tc>
          <w:tcPr>
            <w:tcW w:w="29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Uncapped current-flow versus role-feature comparison; same campaign</w:t>
            </w:r>
          </w:p>
        </w:tc>
      </w:tr>
      <w:tr>
        <w:trPr>
          <w:cantSplit/>
        </w:trPr>
        <w:tc>
          <w:tcPr>
            <w:tcW w:w="27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Policy-transfer supplement</w:t>
            </w:r>
          </w:p>
        </w:tc>
        <w:tc>
          <w:tcPr>
            <w:tcW w:w="290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fits; T1105 recognition</w:t>
            </w:r>
          </w:p>
        </w:tc>
        <w:tc>
          <w:tcPr>
            <w:tcW w:w="29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Separate task; not stage replication</w:t>
            </w:r>
          </w:p>
        </w:tc>
      </w:tr>
      <w:tr>
        <w:trPr>
          <w:cantSplit/>
        </w:trPr>
        <w:tc>
          <w:tcPr>
            <w:tcW w:w="276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AIT external-source validation</w:t>
            </w:r>
          </w:p>
        </w:tc>
        <w:tc>
          <w:tcPr>
            <w:tcW w:w="290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 executions; 3,465,342 rows; 42 fits</w:t>
            </w:r>
          </w:p>
        </w:tc>
        <w:tc>
          <w:tcPr>
            <w:tcW w:w="297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Three-class history acquisition; 2 later executions held out</w:t>
            </w:r>
          </w:p>
        </w:tc>
      </w:tr>
    </w:tbl>
    <w:p>
      <w:pPr>
        <w:pStyle w:val="Normal"/>
        <w:spacing w:lineRule="auto" w:line="60" w:before="0" w:after="40"/>
        <w:rPr/>
      </w:pPr>
      <w:r>
        <w:rPr/>
      </w:r>
    </w:p>
    <w:p>
      <w:pPr>
        <w:pStyle w:val="Normal"/>
        <w:rPr/>
      </w:pPr>
      <w:r>
        <w:rPr>
          <w:b w:val="false"/>
          <w:i w:val="false"/>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rPr/>
      </w:pPr>
      <w:bookmarkStart w:id="25" w:name="__RefHeading___Toc25715_2336213107"/>
      <w:bookmarkEnd w:id="25"/>
      <w:r>
        <w:rPr>
          <w:rFonts w:ascii="Times New Roman" w:hAnsi="Times New Roman"/>
          <w:b/>
          <w:i w:val="false"/>
        </w:rPr>
        <w:t>3.3 Datasets, Evaluation Support and Feature Interpretation</w:t>
      </w:r>
    </w:p>
    <w:p>
      <w:pPr>
        <w:pStyle w:val="Heading3"/>
        <w:rPr/>
      </w:pPr>
      <w:r>
        <w:rPr>
          <w:rFonts w:ascii="Times New Roman" w:hAnsi="Times New Roman"/>
          <w:b/>
          <w:i w:val="false"/>
        </w:rPr>
        <w:t>3.3.1 Why source qualification is part of the experiment</w:t>
      </w:r>
    </w:p>
    <w:p>
      <w:pPr>
        <w:pStyle w:val="Normal"/>
        <w:rPr/>
      </w:pPr>
      <w:r>
        <w:rPr>
          <w:b w:val="false"/>
          <w:i w:val="false"/>
        </w:rPr>
        <w:t>An APT dataset name does not establish an independent attack execution, a valid clock, or a label for successful movement or theft. This study therefore separates datasets used for completed predictions from artifacts inspected for possible extension. The qualification decisions below describe the inspected releases and the registered comparison, not the usefulness of each dataset for every research question. Source-status statements are inherited from the verified September 23, 2026 audit; these historical qualification outcomes are preserved. The full-release extension in Section 3.11 additionally verifies all UNRAVELED flow-file bytes and performs new fitting.</w:t>
      </w:r>
    </w:p>
    <w:p>
      <w:pPr>
        <w:pStyle w:val="GWUTableCaption"/>
        <w:rPr/>
      </w:pPr>
      <w:bookmarkStart w:id="26" w:name="__RefHeading___Toc25961_2336213107"/>
      <w:bookmarkEnd w:id="26"/>
      <w:r>
        <w:rPr>
          <w:b w:val="false"/>
          <w:i w:val="false"/>
        </w:rPr>
        <w:t>Table 3-2. Dataset roles and qualification boundaries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68"/>
        <w:gridCol w:w="2123"/>
        <w:gridCol w:w="2180"/>
        <w:gridCol w:w="2269"/>
      </w:tblGrid>
      <w:tr>
        <w:trPr>
          <w:tblHeader w:val="true"/>
          <w:cantSplit/>
        </w:trPr>
        <w:tc>
          <w:tcPr>
            <w:tcW w:w="206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Dataset</w:t>
            </w:r>
          </w:p>
        </w:tc>
        <w:tc>
          <w:tcPr>
            <w:tcW w:w="212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c>
          <w:tcPr>
            <w:tcW w:w="21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support</w:t>
            </w:r>
          </w:p>
        </w:tc>
        <w:tc>
          <w:tcPr>
            <w:tcW w:w="22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Interpretation boundary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Historical controlled experiments</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382,229 prepared flows; eleven IT-sensor captures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previously examined campaign; author stages</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259,120 rows; six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timestamps do not establish physical chronology</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86,691 rows; five native classes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all-native-class single chronological cutoff under the stated rule</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65,000 rows; five native classes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Synthetic attacks and reused benign rows derived from DAPT</w:t>
            </w:r>
          </w:p>
        </w:tc>
      </w:tr>
      <w:tr>
        <w:trPr>
          <w:cantSplit/>
        </w:trPr>
        <w:tc>
          <w:tcPr>
            <w:tcW w:w="206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212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Source-access qualification</w:t>
            </w:r>
          </w:p>
        </w:tc>
        <w:tc>
          <w:tcPr>
            <w:tcW w:w="21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source bytes</w:t>
            </w:r>
          </w:p>
        </w:tc>
        <w:tc>
          <w:tcPr>
            <w:tcW w:w="22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measured dataset count or model result</w:t>
            </w:r>
          </w:p>
        </w:tc>
      </w:tr>
      <w:tr>
        <w:trPr>
          <w:cantSplit/>
        </w:trPr>
        <w:tc>
          <w:tcPr>
            <w:tcW w:w="206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w:t>
            </w:r>
          </w:p>
        </w:tc>
        <w:tc>
          <w:tcPr>
            <w:tcW w:w="212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development</w:t>
            </w:r>
          </w:p>
        </w:tc>
        <w:tc>
          <w:tcPr>
            <w:tcW w:w="21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920 targets, 17 T1105 positives</w:t>
            </w:r>
          </w:p>
        </w:tc>
        <w:tc>
          <w:tcPr>
            <w:tcW w:w="22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Annotation-onset proxies; negatives are other techniques</w:t>
            </w:r>
          </w:p>
        </w:tc>
      </w:tr>
      <w:tr>
        <w:trPr>
          <w:cantSplit/>
        </w:trPr>
        <w:tc>
          <w:tcPr>
            <w:tcW w:w="206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CAM-LDS</w:t>
            </w:r>
          </w:p>
        </w:tc>
        <w:tc>
          <w:tcPr>
            <w:tcW w:w="212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transfer</w:t>
            </w:r>
          </w:p>
        </w:tc>
        <w:tc>
          <w:tcPr>
            <w:tcW w:w="218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4,209 targets, 100 T1105 positives</w:t>
            </w:r>
          </w:p>
        </w:tc>
        <w:tc>
          <w:tcPr>
            <w:tcW w:w="22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Labeled interval proxies; distinct decision unit</w:t>
            </w:r>
          </w:p>
        </w:tc>
      </w:tr>
    </w:tbl>
    <w:p>
      <w:pPr>
        <w:pStyle w:val="Normal"/>
        <w:spacing w:lineRule="auto" w:line="60" w:before="0" w:after="40"/>
        <w:rPr/>
      </w:pPr>
      <w:r>
        <w:rPr/>
      </w:r>
    </w:p>
    <w:p>
      <w:pPr>
        <w:pStyle w:val="Heading3"/>
        <w:rPr/>
      </w:pPr>
      <w:r>
        <w:rPr>
          <w:rFonts w:ascii="Times New Roman" w:hAnsi="Times New Roman"/>
          <w:b/>
          <w:i w:val="false"/>
        </w:rPr>
        <w:t>3.3.2 Primary corpus: UNRAVELED</w:t>
      </w:r>
    </w:p>
    <w:p>
      <w:pPr>
        <w:pStyle w:val="Normal"/>
        <w:rPr/>
      </w:pPr>
      <w:r>
        <w:rPr>
          <w:b w:val="false"/>
          <w:i w:val="false"/>
        </w:rPr>
        <w:t xml:space="preserve">UNRAVELED is the semi-synthetic APT corpus of Myneni et al. (2023), published in </w:t>
      </w:r>
      <w:r>
        <w:rPr>
          <w:b w:val="false"/>
          <w:i/>
        </w:rPr>
        <w:t>Computer Networks</w:t>
      </w:r>
      <w:r>
        <w:rPr>
          <w:b w:val="false"/>
          <w:i w:val="false"/>
        </w:rPr>
        <w:t xml:space="preserve">. The pinned author release is the UNRAVELED repository, commit </w:t>
      </w:r>
      <w:r>
        <w:rPr>
          <w:rFonts w:ascii="Consolas" w:hAnsi="Consolas"/>
          <w:b w:val="false"/>
          <w:i w:val="false"/>
          <w:sz w:val="20"/>
        </w:rPr>
        <w:t>d2ea90055d82fa448ab20588a13e3ec8bfd74816</w:t>
      </w:r>
      <w:r>
        <w:rPr>
          <w:b w:val="false"/>
          <w:i w:val="false"/>
        </w:rPr>
        <w:t xml:space="preserve">. The upstream inventory records 173 network-flow files, 31 capture directories, and 6,877,157 rows. The historical controlled experiments use a fixed subset of eleven complete locally available </w:t>
      </w:r>
      <w:r>
        <w:rPr>
          <w:rFonts w:ascii="Consolas" w:hAnsi="Consolas"/>
          <w:b w:val="false"/>
          <w:i w:val="false"/>
          <w:sz w:val="20"/>
        </w:rPr>
        <w:t>net1013x</w:t>
      </w:r>
      <w:r>
        <w:rPr>
          <w:b w:val="false"/>
          <w:i w:val="false"/>
        </w:rPr>
        <w:t xml:space="preserve"> IT-sensor capture files, not all source traffic and not eleven independent attacks. Using a single sensor avoids indiscriminately pooling overlapping gateway/subnet observations. It does not establish complete visibility of the network.</w:t>
      </w:r>
    </w:p>
    <w:p>
      <w:pPr>
        <w:pStyle w:val="Normal"/>
        <w:rPr/>
      </w:pPr>
      <w:r>
        <w:rPr>
          <w:b w:val="false"/>
          <w:i w:val="false"/>
        </w:rPr>
        <w:t xml:space="preserve">The 382,229-row prepared artifact is bound by SHA-256 </w:t>
      </w:r>
      <w:r>
        <w:rPr>
          <w:rFonts w:ascii="Consolas" w:hAnsi="Consolas"/>
          <w:b w:val="false"/>
          <w:i w:val="false"/>
          <w:sz w:val="20"/>
        </w:rPr>
        <w:t>b2a491474e722f4dabcd4c419c83a4a6b49f08dfc3bc059aa42ef2aaa4c3de14</w:t>
      </w:r>
      <w:r>
        <w:rPr>
          <w:b w:val="false"/>
          <w:i w:val="false"/>
        </w:rPr>
        <w:t>. It was already examined in prior development. Captures 0-4 provide earlier fitting data, capture 5 is the original calibration partition, and captures 6-10 provide later evaluation. All history entries finish before the corresponding current flow begins. Current features describe completed flows, so the model decision is not an early forecast.</w:t>
      </w:r>
    </w:p>
    <w:p>
      <w:pPr>
        <w:pStyle w:val="GWUTableCaption"/>
        <w:rPr/>
      </w:pPr>
      <w:bookmarkStart w:id="27" w:name="__RefHeading___Toc25959_2336213107"/>
      <w:bookmarkEnd w:id="27"/>
      <w:r>
        <w:rPr>
          <w:b w:val="false"/>
          <w:i w:val="false"/>
        </w:rPr>
        <w:t>Table 3-3. UNRAVELED class support by partition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81"/>
        <w:gridCol w:w="1640"/>
        <w:gridCol w:w="1640"/>
        <w:gridCol w:w="1639"/>
        <w:gridCol w:w="1640"/>
      </w:tblGrid>
      <w:tr>
        <w:trPr>
          <w:tblHeader w:val="true"/>
          <w:cantSplit/>
        </w:trPr>
        <w:tc>
          <w:tcPr>
            <w:tcW w:w="208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Partition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 stage</w:t>
            </w:r>
          </w:p>
        </w:tc>
        <w:tc>
          <w:tcPr>
            <w:tcW w:w="16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label</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 label</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fitting pool</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147,087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8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calibration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2,659</w:t>
            </w:r>
          </w:p>
        </w:tc>
        <w:tc>
          <w:tcPr>
            <w:tcW w:w="16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1,331</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Later evaluation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192,193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12,424</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3,442</w:t>
            </w:r>
          </w:p>
        </w:tc>
      </w:tr>
      <w:tr>
        <w:trPr>
          <w:cantSplit/>
        </w:trPr>
        <w:tc>
          <w:tcPr>
            <w:tcW w:w="208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temporal anchor, a subset of later evaluation</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96,098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6,213</w:t>
            </w:r>
          </w:p>
        </w:tc>
        <w:tc>
          <w:tcPr>
            <w:tcW w:w="16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1,722</w:t>
            </w:r>
          </w:p>
        </w:tc>
      </w:tr>
    </w:tbl>
    <w:p>
      <w:pPr>
        <w:pStyle w:val="Normal"/>
        <w:spacing w:lineRule="auto" w:line="60" w:before="0" w:after="40"/>
        <w:rPr/>
      </w:pPr>
      <w:r>
        <w:rPr/>
      </w:r>
    </w:p>
    <w:p>
      <w:pPr>
        <w:pStyle w:val="Normal"/>
        <w:rPr/>
      </w:pPr>
      <w:r>
        <w:rPr>
          <w:b w:val="false"/>
          <w:i w:val="false"/>
        </w:rPr>
        <w:t>The original calibration partition contains no movement examples and cannot calibrate movement recall. The fixed temporal anchor totals 104,051 rows. The temporal study's conventional random comparison has a different 210,226-row population, including 191,515 benign, 15,095 other-stage, 34 movement, and 3,582 exfiltration labels. These denominators must not be substituted for the fixed-anchor denominators.</w:t>
      </w:r>
    </w:p>
    <w:p>
      <w:pPr>
        <w:pStyle w:val="Heading3"/>
        <w:rPr/>
      </w:pPr>
      <w:r>
        <w:rPr>
          <w:rFonts w:ascii="Times New Roman" w:hAnsi="Times New Roman"/>
          <w:b/>
          <w:i w:val="false"/>
        </w:rPr>
        <w:t>3.3.3 Source parsing and target mapping</w:t>
      </w:r>
    </w:p>
    <w:p>
      <w:pPr>
        <w:pStyle w:val="Normal"/>
        <w:rPr/>
      </w:pPr>
      <w:r>
        <w:rPr>
          <w:b w:val="false"/>
          <w:i w:val="false"/>
        </w:rPr>
        <w:t>The upstream preparation found unquoted commas in descriptive DPI fields of the source CSVs. It recovered the four annotation fields from the right end of each row, preserving the stable numeric prefix and excluding the ambiguous text region. This correction preceded the studied fits. A fixed-position parser would have interpreted some descriptive values as spurious stages. The raw source files and prior frozen artifacts were not rewritten.</w:t>
      </w:r>
    </w:p>
    <w:p>
      <w:pPr>
        <w:pStyle w:val="Normal"/>
        <w:rPr/>
      </w:pPr>
      <w:r>
        <w:rPr>
          <w:b w:val="false"/>
          <w:i w:val="false"/>
        </w:rPr>
        <w:t>The models use a declared four-class target: Benign, OtherAttackStage, LateralMovement, and DataExfiltration. The mapping combines source Reconnaissance, Establish Foothold, and Cover up labels into OtherAttackStage; it does not claim that the source has only four native stages. In the selected eleven captures, the other-stage rows consist of foothold and cover-up annotations. The mapping and full native-source inventory remain in the upstream qualification artifacts.</w:t>
      </w:r>
    </w:p>
    <w:p>
      <w:pPr>
        <w:pStyle w:val="Normal"/>
        <w:rPr/>
      </w:pPr>
      <w:r>
        <w:rPr>
          <w:b w:val="false"/>
          <w:i w:val="false"/>
        </w:rPr>
        <w:t xml:space="preserve">For this sensor, the movement activity is </w:t>
      </w:r>
      <w:r>
        <w:rPr>
          <w:b/>
          <w:i w:val="false"/>
        </w:rPr>
        <w:t>Remote System Discovery on one directed host pair</w:t>
      </w:r>
      <w:r>
        <w:rPr>
          <w:b w:val="false"/>
          <w:i w:val="false"/>
        </w:rPr>
        <w:t>. Those labels do not establish successful remote login, compromise, or movement to a new host. The exfiltration class is also the author's stage annotation, not independently verified stolen-file receipt. Annotation fields, including Stage, Activity, DefenderResponse, and Signature, are prohibited as predictors. In particular, a DefenderResponse value of Benign is not the traffic's true benign label.</w:t>
      </w:r>
    </w:p>
    <w:p>
      <w:pPr>
        <w:pStyle w:val="Heading3"/>
        <w:rPr/>
      </w:pPr>
      <w:r>
        <w:rPr>
          <w:rFonts w:ascii="Times New Roman" w:hAnsi="Times New Roman"/>
          <w:b/>
          <w:i w:val="false"/>
        </w:rPr>
        <w:t>3.3.4 Prepared feature groups</w:t>
      </w:r>
    </w:p>
    <w:p>
      <w:pPr>
        <w:pStyle w:val="GWUTableCaption"/>
        <w:rPr/>
      </w:pPr>
      <w:bookmarkStart w:id="28" w:name="__RefHeading___Toc25957_2336213107"/>
      <w:bookmarkEnd w:id="28"/>
      <w:r>
        <w:rPr>
          <w:b w:val="false"/>
          <w:i w:val="false"/>
        </w:rPr>
        <w:t>Table 3-4. Prepared features and availability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05"/>
        <w:gridCol w:w="3027"/>
        <w:gridCol w:w="3008"/>
      </w:tblGrid>
      <w:tr>
        <w:trPr>
          <w:tblHeader w:val="true"/>
          <w:cantSplit/>
        </w:trPr>
        <w:tc>
          <w:tcPr>
            <w:tcW w:w="260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group</w:t>
            </w:r>
          </w:p>
        </w:tc>
        <w:tc>
          <w:tcPr>
            <w:tcW w:w="3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Actual representation</w:t>
            </w:r>
          </w:p>
        </w:tc>
        <w:tc>
          <w:tcPr>
            <w:tcW w:w="30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Availability and excluded information</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completed flow</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Numeric duration, packet/byte counts, packet-size and inter-arrival summaries, TCP flag counts; three destination-service indicators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Full-flow measurements; no literal host identities, absolute dates, capture names, or annotation columns</w:t>
            </w:r>
          </w:p>
        </w:tc>
      </w:tr>
      <w:tr>
        <w:trPr>
          <w:cantSplit/>
        </w:trPr>
        <w:tc>
          <w:tcPr>
            <w:tcW w:w="260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Coarse endpoint roles</w:t>
            </w:r>
          </w:p>
        </w:tc>
        <w:tc>
          <w:tcPr>
            <w:tcW w:w="30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Eight one-hot values: four source categories and four destination categories</w:t>
            </w:r>
          </w:p>
        </w:tc>
        <w:tc>
          <w:tcPr>
            <w:tcW w:w="300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Department, public services, private services, other address; derived from documented static topology</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activity</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Thirty-six summaries: nine state values × source/destination × five/thirty-minute windows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Only previously completed flows, ending strictly before current-flow start</w:t>
            </w:r>
          </w:p>
        </w:tc>
      </w:tr>
      <w:tr>
        <w:trPr>
          <w:cantSplit/>
        </w:trPr>
        <w:tc>
          <w:tcPr>
            <w:tcW w:w="260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Selector availability signals</w:t>
            </w:r>
          </w:p>
        </w:tc>
        <w:tc>
          <w:tcPr>
            <w:tcW w:w="302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Relative history age and declared availability indicators where included in the protocol</w:t>
            </w:r>
          </w:p>
        </w:tc>
        <w:tc>
          <w:tcPr>
            <w:tcW w:w="30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signals; no true stage provided to the deployed selector</w:t>
            </w:r>
          </w:p>
        </w:tc>
      </w:tr>
    </w:tbl>
    <w:p>
      <w:pPr>
        <w:pStyle w:val="Normal"/>
        <w:spacing w:lineRule="auto" w:line="60" w:before="0" w:after="40"/>
        <w:rPr/>
      </w:pPr>
      <w:r>
        <w:rPr/>
      </w:r>
    </w:p>
    <w:p>
      <w:pPr>
        <w:pStyle w:val="Normal"/>
        <w:rPr/>
      </w:pPr>
      <w:r>
        <w:rPr>
          <w:b w:val="false"/>
          <w:i w:val="false"/>
        </w:rPr>
        <w:t xml:space="preserve">The nine history values are logged completed-flow count, transmitted bytes, received bytes, distinct peers, initiated flows, remote-administration flows, internal-peer flows, whether the current peer appeared in the window, and whether the host had appeared previously. Numerical counts use the source's </w:t>
      </w:r>
      <w:r>
        <w:rPr>
          <w:rFonts w:ascii="Consolas" w:hAnsi="Consolas"/>
          <w:b w:val="false"/>
          <w:i w:val="false"/>
          <w:sz w:val="20"/>
        </w:rPr>
        <w:t>log1p</w:t>
      </w:r>
      <w:r>
        <w:rPr>
          <w:b w:val="false"/>
          <w:i w:val="false"/>
        </w:rPr>
        <w:t xml:space="preserve"> transformation. Other address does not automatically mean public Internet, and coarse role is not a verified per-user or per-machine business function. These definitions come from the existing feature preparation and history implementation.</w:t>
      </w:r>
    </w:p>
    <w:p>
      <w:pPr>
        <w:pStyle w:val="Normal"/>
        <w:rPr/>
      </w:pPr>
      <w:r>
        <w:rPr>
          <w:b w:val="false"/>
          <w:i w:val="false"/>
        </w:rPr>
        <w:t>The acquisition experiment treats precomputed role and history summaries as hypothetical information requests. A role lookup costs one simulated unit; history costs two. Delivery and failure schedules are shared across compared policies. This is a test of acquisition decisions under declared assumptions, not measurement of actual sensor costs or latency. Missing, stale, and wrong-host histories are explicit synthetic interventions.</w:t>
      </w:r>
    </w:p>
    <w:p>
      <w:pPr>
        <w:pStyle w:val="Heading3"/>
        <w:rPr/>
      </w:pPr>
      <w:r>
        <w:rPr>
          <w:rFonts w:ascii="Times New Roman" w:hAnsi="Times New Roman"/>
          <w:b/>
          <w:i w:val="false"/>
        </w:rPr>
        <w:t>3.3.5 A real published aggregate example</w:t>
      </w:r>
    </w:p>
    <w:p>
      <w:pPr>
        <w:pStyle w:val="Normal"/>
        <w:rPr/>
      </w:pPr>
      <w:r>
        <w:rPr>
          <w:b w:val="false"/>
          <w:i w:val="false"/>
        </w:rPr>
        <w:t xml:space="preserve">No previously published individual feature-value row was found in the inspected public evidence. An individual flow is therefore not fabricated or presented as though it were observed. The documented schema above shows the actual prepared fields; the following example is an </w:t>
      </w:r>
      <w:r>
        <w:rPr>
          <w:b/>
          <w:i w:val="false"/>
        </w:rPr>
        <w:t>actual aggregate evidence record</w:t>
      </w:r>
      <w:r>
        <w:rPr>
          <w:b w:val="false"/>
          <w:i w:val="false"/>
        </w:rPr>
        <w:t>, with endpoint identities absent.</w:t>
      </w:r>
    </w:p>
    <w:p>
      <w:pPr>
        <w:pStyle w:val="GWUTableCaption"/>
        <w:rPr/>
      </w:pPr>
      <w:bookmarkStart w:id="29" w:name="__RefHeading___Toc25955_2336213107"/>
      <w:bookmarkEnd w:id="29"/>
      <w:r>
        <w:rPr>
          <w:b w:val="false"/>
          <w:i w:val="false"/>
        </w:rPr>
        <w:t>Table 3-5. Published aggregate example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693"/>
        <w:gridCol w:w="3947"/>
      </w:tblGrid>
      <w:tr>
        <w:trPr>
          <w:tblHeader w:val="true"/>
          <w:cantSplit/>
        </w:trPr>
        <w:tc>
          <w:tcPr>
            <w:tcW w:w="46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Field in saved clean evaluation, seed 20260924</w:t>
            </w:r>
          </w:p>
        </w:tc>
        <w:tc>
          <w:tcPr>
            <w:tcW w:w="394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Recorded value</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Model arm</w:t>
            </w:r>
          </w:p>
        </w:tc>
        <w:tc>
          <w:tcPr>
            <w:tcW w:w="394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flow plus roles</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capture group</w:t>
            </w:r>
          </w:p>
        </w:tc>
        <w:tc>
          <w:tcPr>
            <w:tcW w:w="394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Total flow records</w:t>
            </w:r>
          </w:p>
        </w:tc>
        <w:tc>
          <w:tcPr>
            <w:tcW w:w="394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70,451</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True-class counts: benign / other / movement / exfiltration</w:t>
            </w:r>
          </w:p>
        </w:tc>
        <w:tc>
          <w:tcPr>
            <w:tcW w:w="394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62,400 / 5,780 / 18 / 2,253</w:t>
            </w:r>
          </w:p>
        </w:tc>
      </w:tr>
      <w:tr>
        <w:trPr>
          <w:cantSplit/>
        </w:trPr>
        <w:tc>
          <w:tcPr>
            <w:tcW w:w="469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label predictions: benign / other / movement / exfiltration</w:t>
            </w:r>
          </w:p>
        </w:tc>
        <w:tc>
          <w:tcPr>
            <w:tcW w:w="394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 / 0 / 15 / 0</w:t>
            </w:r>
          </w:p>
        </w:tc>
      </w:tr>
    </w:tbl>
    <w:p>
      <w:pPr>
        <w:pStyle w:val="Normal"/>
        <w:spacing w:lineRule="auto" w:line="60" w:before="0" w:after="40"/>
        <w:rPr/>
      </w:pPr>
      <w:r>
        <w:rPr/>
      </w:r>
    </w:p>
    <w:p>
      <w:pPr>
        <w:pStyle w:val="Normal"/>
        <w:rPr/>
      </w:pPr>
      <w:r>
        <w:rPr>
          <w:b w:val="false"/>
          <w:i w:val="false"/>
        </w:rPr>
        <w:t xml:space="preserve">This example is copied from the source aggregate in </w:t>
      </w:r>
      <w:r>
        <w:rPr>
          <w:rFonts w:ascii="Consolas" w:hAnsi="Consolas"/>
          <w:b w:val="false"/>
          <w:i w:val="false"/>
          <w:sz w:val="20"/>
        </w:rPr>
        <w:t>PX080</w:t>
      </w:r>
      <w:r>
        <w:rPr>
          <w:b w:val="false"/>
          <w:i w:val="false"/>
        </w:rPr>
        <w:t xml:space="preserve"> and can be independently checked in the bound source snapshot. It illustrates both the denominator and the distinction between exact-stage recognition and a missed warning. It contains no invented feature values or assertion that the eighteen labels represent eighteen independent intrusions.</w:t>
      </w:r>
    </w:p>
    <w:p>
      <w:pPr>
        <w:pStyle w:val="Heading3"/>
        <w:rPr/>
      </w:pPr>
      <w:r>
        <w:rPr>
          <w:rFonts w:ascii="Times New Roman" w:hAnsi="Times New Roman"/>
          <w:b/>
          <w:i w:val="false"/>
        </w:rPr>
        <w:t>3.3.6 Extension artifacts and native stage support</w:t>
      </w:r>
    </w:p>
    <w:p>
      <w:pPr>
        <w:pStyle w:val="Normal"/>
        <w:rPr/>
      </w:pPr>
      <w:r>
        <w:rPr>
          <w:b w:val="false"/>
          <w:i w:val="false"/>
        </w:rPr>
        <w:t>The native-class support chart is reported with the qualification results in Chapter 4.</w:t>
      </w:r>
    </w:p>
    <w:p>
      <w:pPr>
        <w:pStyle w:val="Heading3"/>
        <w:rPr/>
      </w:pPr>
      <w:r>
        <w:rPr>
          <w:rFonts w:ascii="Times New Roman" w:hAnsi="Times New Roman"/>
          <w:b/>
          <w:i w:val="false"/>
        </w:rPr>
        <w:t>3.3.7 SCVIC-APT-2021</w:t>
      </w:r>
    </w:p>
    <w:p>
      <w:pPr>
        <w:pStyle w:val="Normal"/>
        <w:rPr/>
      </w:pPr>
      <w:r>
        <w:rPr>
          <w:b w:val="false"/>
          <w:i w:val="false"/>
        </w:rPr>
        <w:t xml:space="preserve">Liu et al. (2022a) published the benchmark in </w:t>
      </w:r>
      <w:r>
        <w:rPr>
          <w:b w:val="false"/>
          <w:i/>
        </w:rPr>
        <w:t>IEEE Networking Letters</w:t>
      </w:r>
      <w:r>
        <w:rPr>
          <w:b w:val="false"/>
          <w:i w:val="false"/>
        </w:rPr>
        <w:t>, with a separate IEEE DataPort dataset record. The inspected training CSV contains 254,836 NormalTraffic, 73 InitialCompromise, 833 Reconnaissance, 729 LateralMovement, 2,122 Pivoting, and 527 DataExfiltration rows. All six classes remain distinct in qualification.</w:t>
      </w:r>
    </w:p>
    <w:p>
      <w:pPr>
        <w:pStyle w:val="Normal"/>
        <w:rPr/>
      </w:pPr>
      <w:r>
        <w:rPr>
          <w:b w:val="false"/>
          <w:i w:val="false"/>
        </w:rPr>
        <w:t>A recorded-time ordering can be computed, and the necessary all-class start-time support interval is nonempty. Physical chronology remains unresolved: 220 benign rows parse to January 17, 1970; the other rows parse to October 21, 2015; timestamps mix minute and second resolution; and no qualified row-to-execution mapping or author-supported clock correction was found. A cached source page lists a separate test artifact, but its contents and independence were not qualified in the inspected workspace. These findings permit a carefully scoped random/grouped development question, not an unchanged deployment-valid temporal claim.</w:t>
      </w:r>
    </w:p>
    <w:p>
      <w:pPr>
        <w:pStyle w:val="Heading3"/>
        <w:rPr/>
      </w:pPr>
      <w:r>
        <w:rPr>
          <w:rFonts w:ascii="Times New Roman" w:hAnsi="Times New Roman"/>
          <w:b/>
          <w:i w:val="false"/>
        </w:rPr>
        <w:t>3.3.8 DAPT2020</w:t>
      </w:r>
    </w:p>
    <w:p>
      <w:pPr>
        <w:pStyle w:val="Normal"/>
        <w:rPr/>
      </w:pPr>
      <w:r>
        <w:rPr>
          <w:b w:val="false"/>
          <w:i w:val="false"/>
        </w:rPr>
        <w:t>Myneni et al. (2020) describe DAPT2020 as a benchmark for advanced persistent threats. The inspected ten CSVs cover five capture dates and contain 63,712 benign, 11,909 reconnaissance, 8,604 foothold, 2,451 movement, and fifteen exfiltration labels. Ten files are collection units within an attack progression, not ten campaigns.</w:t>
      </w:r>
    </w:p>
    <w:p>
      <w:pPr>
        <w:pStyle w:val="Normal"/>
        <w:rPr/>
      </w:pPr>
      <w:r>
        <w:rPr>
          <w:b w:val="false"/>
          <w:i w:val="false"/>
        </w:rPr>
        <w:t>The necessary single-cutoff support test requires at least two earlier fitting rows and one later evaluation row for every native class. The cutoff must exceed each class's second-earliest start and be no later than every class's latest start. The resulting lower bound is July 19, 2019 at 16:38:37, imposed by exfiltration; the upper bound is July 17 at 19:24:55, imposed by reconnaissance. The interval is empty. Thus no single cutoff satisfies that stated all-class rule on these bytes. Completed-flow availability and duplicate controls can only make the rule more restrictive.</w:t>
      </w:r>
    </w:p>
    <w:p>
      <w:pPr>
        <w:pStyle w:val="Normal"/>
        <w:rPr/>
      </w:pPr>
      <w:r>
        <w:rPr>
          <w:b w:val="false"/>
          <w:i w:val="false"/>
        </w:rPr>
        <w:t>This is a precise support result, not a failed detector or a judgment that DAPT is unusable. Different questions, such as unknown-stage recognition or stage-duration/survival analysis, require different protocols. The benchmark can remain useful for those tasks without meeting this paper's closed-set chronological requirement.</w:t>
      </w:r>
    </w:p>
    <w:p>
      <w:pPr>
        <w:pStyle w:val="Heading3"/>
        <w:rPr/>
      </w:pPr>
      <w:r>
        <w:rPr>
          <w:rFonts w:ascii="Times New Roman" w:hAnsi="Times New Roman"/>
          <w:b/>
          <w:i w:val="false"/>
        </w:rPr>
        <w:t>3.3.9 DSRL-APT-2023</w:t>
      </w:r>
    </w:p>
    <w:p>
      <w:pPr>
        <w:pStyle w:val="Normal"/>
        <w:rPr/>
      </w:pPr>
      <w:r>
        <w:rPr>
          <w:b w:val="false"/>
          <w:i w:val="false"/>
        </w:rPr>
        <w:t>Shadabfar et al. (2025) describe DSRL as a synthetic dataset. The inspected file has 10,000 benign, 14,366 reconnaissance, 22,968 foothold, 12,664 movement, and 5,002 exfiltration rows. The publisher paper's Section 5 states that the attack generation was trained on DAPT2020 and that the benign rows were sampled from DAPT. A generated timestamp is not evidence of an observed campaign clock, and the release has no qualified execution or generator-realization grouping. DSRL can support a declared synthetic-development question; it cannot serve as independent confirmation of its parent simply by being a different file.</w:t>
      </w:r>
    </w:p>
    <w:p>
      <w:pPr>
        <w:pStyle w:val="Heading3"/>
        <w:rPr/>
      </w:pPr>
      <w:r>
        <w:rPr>
          <w:rFonts w:ascii="Times New Roman" w:hAnsi="Times New Roman"/>
          <w:b/>
          <w:i w:val="false"/>
        </w:rPr>
        <w:t>3.3.10 S-DAPT-2026</w:t>
      </w:r>
    </w:p>
    <w:p>
      <w:pPr>
        <w:pStyle w:val="Normal"/>
        <w:rPr/>
      </w:pPr>
      <w:r>
        <w:rPr>
          <w:b w:val="false"/>
          <w:i w:val="false"/>
        </w:rPr>
        <w:t>The inspected arXiv version of Tijjani et al. (2026) was withdrawn on April 1, 2026. The source audit did not acquire a corrected, qualified dataset or generator release. A later posting was noted, but corrected data access, source lineage, clock semantics, and dataset rights remained unverified. Consequently there is no measured row count, fitted result, or ROC-AUC for S-DAPT in this work. The finding is bounded to inspected sources; it is not proof that no usable artifact exists anywhere.</w:t>
      </w:r>
    </w:p>
    <w:p>
      <w:pPr>
        <w:pStyle w:val="Heading3"/>
        <w:rPr/>
      </w:pPr>
      <w:r>
        <w:rPr>
          <w:rFonts w:ascii="Times New Roman" w:hAnsi="Times New Roman"/>
          <w:b/>
          <w:i w:val="false"/>
        </w:rPr>
        <w:t>3.3.11 Secondary technique datasets</w:t>
      </w:r>
    </w:p>
    <w:p>
      <w:pPr>
        <w:pStyle w:val="Normal"/>
        <w:rPr/>
      </w:pPr>
      <w:r>
        <w:rPr>
          <w:b w:val="false"/>
          <w:i w:val="false"/>
        </w:rPr>
        <w:t>CasinoLimit was published by Kilian et al. (2025) at RAID; CAM-LDS has a 2026 journal version by Landauer et al. Both supply additional log-based context for the secondary T1105 experiment, but neither changes the primary UNRAVELED estimand by being listed alongside it.</w:t>
      </w:r>
    </w:p>
    <w:p>
      <w:pPr>
        <w:pStyle w:val="Normal"/>
        <w:rPr/>
      </w:pPr>
      <w:r>
        <w:rPr>
          <w:b w:val="false"/>
          <w:i w:val="false"/>
        </w:rPr>
        <w:t>CasinoLimit selector development uses 1,494 clean-calibration targets, including 87 T1105 positives, across eighteen runs. Evaluation uses 920 targets with seventeen positives across eighteen runs. CAM-LDS evaluation uses 4,209 targets with 100 positives across eighteen runs from one held-out family. The small CAM-LDS calibration set of 68 targets/eight positives is not used to fit or tune the transferred selectors. The underlying source-specific classifiers remain unchanged.</w:t>
      </w:r>
    </w:p>
    <w:p>
      <w:pPr>
        <w:pStyle w:val="Normal"/>
        <w:rPr/>
      </w:pPr>
      <w:r>
        <w:rPr>
          <w:b w:val="false"/>
          <w:i w:val="false"/>
        </w:rPr>
        <w:t>CasinoLimit targets are annotation-onset proxies; CAM-LDS targets are labeled interval-state proxies. Negative targets are other author techniques, not verified benign activity. The project had already examined both datasets. Thus this supplement provides previously exposed score-policy transfer evidence, not an untouched independent replication of exfiltration detection, a common-unit pooled accuracy, or a legitimate-background false-positive rate.</w:t>
      </w:r>
    </w:p>
    <w:p>
      <w:pPr>
        <w:pStyle w:val="Heading3"/>
        <w:rPr/>
      </w:pPr>
      <w:r>
        <w:rPr>
          <w:rFonts w:ascii="Times New Roman" w:hAnsi="Times New Roman"/>
          <w:b/>
          <w:i w:val="false"/>
        </w:rPr>
        <w:t>3.3.12 Source references and reproduction materials</w:t>
      </w:r>
    </w:p>
    <w:p>
      <w:pPr>
        <w:pStyle w:val="Normal"/>
        <w:rPr/>
      </w:pPr>
      <w:r>
        <w:rPr>
          <w:b w:val="false"/>
          <w:i w:val="false"/>
        </w:rPr>
        <w:t>Dataset citations and verified publication status are supplied in REFERENCES.json. Complete native counts appear in native_class_counts.csv; source qualification and exact cutoff bounds are preserved in the source snapshots. The source manifest binds the publication inputs. Raw network/host traces and private row-linked predictions are not redistributed by this publication assembly.</w:t>
      </w:r>
    </w:p>
    <w:p>
      <w:pPr>
        <w:pStyle w:val="Normal"/>
        <w:rPr/>
      </w:pPr>
      <w:r>
        <w:rPr>
          <w:b w:val="false"/>
          <w:i w:val="false"/>
        </w:rPr>
        <w:t>The completed scope is therefore explicit: one primary flow-stage measurement campaign, two secondary technique datasets with a different target, and four documented extension-qualification decisions. More files, fitting seeds, or synthetic rows do not independently broaden the number of real attack executions represented by a result.</w:t>
      </w:r>
    </w:p>
    <w:p>
      <w:pPr>
        <w:pStyle w:val="Heading2"/>
        <w:rPr/>
      </w:pPr>
      <w:bookmarkStart w:id="30" w:name="__RefHeading___Toc25717_2336213107"/>
      <w:bookmarkEnd w:id="30"/>
      <w:r>
        <w:rPr>
          <w:rFonts w:ascii="Times New Roman" w:hAnsi="Times New Roman"/>
          <w:b/>
          <w:i w:val="false"/>
        </w:rPr>
        <w:t>3.4 Evaluation Anchor and Temporal Controls</w:t>
      </w:r>
    </w:p>
    <w:p>
      <w:pPr>
        <w:pStyle w:val="Normal"/>
        <w:rPr/>
      </w:pPr>
      <w:r>
        <w:rPr>
          <w:b w:val="false"/>
          <w:i w:val="false"/>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pStyle w:val="Normal"/>
        <w:rPr/>
      </w:pPr>
      <w:r>
        <w:rPr>
          <w:b w:val="false"/>
          <w:i w:val="false"/>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Normal"/>
        <w:rPr/>
      </w:pPr>
      <w:r>
        <w:rPr>
          <w:b w:val="false"/>
          <w:i w:val="false"/>
        </w:rPr>
        <w:t>The temporal experiment uses fixed LightGBM models with 200 boosting iterations, at most 15 leaves per tree, learning rate 0.05, minimum child samples 10, L2 regularization 1, and two CPU threads. Fitting seeds are 20260923, 20260924, and 20260925. Each seed evaluates current features and current-plus-history features.</w:t>
      </w:r>
    </w:p>
    <w:p>
      <w:pPr>
        <w:pStyle w:val="Normal"/>
        <w:rPr/>
      </w:pPr>
      <w:r>
        <w:rPr>
          <w:b w:val="false"/>
          <w:i w:val="false"/>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pStyle w:val="Normal"/>
        <w:rPr/>
      </w:pPr>
      <w:r>
        <w:rPr>
          <w:b w:val="false"/>
          <w:i w:val="false"/>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pStyle w:val="Normal"/>
        <w:rPr/>
      </w:pPr>
      <w:r>
        <w:rPr>
          <w:b w:val="false"/>
          <w:i w:val="false"/>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rPr/>
      </w:pPr>
      <w:bookmarkStart w:id="31" w:name="__RefHeading___Toc25719_2336213107"/>
      <w:bookmarkEnd w:id="31"/>
      <w:r>
        <w:rPr>
          <w:rFonts w:ascii="Times New Roman" w:hAnsi="Times New Roman"/>
          <w:b/>
          <w:i w:val="false"/>
        </w:rPr>
        <w:t>3.5 Historical-Evidence and Acquisition Interventions</w:t>
      </w:r>
    </w:p>
    <w:p>
      <w:pPr>
        <w:pStyle w:val="Normal"/>
        <w:rPr/>
      </w:pPr>
      <w:r>
        <w:rPr>
          <w:b w:val="false"/>
          <w:i w:val="false"/>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pStyle w:val="Normal"/>
        <w:rPr/>
      </w:pPr>
      <w:r>
        <w:rPr>
          <w:b w:val="false"/>
          <w:i w:val="false"/>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selector-target weights are illustrative priorities, not a literature-derived loss ratio.</w:t>
      </w:r>
    </w:p>
    <w:p>
      <w:pPr>
        <w:pStyle w:val="Normal"/>
        <w:rPr/>
      </w:pPr>
      <w:r>
        <w:rPr>
          <w:b w:val="false"/>
          <w:i w:val="false"/>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pStyle w:val="Normal"/>
        <w:rPr/>
      </w:pPr>
      <w:r>
        <w:rPr>
          <w:b w:val="false"/>
          <w:i w:val="false"/>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pStyle w:val="Normal"/>
        <w:rPr/>
      </w:pPr>
      <w:r>
        <w:rPr>
          <w:b w:val="false"/>
          <w:i w:val="false"/>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rPr/>
      </w:pPr>
      <w:bookmarkStart w:id="32" w:name="__RefHeading___Toc25721_2336213107"/>
      <w:bookmarkEnd w:id="32"/>
      <w:r>
        <w:rPr>
          <w:rFonts w:ascii="Times New Roman" w:hAnsi="Times New Roman"/>
          <w:b/>
          <w:i w:val="false"/>
        </w:rPr>
        <w:t>3.6 Implemented Models and Mathematical Summary</w:t>
      </w:r>
    </w:p>
    <w:p>
      <w:pPr>
        <w:pStyle w:val="Normal"/>
        <w:rPr/>
      </w:pPr>
      <w:r>
        <w:rPr>
          <w:b/>
          <w:i w:val="false"/>
        </w:rPr>
        <w:t>Implementation audit: September 24, 2026.</w:t>
      </w:r>
      <w:r>
        <w:rPr>
          <w:b w:val="false"/>
          <w:i w:val="false"/>
        </w:rPr>
        <w:t xml:space="preserve"> This material describes the frozen PX080-PX083 implementations and their saved artifacts. It does not report new fitting or attribute proposed architectures to completed experiments. The accompanying machine-readable inventory binds source hashes and records configuration details, retained estimator metadata and model counts.</w:t>
      </w:r>
    </w:p>
    <w:p>
      <w:pPr>
        <w:pStyle w:val="Heading3"/>
        <w:rPr/>
      </w:pPr>
      <w:r>
        <w:rPr>
          <w:rFonts w:ascii="Times New Roman" w:hAnsi="Times New Roman"/>
          <w:b/>
          <w:i w:val="false"/>
        </w:rPr>
        <w:t>3.6.1 What the models do, in ordinary language</w:t>
      </w:r>
    </w:p>
    <w:p>
      <w:pPr>
        <w:pStyle w:val="Normal"/>
        <w:rPr/>
      </w:pPr>
      <w:r>
        <w:rPr>
          <w:b w:val="false"/>
          <w:i w:val="false"/>
        </w:rPr>
        <w:t>The main classifier is a collection of small decision trees. Each new set of trees improves on the scores already produced. One expert sees the current flow; another can also see summaries of earlier activity. A selector learns which expert is less likely to make a stage mistake. A separate acquisition policy estimates whether asking for another evidence group is worth its simulated cost. The chronological experiment changes the training population while keeping the classifier configuration fixed.</w:t>
      </w:r>
    </w:p>
    <w:p>
      <w:pPr>
        <w:pStyle w:val="Normal"/>
        <w:rPr/>
      </w:pPr>
      <w:r>
        <w:rPr>
          <w:b w:val="false"/>
          <w:i w:val="false"/>
        </w:rPr>
        <w:t xml:space="preserve">The three main experiments fitted </w:t>
      </w:r>
      <w:r>
        <w:rPr>
          <w:b/>
          <w:i w:val="false"/>
        </w:rPr>
        <w:t>141 LightGBM estimators: 111 multiclass classifiers and 30 regressors</w:t>
      </w:r>
      <w:r>
        <w:rPr>
          <w:b w:val="false"/>
          <w:i w:val="false"/>
        </w:rPr>
        <w:t xml:space="preserve">. These are repeated model fits for cross-fitting, controls and seeds, not 141 different architectures. The supplementary T1105 study fitted </w:t>
      </w:r>
      <w:r>
        <w:rPr>
          <w:b/>
          <w:i w:val="false"/>
        </w:rPr>
        <w:t>two Ridge regressors</w:t>
      </w:r>
      <w:r>
        <w:rPr>
          <w:b w:val="false"/>
          <w:i w:val="false"/>
        </w:rPr>
        <w:t xml:space="preserve"> and reused previously fitted binary logistic classifiers. Thus the batch contains </w:t>
      </w:r>
      <w:r>
        <w:rPr>
          <w:b/>
          <w:i w:val="false"/>
        </w:rPr>
        <w:t>143 new fits</w:t>
      </w:r>
      <w:r>
        <w:rPr>
          <w:b w:val="false"/>
          <w:i w:val="false"/>
        </w:rPr>
        <w:t>, while the T1105 models address a different target from the four-class flow experiments.</w:t>
      </w:r>
    </w:p>
    <w:p>
      <w:pPr>
        <w:pStyle w:val="GWUTableCaption"/>
        <w:rPr/>
      </w:pPr>
      <w:bookmarkStart w:id="33" w:name="__RefHeading___Toc25953_2336213107"/>
      <w:bookmarkEnd w:id="33"/>
      <w:r>
        <w:rPr>
          <w:b w:val="false"/>
          <w:i w:val="false"/>
        </w:rPr>
        <w:t>Table 3-6. Completed model-fitting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44"/>
        <w:gridCol w:w="1939"/>
        <w:gridCol w:w="1939"/>
        <w:gridCol w:w="2518"/>
      </w:tblGrid>
      <w:tr>
        <w:trPr>
          <w:tblHeader w:val="true"/>
          <w:cantSplit/>
        </w:trPr>
        <w:tc>
          <w:tcPr>
            <w:tcW w:w="22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Classifier fits</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Regressor fits</w:t>
            </w:r>
          </w:p>
        </w:tc>
        <w:tc>
          <w:tcPr>
            <w:tcW w:w="25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Derivation</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choose whether to use history</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eight forward-fold experts, two final experts, one augmented expert and two selectors; three seeds</w:t>
            </w:r>
          </w:p>
        </w:tc>
      </w:tr>
      <w:tr>
        <w:trPr>
          <w:cantSplit/>
        </w:trPr>
        <w:tc>
          <w:tcPr>
            <w:tcW w:w="22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choose which evidence to request</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25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sixteen forward-fold subset experts, four final experts and eight transition regressors; three seeds</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compare training composition</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 seeds × two feature views × three training/evaluation protocols</w:t>
            </w:r>
          </w:p>
        </w:tc>
      </w:tr>
      <w:tr>
        <w:trPr>
          <w:cantSplit/>
        </w:trPr>
        <w:tc>
          <w:tcPr>
            <w:tcW w:w="22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PX083: supplementary score-policy transfer</w:t>
            </w:r>
          </w:p>
        </w:tc>
        <w:tc>
          <w:tcPr>
            <w:tcW w:w="19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new</w:t>
            </w:r>
          </w:p>
        </w:tc>
        <w:tc>
          <w:tcPr>
            <w:tcW w:w="19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251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ordinary and one target-cost Ridge selector; six existing T1105 classifier controls reused across two datasets</w:t>
            </w:r>
          </w:p>
        </w:tc>
      </w:tr>
    </w:tbl>
    <w:p>
      <w:pPr>
        <w:pStyle w:val="Normal"/>
        <w:spacing w:lineRule="auto" w:line="60" w:before="0" w:after="40"/>
        <w:rPr/>
      </w:pPr>
      <w:r>
        <w:rPr/>
      </w:r>
    </w:p>
    <w:p>
      <w:pPr>
        <w:pStyle w:val="Normal"/>
        <w:rPr/>
      </w:pPr>
      <w:r>
        <w:rPr>
          <w:b w:val="false"/>
          <w:i w:val="false"/>
        </w:rPr>
        <w:t xml:space="preserve">Counts are verified against PX080 completion, PX081 receipt, PX082 completion, and PX083 completion. The four evaluation classes in the main experiments are the prepared grouping Benign, OtherAttackStage, LateralMovement and DataExfiltration. They are </w:t>
      </w:r>
      <w:r>
        <w:rPr>
          <w:b/>
          <w:i w:val="false"/>
        </w:rPr>
        <w:t>declared evaluation classes</w:t>
      </w:r>
      <w:r>
        <w:rPr>
          <w:b w:val="false"/>
          <w:i w:val="false"/>
        </w:rPr>
        <w:t>, not a universal native taxonomy. Movement in the inspected sensor represents author Remote System Discovery progress, not independently verified successful movement.</w:t>
      </w:r>
    </w:p>
    <w:p>
      <w:pPr>
        <w:pStyle w:val="Heading3"/>
        <w:rPr/>
      </w:pPr>
      <w:r>
        <w:rPr>
          <w:rFonts w:ascii="Times New Roman" w:hAnsi="Times New Roman"/>
          <w:b/>
          <w:i w:val="false"/>
        </w:rPr>
        <w:t>3.6.2 LightGBM multiclass experts</w:t>
      </w:r>
    </w:p>
    <w:p>
      <w:pPr>
        <w:pStyle w:val="Heading3"/>
        <w:rPr/>
      </w:pPr>
      <w:r>
        <w:rPr>
          <w:rFonts w:ascii="Times New Roman" w:hAnsi="Times New Roman"/>
          <w:b/>
          <w:i w:val="false"/>
        </w:rPr>
        <w:t>3.6.3 Simple explanation</w:t>
      </w:r>
    </w:p>
    <w:p>
      <w:pPr>
        <w:pStyle w:val="Normal"/>
        <w:rPr/>
      </w:pPr>
      <w:r>
        <w:rPr>
          <w:b w:val="false"/>
          <w:i w:val="false"/>
        </w:rPr>
        <w:t>A tree asks a sequence of questions about numeric features, such as a flow size or a count of earlier contacts. Boosting adds trees sequentially to improve the model's scores. LightGBM uses binned feature values and grows a selected leaf at a time; these are library capabilities, not algorithmic inventions in this praxis. The primary algorithm reference is Ke et al. (2017, Section 2.1); implementation details follow the versioned LightGBM developers (n.d.-a) feature documentation.</w:t>
      </w:r>
    </w:p>
    <w:p>
      <w:pPr>
        <w:pStyle w:val="Heading3"/>
        <w:rPr/>
      </w:pPr>
      <w:r>
        <w:rPr>
          <w:rFonts w:ascii="Times New Roman" w:hAnsi="Times New Roman"/>
          <w:b/>
          <w:i w:val="false"/>
        </w:rPr>
        <w:t>3.6.4 Mathematical summary</w:t>
      </w:r>
    </w:p>
    <w:p>
      <w:pPr>
        <w:pStyle w:val="Normal"/>
        <w:keepNext w:val="true"/>
        <w:rPr/>
      </w:pPr>
      <w:r>
        <w:rPr>
          <w:b w:val="false"/>
          <w:i w:val="false"/>
        </w:rPr>
        <w:t>An additive representation of the four class scores and their softmax transformation is:</w:t>
      </w:r>
    </w:p>
    <w:p>
      <w:pPr>
        <w:pStyle w:val="GWUEquation"/>
        <w:keepNext w:val="true"/>
        <w:spacing w:before="120" w:after="160"/>
        <w:jc w:val="center"/>
        <w:rPr/>
      </w:pPr>
      <w:r>
        <w:rPr/>
        <w:drawing>
          <wp:inline distT="0" distB="0" distL="0" distR="0">
            <wp:extent cx="2016125" cy="512445"/>
            <wp:effectExtent l="0" t="0" r="0" b="0"/>
            <wp:docPr id="2" name="Picture 2" descr="F_k(x)=F_{0,k}+\eta\sum_{m=1}^{M}h_{mk}(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_k(x)=F_{0,k}+\eta\sum_{m=1}^{M}h_{mk}(x),"/>
                    <pic:cNvPicPr>
                      <a:picLocks noChangeAspect="1" noChangeArrowheads="1"/>
                    </pic:cNvPicPr>
                  </pic:nvPicPr>
                  <pic:blipFill>
                    <a:blip r:embed="rId6"/>
                    <a:stretch>
                      <a:fillRect/>
                    </a:stretch>
                  </pic:blipFill>
                  <pic:spPr bwMode="auto">
                    <a:xfrm>
                      <a:off x="0" y="0"/>
                      <a:ext cx="2016125" cy="51244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69695" cy="558165"/>
            <wp:effectExtent l="0" t="0" r="0" b="0"/>
            <wp:docPr id="3" name="Picture 3" descr="p_k(x)=\frac{\exp(F_k(x))}{\sum_{j=0}^{3}\exp(F_j(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_k(x)=\frac{\exp(F_k(x))}{\sum_{j=0}^{3}\exp(F_j(x))}."/>
                    <pic:cNvPicPr>
                      <a:picLocks noChangeAspect="1" noChangeArrowheads="1"/>
                    </pic:cNvPicPr>
                  </pic:nvPicPr>
                  <pic:blipFill>
                    <a:blip r:embed="rId7"/>
                    <a:stretch>
                      <a:fillRect/>
                    </a:stretch>
                  </pic:blipFill>
                  <pic:spPr bwMode="auto">
                    <a:xfrm>
                      <a:off x="0" y="0"/>
                      <a:ext cx="1369695" cy="558165"/>
                    </a:xfrm>
                    <a:prstGeom prst="rect">
                      <a:avLst/>
                    </a:prstGeom>
                    <a:noFill/>
                  </pic:spPr>
                </pic:pic>
              </a:graphicData>
            </a:graphic>
          </wp:inline>
        </w:drawing>
      </w:r>
    </w:p>
    <w:p>
      <w:pPr>
        <w:pStyle w:val="Normal"/>
        <w:rPr/>
      </w:pPr>
      <w:r>
        <w:rPr>
          <w:b w:val="false"/>
          <w:i w:val="false"/>
        </w:rPr>
        <w:t>Here, x is the supplied feature vector, h is a class-specific tree contribution, M is the number of boosting iterations, and η is the learning rate.</w:t>
      </w:r>
    </w:p>
    <w:p>
      <w:pPr>
        <w:pStyle w:val="Normal"/>
        <w:keepNext w:val="true"/>
        <w:rPr/>
      </w:pPr>
      <w:r>
        <w:rPr>
          <w:b w:val="false"/>
          <w:i w:val="false"/>
        </w:rPr>
        <w:t>The multiclass data-fit loss and the implemented decision rule are:</w:t>
      </w:r>
    </w:p>
    <w:p>
      <w:pPr>
        <w:pStyle w:val="GWUEquation"/>
        <w:keepNext w:val="true"/>
        <w:spacing w:before="120" w:after="160"/>
        <w:jc w:val="center"/>
        <w:rPr/>
      </w:pPr>
      <w:r>
        <w:rPr/>
        <w:drawing>
          <wp:inline distT="0" distB="0" distL="0" distR="0">
            <wp:extent cx="1664335" cy="478155"/>
            <wp:effectExtent l="0" t="0" r="0" b="0"/>
            <wp:docPr id="4" name="Picture 4" descr="\mathcal L_{\mathrm{CE}}=-\sum_{i=1}^{n}\log p_{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thcal L_{\mathrm{CE}}=-\sum_{i=1}^{n}\log p_{y_i}(x_i),"/>
                    <pic:cNvPicPr>
                      <a:picLocks noChangeAspect="1" noChangeArrowheads="1"/>
                    </pic:cNvPicPr>
                  </pic:nvPicPr>
                  <pic:blipFill>
                    <a:blip r:embed="rId8"/>
                    <a:stretch>
                      <a:fillRect/>
                    </a:stretch>
                  </pic:blipFill>
                  <pic:spPr bwMode="auto">
                    <a:xfrm>
                      <a:off x="0" y="0"/>
                      <a:ext cx="1664335" cy="47815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206625" cy="225425"/>
            <wp:effectExtent l="0" t="0" r="0" b="0"/>
            <wp:docPr id="5" name="Picture 5" descr="\widehat y_i=\operatorname*{arg\,max}_{k\in\{0,1,2,3\}}p_k(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idehat y_i=\operatorname*{arg\,max}_{k\in\{0,1,2,3\}}p_k(x_i)."/>
                    <pic:cNvPicPr>
                      <a:picLocks noChangeAspect="1" noChangeArrowheads="1"/>
                    </pic:cNvPicPr>
                  </pic:nvPicPr>
                  <pic:blipFill>
                    <a:blip r:embed="rId9"/>
                    <a:stretch>
                      <a:fillRect/>
                    </a:stretch>
                  </pic:blipFill>
                  <pic:spPr bwMode="auto">
                    <a:xfrm>
                      <a:off x="0" y="0"/>
                      <a:ext cx="2206625" cy="225425"/>
                    </a:xfrm>
                    <a:prstGeom prst="rect">
                      <a:avLst/>
                    </a:prstGeom>
                    <a:noFill/>
                  </pic:spPr>
                </pic:pic>
              </a:graphicData>
            </a:graphic>
          </wp:inline>
        </w:drawing>
      </w:r>
    </w:p>
    <w:p>
      <w:pPr>
        <w:pStyle w:val="Normal"/>
        <w:rPr/>
      </w:pPr>
      <w:r>
        <w:rPr>
          <w:b w:val="false"/>
          <w:i w:val="false"/>
        </w:rPr>
        <w:t>Here, y is the declared class of fitting example i; the largest class score determines its predicted class, with NumPy argmax selecting the first class in a tie.</w:t>
      </w:r>
    </w:p>
    <w:p>
      <w:pPr>
        <w:pStyle w:val="Normal"/>
        <w:rPr/>
      </w:pPr>
      <w:r>
        <w:rPr>
          <w:b w:val="false"/>
          <w:i w:val="false"/>
        </w:rPr>
        <w:t xml:space="preserve">The equation specifies the data-fit loss; LightGBM's tree-growing procedure and L2 leaf regularization determine the fitted ensemble. The code uses the ordinary </w:t>
      </w:r>
      <w:r>
        <w:rPr>
          <w:rFonts w:ascii="Consolas" w:hAnsi="Consolas"/>
          <w:b w:val="false"/>
          <w:i w:val="false"/>
          <w:sz w:val="20"/>
        </w:rPr>
        <w:t>multiclass</w:t>
      </w:r>
      <w:r>
        <w:rPr>
          <w:b w:val="false"/>
          <w:i w:val="false"/>
        </w:rPr>
        <w:t xml:space="preserve"> objective inferred by </w:t>
      </w:r>
      <w:r>
        <w:rPr>
          <w:rFonts w:ascii="Consolas" w:hAnsi="Consolas"/>
          <w:b w:val="false"/>
          <w:i w:val="false"/>
          <w:sz w:val="20"/>
        </w:rPr>
        <w:t>LGBMClassifier</w:t>
      </w:r>
      <w:r>
        <w:rPr>
          <w:b w:val="false"/>
          <w:i w:val="false"/>
        </w:rPr>
        <w:t xml:space="preserve">, not a custom warning-retention objective. The expert fitting calls do not supply the stage cost vector as class or sample weights. Class-specific sampling caps change the fitting composition; that is different from weighting the classifier's loss. The scores are </w:t>
      </w:r>
      <w:r>
        <w:rPr>
          <w:rFonts w:ascii="Consolas" w:hAnsi="Consolas"/>
          <w:b w:val="false"/>
          <w:i w:val="false"/>
          <w:sz w:val="20"/>
        </w:rPr>
        <w:t>predict_proba</w:t>
      </w:r>
      <w:r>
        <w:rPr>
          <w:b w:val="false"/>
          <w:i w:val="false"/>
        </w:rPr>
        <w:t xml:space="preserve"> outputs, but the main experiments perform no probability calibration. LightGBM developers (n.d.-b), classifier API, </w:t>
      </w:r>
      <w:r>
        <w:rPr>
          <w:rFonts w:ascii="Consolas" w:hAnsi="Consolas"/>
          <w:b w:val="false"/>
          <w:i w:val="false"/>
          <w:sz w:val="20"/>
        </w:rPr>
        <w:t>objective</w:t>
      </w:r>
      <w:r>
        <w:rPr>
          <w:b w:val="false"/>
          <w:i w:val="false"/>
        </w:rPr>
        <w:t xml:space="preserve">, </w:t>
      </w:r>
      <w:r>
        <w:rPr>
          <w:rFonts w:ascii="Consolas" w:hAnsi="Consolas"/>
          <w:b w:val="false"/>
          <w:i w:val="false"/>
          <w:sz w:val="20"/>
        </w:rPr>
        <w:t>class_weight</w:t>
      </w:r>
      <w:r>
        <w:rPr>
          <w:b w:val="false"/>
          <w:i w:val="false"/>
        </w:rPr>
        <w:t xml:space="preserve">, </w:t>
      </w:r>
      <w:r>
        <w:rPr>
          <w:rFonts w:ascii="Consolas" w:hAnsi="Consolas"/>
          <w:b w:val="false"/>
          <w:i w:val="false"/>
          <w:sz w:val="20"/>
        </w:rPr>
        <w:t>reg_lambda</w:t>
      </w:r>
      <w:r>
        <w:rPr>
          <w:b w:val="false"/>
          <w:i w:val="false"/>
        </w:rPr>
        <w:t xml:space="preserve">, </w:t>
      </w:r>
      <w:r>
        <w:rPr>
          <w:rFonts w:ascii="Consolas" w:hAnsi="Consolas"/>
          <w:b w:val="false"/>
          <w:i w:val="false"/>
          <w:sz w:val="20"/>
        </w:rPr>
        <w:t>predict_proba</w:t>
      </w:r>
      <w:r>
        <w:rPr>
          <w:b w:val="false"/>
          <w:i w:val="false"/>
        </w:rPr>
        <w:t>.</w:t>
      </w:r>
    </w:p>
    <w:p>
      <w:pPr>
        <w:pStyle w:val="Heading3"/>
        <w:rPr/>
      </w:pPr>
      <w:r>
        <w:rPr>
          <w:rFonts w:ascii="Times New Roman" w:hAnsi="Times New Roman"/>
          <w:b/>
          <w:i w:val="false"/>
        </w:rPr>
        <w:t>3.6.5 Exact configured settings</w:t>
      </w:r>
    </w:p>
    <w:p>
      <w:pPr>
        <w:pStyle w:val="GWUTableCaption"/>
        <w:rPr/>
      </w:pPr>
      <w:bookmarkStart w:id="34" w:name="__RefHeading___Toc25951_2336213107"/>
      <w:bookmarkEnd w:id="34"/>
      <w:r>
        <w:rPr>
          <w:b w:val="false"/>
          <w:i w:val="false"/>
        </w:rPr>
        <w:t>Table 3-7. Boosting iterations, tree size, and learning rate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Maximum leaves/tree</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Learning rate</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bl>
    <w:p>
      <w:pPr>
        <w:pStyle w:val="Normal"/>
        <w:spacing w:lineRule="auto" w:line="60" w:before="0" w:after="40"/>
        <w:rPr/>
      </w:pPr>
      <w:r>
        <w:rPr/>
      </w:r>
    </w:p>
    <w:p>
      <w:pPr>
        <w:pStyle w:val="GWUTableCaption"/>
        <w:rPr/>
      </w:pPr>
      <w:bookmarkStart w:id="35" w:name="__RefHeading___Toc25949_2336213107"/>
      <w:bookmarkEnd w:id="35"/>
      <w:r>
        <w:rPr>
          <w:b w:val="false"/>
          <w:i w:val="false"/>
        </w:rPr>
        <w:t>Table 3-8. Regularization and execution settings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Minimum child samples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L2 leaf regularization</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CPU threads</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bl>
    <w:p>
      <w:pPr>
        <w:pStyle w:val="Normal"/>
        <w:spacing w:lineRule="auto" w:line="60" w:before="0" w:after="40"/>
        <w:rPr/>
      </w:pPr>
      <w:r>
        <w:rPr/>
      </w:r>
    </w:p>
    <w:p>
      <w:pPr>
        <w:pStyle w:val="Normal"/>
        <w:rPr/>
      </w:pPr>
      <w:r>
        <w:rPr>
          <w:rFonts w:ascii="Consolas" w:hAnsi="Consolas"/>
          <w:b w:val="false"/>
          <w:i w:val="false"/>
          <w:sz w:val="20"/>
        </w:rPr>
        <w:t>n_estimators</w:t>
      </w:r>
      <w:r>
        <w:rPr>
          <w:b w:val="false"/>
          <w:i w:val="false"/>
        </w:rPr>
        <w:t xml:space="preserve"> is a boosting-iteration setting. A four-class LightGBM iteration builds class-specific trees; it is inaccurate to describe 180 multiclass iterations as 180 total trees. Saved PX080 classifiers inspected in this audit have 180 iterations and 720 trees, and the retained PX081 classifiers have 150 iterations and 600 trees. PX082 saved probabilities and receipts, not serialized estimators, so its inventory records configured iterations without asserting an independently inspected final tree count. LightGBM developers (n.d.-d), parameters, </w:t>
      </w:r>
      <w:r>
        <w:rPr>
          <w:rFonts w:ascii="Consolas" w:hAnsi="Consolas"/>
          <w:b w:val="false"/>
          <w:i w:val="false"/>
          <w:sz w:val="20"/>
        </w:rPr>
        <w:t>num_iterations</w:t>
      </w:r>
      <w:r>
        <w:rPr>
          <w:b w:val="false"/>
          <w:i w:val="false"/>
        </w:rPr>
        <w:t>.</w:t>
      </w:r>
    </w:p>
    <w:p>
      <w:pPr>
        <w:pStyle w:val="Normal"/>
        <w:rPr/>
      </w:pPr>
      <w:r>
        <w:rPr>
          <w:b w:val="false"/>
          <w:i w:val="false"/>
        </w:rPr>
        <w:t xml:space="preserve">All these fits use </w:t>
      </w:r>
      <w:r>
        <w:rPr>
          <w:rFonts w:ascii="Consolas" w:hAnsi="Consolas"/>
          <w:b w:val="false"/>
          <w:i w:val="false"/>
          <w:sz w:val="20"/>
        </w:rPr>
        <w:t>boosting_type='gbdt'</w:t>
      </w:r>
      <w:r>
        <w:rPr>
          <w:b w:val="false"/>
          <w:i w:val="false"/>
        </w:rPr>
        <w:t xml:space="preserve">. Common unchanged wrapper defaults include </w:t>
      </w:r>
      <w:r>
        <w:rPr>
          <w:rFonts w:ascii="Consolas" w:hAnsi="Consolas"/>
          <w:b w:val="false"/>
          <w:i w:val="false"/>
          <w:sz w:val="20"/>
        </w:rPr>
        <w:t>max_depth=-1</w:t>
      </w:r>
      <w:r>
        <w:rPr>
          <w:b w:val="false"/>
          <w:i w:val="false"/>
        </w:rPr>
        <w:t xml:space="preserve">, </w:t>
      </w:r>
      <w:r>
        <w:rPr>
          <w:rFonts w:ascii="Consolas" w:hAnsi="Consolas"/>
          <w:b w:val="false"/>
          <w:i w:val="false"/>
          <w:sz w:val="20"/>
        </w:rPr>
        <w:t>min_child_weight=0.001</w:t>
      </w:r>
      <w:r>
        <w:rPr>
          <w:b w:val="false"/>
          <w:i w:val="false"/>
        </w:rPr>
        <w:t xml:space="preserve">, </w:t>
      </w:r>
      <w:r>
        <w:rPr>
          <w:rFonts w:ascii="Consolas" w:hAnsi="Consolas"/>
          <w:b w:val="false"/>
          <w:i w:val="false"/>
          <w:sz w:val="20"/>
        </w:rPr>
        <w:t>min_split_gain=0</w:t>
      </w:r>
      <w:r>
        <w:rPr>
          <w:b w:val="false"/>
          <w:i w:val="false"/>
        </w:rPr>
        <w:t xml:space="preserve">, </w:t>
      </w:r>
      <w:r>
        <w:rPr>
          <w:rFonts w:ascii="Consolas" w:hAnsi="Consolas"/>
          <w:b w:val="false"/>
          <w:i w:val="false"/>
          <w:sz w:val="20"/>
        </w:rPr>
        <w:t>reg_alpha=0</w:t>
      </w:r>
      <w:r>
        <w:rPr>
          <w:b w:val="false"/>
          <w:i w:val="false"/>
        </w:rPr>
        <w:t xml:space="preserve">, </w:t>
      </w:r>
      <w:r>
        <w:rPr>
          <w:rFonts w:ascii="Consolas" w:hAnsi="Consolas"/>
          <w:b w:val="false"/>
          <w:i w:val="false"/>
          <w:sz w:val="20"/>
        </w:rPr>
        <w:t>subsample=1</w:t>
      </w:r>
      <w:r>
        <w:rPr>
          <w:b w:val="false"/>
          <w:i w:val="false"/>
        </w:rPr>
        <w:t xml:space="preserve">, </w:t>
      </w:r>
      <w:r>
        <w:rPr>
          <w:rFonts w:ascii="Consolas" w:hAnsi="Consolas"/>
          <w:b w:val="false"/>
          <w:i w:val="false"/>
          <w:sz w:val="20"/>
        </w:rPr>
        <w:t>subsample_freq=0</w:t>
      </w:r>
      <w:r>
        <w:rPr>
          <w:b w:val="false"/>
          <w:i w:val="false"/>
        </w:rPr>
        <w:t xml:space="preserve">, </w:t>
      </w:r>
      <w:r>
        <w:rPr>
          <w:rFonts w:ascii="Consolas" w:hAnsi="Consolas"/>
          <w:b w:val="false"/>
          <w:i w:val="false"/>
          <w:sz w:val="20"/>
        </w:rPr>
        <w:t>colsample_bytree=1</w:t>
      </w:r>
      <w:r>
        <w:rPr>
          <w:b w:val="false"/>
          <w:i w:val="false"/>
        </w:rPr>
        <w:t xml:space="preserve">, and </w:t>
      </w:r>
      <w:r>
        <w:rPr>
          <w:rFonts w:ascii="Consolas" w:hAnsi="Consolas"/>
          <w:b w:val="false"/>
          <w:i w:val="false"/>
          <w:sz w:val="20"/>
        </w:rPr>
        <w:t>subsample_for_bin=200000</w:t>
      </w:r>
      <w:r>
        <w:rPr>
          <w:b w:val="false"/>
          <w:i w:val="false"/>
        </w:rPr>
        <w:t xml:space="preserve">. No validation-based early stopping or hyperparameter search is invoked. PX080 and PX082 explicitly set </w:t>
      </w:r>
      <w:r>
        <w:rPr>
          <w:rFonts w:ascii="Consolas" w:hAnsi="Consolas"/>
          <w:b w:val="false"/>
          <w:i w:val="false"/>
          <w:sz w:val="20"/>
        </w:rPr>
        <w:t>deterministic=True</w:t>
      </w:r>
      <w:r>
        <w:rPr>
          <w:b w:val="false"/>
          <w:i w:val="false"/>
        </w:rPr>
        <w:t xml:space="preserve"> and </w:t>
      </w:r>
      <w:r>
        <w:rPr>
          <w:rFonts w:ascii="Consolas" w:hAnsi="Consolas"/>
          <w:b w:val="false"/>
          <w:i w:val="false"/>
          <w:sz w:val="20"/>
        </w:rPr>
        <w:t>force_col_wise=True</w:t>
      </w:r>
      <w:r>
        <w:rPr>
          <w:b w:val="false"/>
          <w:i w:val="false"/>
        </w:rPr>
        <w:t>; PX081 does not set those two flags. GOSS and DART were not selected. The implementations use CPU execution. PX080, PX082 and PX083 completion receipts explicitly record no AWS use, while PX081 records local CPU compute; cloud data-acquisition activity elsewhere is not a GPU model-fitting result. Full constructor and saved-booster parameters are preserved in MODEL_INVENTORY.json.</w:t>
      </w:r>
    </w:p>
    <w:p>
      <w:pPr>
        <w:pStyle w:val="Heading3"/>
        <w:rPr/>
      </w:pPr>
      <w:r>
        <w:rPr>
          <w:rFonts w:ascii="Times New Roman" w:hAnsi="Times New Roman"/>
          <w:b/>
          <w:i w:val="false"/>
        </w:rPr>
        <w:t>3.6.6 PX080: learning when history adds a mistake</w:t>
      </w:r>
    </w:p>
    <w:p>
      <w:pPr>
        <w:pStyle w:val="Heading3"/>
        <w:rPr/>
      </w:pPr>
      <w:r>
        <w:rPr>
          <w:rFonts w:ascii="Times New Roman" w:hAnsi="Times New Roman"/>
          <w:b/>
          <w:i w:val="false"/>
        </w:rPr>
        <w:t>3.6.7 Features and honest comparison targets</w:t>
      </w:r>
    </w:p>
    <w:p>
      <w:pPr>
        <w:pStyle w:val="Normal"/>
        <w:rPr/>
      </w:pPr>
      <w:r>
        <w:rPr>
          <w:b w:val="false"/>
          <w:i w:val="false"/>
        </w:rPr>
        <w:t xml:space="preserve">The current expert sees 62 current-flow features and eight role features: 70 inputs. The context expert adds 36 history summaries, the log-transformed age of the newest available earlier event, and a history-channel availability flag: 108 inputs. The 20 selector inputs comprise the two four-class probability vectors, their four differences, each expert's maximum score/margin/entropy, and the two history-status values. These are observable prediction/status features; the true class is not supplied at inference. See implementation, functions </w:t>
      </w:r>
      <w:r>
        <w:rPr>
          <w:rFonts w:ascii="Consolas" w:hAnsi="Consolas"/>
          <w:b w:val="false"/>
          <w:i w:val="false"/>
          <w:sz w:val="20"/>
        </w:rPr>
        <w:t>observe</w:t>
      </w:r>
      <w:r>
        <w:rPr>
          <w:b w:val="false"/>
          <w:i w:val="false"/>
        </w:rPr>
        <w:t xml:space="preserve">, </w:t>
      </w:r>
      <w:r>
        <w:rPr>
          <w:rFonts w:ascii="Consolas" w:hAnsi="Consolas"/>
          <w:b w:val="false"/>
          <w:i w:val="false"/>
          <w:sz w:val="20"/>
        </w:rPr>
        <w:t>selector_features</w:t>
      </w:r>
      <w:r>
        <w:rPr>
          <w:b w:val="false"/>
          <w:i w:val="false"/>
        </w:rPr>
        <w:t xml:space="preserve">, </w:t>
      </w:r>
      <w:r>
        <w:rPr>
          <w:rFonts w:ascii="Consolas" w:hAnsi="Consolas"/>
          <w:b w:val="false"/>
          <w:i w:val="false"/>
          <w:sz w:val="20"/>
        </w:rPr>
        <w:t>gate_target</w:t>
      </w:r>
      <w:r>
        <w:rPr>
          <w:b w:val="false"/>
          <w:i w:val="false"/>
        </w:rPr>
        <w:t xml:space="preserve"> and </w:t>
      </w:r>
      <w:r>
        <w:rPr>
          <w:rFonts w:ascii="Consolas" w:hAnsi="Consolas"/>
          <w:b w:val="false"/>
          <w:i w:val="false"/>
          <w:sz w:val="20"/>
        </w:rPr>
        <w:t>fit_experts</w:t>
      </w:r>
      <w:r>
        <w:rPr>
          <w:b w:val="false"/>
          <w:i w:val="false"/>
        </w:rPr>
        <w:t xml:space="preserve"> (lines 59-93).</w:t>
      </w:r>
    </w:p>
    <w:p>
      <w:pPr>
        <w:pStyle w:val="Normal"/>
        <w:rPr/>
      </w:pPr>
      <w:r>
        <w:rPr>
          <w:b w:val="false"/>
          <w:i w:val="false"/>
        </w:rPr>
        <w:t>Four forward folds produce selector-training predictions: fit on captures earlier than 1 and predict capture 1, then repeat for captures 2, 3 and 4. Fitting completion times must precede validation start times. Within a fold, the same clean-fitted experts score clean, half-missing and stale histories. The ordinary and stage-cost regressors learn from these held-out comparisons; final experts are then fitted on the designated earlier period. This is forward cross-fitting, not random-fold cross-validation, nested tuning, or untouched external confirmation. The held-out comparison data belong to the already exposed development campaign.</w:t>
      </w:r>
    </w:p>
    <w:p>
      <w:pPr>
        <w:pStyle w:val="Normal"/>
        <w:rPr/>
      </w:pPr>
      <w:r>
        <w:rPr>
          <w:b w:val="false"/>
          <w:i w:val="false"/>
        </w:rPr>
        <w:t>Fitting row caps are 20,000 benign and 5,000 for each other class. Per-capture selector-validation caps are 12,000 benign and 5,000 for each other class. Seeds are 20260924, 20260925 and 20260926. Capture 5 is unused by these fits; captures 6-10 supply later descriptive evaluation. See the frozen protocol and runner lines 133-169.</w:t>
      </w:r>
    </w:p>
    <w:p>
      <w:pPr>
        <w:pStyle w:val="Heading3"/>
        <w:rPr/>
      </w:pPr>
      <w:r>
        <w:rPr>
          <w:rFonts w:ascii="Times New Roman" w:hAnsi="Times New Roman"/>
          <w:b/>
          <w:i w:val="false"/>
        </w:rPr>
        <w:t>3.6.8 Selector target and decision</w:t>
      </w:r>
    </w:p>
    <w:p>
      <w:pPr>
        <w:pStyle w:val="Normal"/>
        <w:keepNext w:val="true"/>
        <w:rPr/>
      </w:pPr>
      <w:r>
        <w:rPr>
          <w:b w:val="false"/>
          <w:i w:val="false"/>
        </w:rPr>
        <w:t>Define weighted stage error as:</w:t>
      </w:r>
    </w:p>
    <w:p>
      <w:pPr>
        <w:pStyle w:val="GWUEquation"/>
        <w:keepNext w:val="true"/>
        <w:spacing w:before="120" w:after="160"/>
        <w:jc w:val="center"/>
        <w:rPr/>
      </w:pPr>
      <w:r>
        <w:rPr/>
        <w:drawing>
          <wp:inline distT="0" distB="0" distL="0" distR="0">
            <wp:extent cx="2485390" cy="231775"/>
            <wp:effectExtent l="0" t="0" r="0" b="0"/>
            <wp:docPr id="6" name="Picture 6" descr="\ell_w(y,p)=w_y\,\mathbf 1\{\operatorname*{arg\,max}_k p_k\n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ll_w(y,p)=w_y\,\mathbf 1\{\operatorname*{arg\,max}_k p_k\ne y\},"/>
                    <pic:cNvPicPr>
                      <a:picLocks noChangeAspect="1" noChangeArrowheads="1"/>
                    </pic:cNvPicPr>
                  </pic:nvPicPr>
                  <pic:blipFill>
                    <a:blip r:embed="rId10"/>
                    <a:stretch>
                      <a:fillRect/>
                    </a:stretch>
                  </pic:blipFill>
                  <pic:spPr bwMode="auto">
                    <a:xfrm>
                      <a:off x="0" y="0"/>
                      <a:ext cx="2485390" cy="23177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150620" cy="216535"/>
            <wp:effectExtent l="0" t="0" r="0" b="0"/>
            <wp:docPr id="7" name="Picture 7" descr="w=(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1,1,4,4)."/>
                    <pic:cNvPicPr>
                      <a:picLocks noChangeAspect="1" noChangeArrowheads="1"/>
                    </pic:cNvPicPr>
                  </pic:nvPicPr>
                  <pic:blipFill>
                    <a:blip r:embed="rId11"/>
                    <a:stretch>
                      <a:fillRect/>
                    </a:stretch>
                  </pic:blipFill>
                  <pic:spPr bwMode="auto">
                    <a:xfrm>
                      <a:off x="0" y="0"/>
                      <a:ext cx="1150620" cy="216535"/>
                    </a:xfrm>
                    <a:prstGeom prst="rect">
                      <a:avLst/>
                    </a:prstGeom>
                    <a:noFill/>
                  </pic:spPr>
                </pic:pic>
              </a:graphicData>
            </a:graphic>
          </wp:inline>
        </w:drawing>
      </w:r>
    </w:p>
    <w:p>
      <w:pPr>
        <w:pStyle w:val="Normal"/>
        <w:rPr/>
      </w:pPr>
      <w:r>
        <w:rPr>
          <w:b w:val="false"/>
          <w:i w:val="false"/>
        </w:rPr>
        <w:t>Here, w assigns a self-imposed cost to the true evaluation class; every wrong destination for that class receives the same cost.</w:t>
      </w:r>
    </w:p>
    <w:p>
      <w:pPr>
        <w:pStyle w:val="Normal"/>
        <w:keepNext w:val="true"/>
        <w:rPr/>
      </w:pPr>
      <w:r>
        <w:rPr>
          <w:b w:val="false"/>
          <w:i w:val="false"/>
        </w:rPr>
        <w:t>The gate's training response and deployment choice are:</w:t>
      </w:r>
    </w:p>
    <w:p>
      <w:pPr>
        <w:pStyle w:val="GWUEquation"/>
        <w:keepNext w:val="true"/>
        <w:spacing w:before="120" w:after="160"/>
        <w:jc w:val="center"/>
        <w:rPr/>
      </w:pPr>
      <w:r>
        <w:rPr/>
        <w:drawing>
          <wp:inline distT="0" distB="0" distL="0" distR="0">
            <wp:extent cx="2057400" cy="262255"/>
            <wp:effectExtent l="0" t="0" r="0" b="0"/>
            <wp:docPr id="8" name="Picture 8" descr="t_i=\ell_w(y_i,p_i^{H})-\ell_w(y_i,p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_i=\ell_w(y_i,p_i^{H})-\ell_w(y_i,p_i^{C}),"/>
                    <pic:cNvPicPr>
                      <a:picLocks noChangeAspect="1" noChangeArrowheads="1"/>
                    </pic:cNvPicPr>
                  </pic:nvPicPr>
                  <pic:blipFill>
                    <a:blip r:embed="rId12"/>
                    <a:stretch>
                      <a:fillRect/>
                    </a:stretch>
                  </pic:blipFill>
                  <pic:spPr bwMode="auto">
                    <a:xfrm>
                      <a:off x="0" y="0"/>
                      <a:ext cx="2057400" cy="262255"/>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845310" cy="277495"/>
            <wp:effectExtent l="0" t="0" r="0" b="0"/>
            <wp:docPr id="9" name="Picture 9" descr="p_i^{\mathrm{gate}}=p_i^{H}\quad\mathrm{if}\quad g(z_i)&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_i^{\mathrm{gate}}=p_i^{H}\quad\mathrm{if}\quad g(z_i)&lt;0"/>
                    <pic:cNvPicPr>
                      <a:picLocks noChangeAspect="1" noChangeArrowheads="1"/>
                    </pic:cNvPicPr>
                  </pic:nvPicPr>
                  <pic:blipFill>
                    <a:blip r:embed="rId13"/>
                    <a:stretch>
                      <a:fillRect/>
                    </a:stretch>
                  </pic:blipFill>
                  <pic:spPr bwMode="auto">
                    <a:xfrm>
                      <a:off x="0" y="0"/>
                      <a:ext cx="1845310" cy="27749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838325" cy="277495"/>
            <wp:effectExtent l="0" t="0" r="0" b="0"/>
            <wp:docPr id="10" name="Picture 10" descr="p_i^{\mathrm{gate}}=p_i^{C}\quad\mathrm{if}\quad g(z_i)\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_i^{\mathrm{gate}}=p_i^{C}\quad\mathrm{if}\quad g(z_i)\ge 0"/>
                    <pic:cNvPicPr>
                      <a:picLocks noChangeAspect="1" noChangeArrowheads="1"/>
                    </pic:cNvPicPr>
                  </pic:nvPicPr>
                  <pic:blipFill>
                    <a:blip r:embed="rId14"/>
                    <a:stretch>
                      <a:fillRect/>
                    </a:stretch>
                  </pic:blipFill>
                  <pic:spPr bwMode="auto">
                    <a:xfrm>
                      <a:off x="0" y="0"/>
                      <a:ext cx="1838325" cy="277495"/>
                    </a:xfrm>
                    <a:prstGeom prst="rect">
                      <a:avLst/>
                    </a:prstGeom>
                    <a:noFill/>
                  </pic:spPr>
                </pic:pic>
              </a:graphicData>
            </a:graphic>
          </wp:inline>
        </w:drawing>
      </w:r>
    </w:p>
    <w:p>
      <w:pPr>
        <w:pStyle w:val="Normal"/>
        <w:rPr/>
      </w:pPr>
      <w:r>
        <w:rPr>
          <w:b w:val="false"/>
          <w:i w:val="false"/>
        </w:rPr>
        <w:t>Here, C and H denote the current and context experts, z contains the selector's observable inputs, and g is the fitted regression function.</w:t>
      </w:r>
    </w:p>
    <w:p>
      <w:pPr>
        <w:pStyle w:val="Normal"/>
        <w:rPr/>
      </w:pPr>
      <w:r>
        <w:rPr>
          <w:b w:val="false"/>
          <w:i w:val="false"/>
        </w:rPr>
        <w:t xml:space="preserve">The ordinary gate uses cost one for every class. A LightGBM regressor fits the numerical response using squared-error regression; it predicts a signed incremental loss, </w:t>
      </w:r>
      <w:r>
        <w:rPr>
          <w:b/>
          <w:i w:val="false"/>
        </w:rPr>
        <w:t>not a calibrated probability that history is harmful</w:t>
      </w:r>
      <w:r>
        <w:rPr>
          <w:b w:val="false"/>
          <w:i w:val="false"/>
        </w:rPr>
        <w:t xml:space="preserve">. The weight of four multiplies the response on selected true classes; it is not passed as </w:t>
      </w:r>
      <w:r>
        <w:rPr>
          <w:rFonts w:ascii="Consolas" w:hAnsi="Consolas"/>
          <w:b w:val="false"/>
          <w:i w:val="false"/>
          <w:sz w:val="20"/>
        </w:rPr>
        <w:t>sample_weight</w:t>
      </w:r>
      <w:r>
        <w:rPr>
          <w:b w:val="false"/>
          <w:i w:val="false"/>
        </w:rPr>
        <w:t xml:space="preserve"> and is not a fourfold weight on the regressor's residual loss. LightGBM developers (n.d.-c), regressor API, </w:t>
      </w:r>
      <w:r>
        <w:rPr>
          <w:rFonts w:ascii="Consolas" w:hAnsi="Consolas"/>
          <w:b w:val="false"/>
          <w:i w:val="false"/>
          <w:sz w:val="20"/>
        </w:rPr>
        <w:t>objective</w:t>
      </w:r>
      <w:r>
        <w:rPr>
          <w:b w:val="false"/>
          <w:i w:val="false"/>
        </w:rPr>
        <w:t>; source target and fitting calls, lines 79-86 and 149-158.</w:t>
      </w:r>
    </w:p>
    <w:p>
      <w:pPr>
        <w:pStyle w:val="Normal"/>
        <w:rPr/>
      </w:pPr>
      <w:r>
        <w:rPr>
          <w:b w:val="false"/>
          <w:i w:val="false"/>
        </w:rPr>
        <w:t>This error definition treats exfiltration called benign and exfiltration called another attack stage equally: both cost four. It therefore does not explicitly optimize the retention of an attack warning. That implementation fact helps interpret the measured tradeoff, but does not establish that a replacement loss would improve it.</w:t>
      </w:r>
    </w:p>
    <w:p>
      <w:pPr>
        <w:pStyle w:val="Heading3"/>
        <w:rPr/>
      </w:pPr>
      <w:r>
        <w:rPr>
          <w:rFonts w:ascii="Times New Roman" w:hAnsi="Times New Roman"/>
          <w:b/>
          <w:i w:val="false"/>
        </w:rPr>
        <w:t>3.6.9 Fixed and augmentation controls</w:t>
      </w:r>
    </w:p>
    <w:p>
      <w:pPr>
        <w:pStyle w:val="Normal"/>
        <w:rPr/>
      </w:pPr>
      <w:r>
        <w:rPr>
          <w:b w:val="false"/>
          <w:i w:val="false"/>
        </w:rPr>
        <w:t>The seven arms are current-plus-roles, context, equal probability fusion, maximum-confidence gate, ordinary learned gate, stage-harm gate and context-dropout classifier. Fusion averages the two probability vectors. The confidence gate chooses context only when its largest probability exceeds the current expert's largest probability; ties choose current. Neither control is another fitted selector.</w:t>
      </w:r>
    </w:p>
    <w:p>
      <w:pPr>
        <w:pStyle w:val="Normal"/>
        <w:rPr/>
      </w:pPr>
      <w:r>
        <w:rPr>
          <w:b w:val="false"/>
          <w:i w:val="false"/>
        </w:rPr>
        <w:t xml:space="preserve">The dropout comparator is one additional LightGBM classifier trained on two copies of each fitting row: a clean-history copy and a copy with history removed for the deterministic hash-defined half-missing subset. Each copy receives sample weight 0.5, preserving the row's total training weight. Removed history and age are zeroed and the availability flag is zero. This is feature-loss data augmentation, </w:t>
      </w:r>
      <w:r>
        <w:rPr>
          <w:b/>
          <w:i w:val="false"/>
        </w:rPr>
        <w:t>not neural dropout or LightGBM DART</w:t>
      </w:r>
      <w:r>
        <w:rPr>
          <w:b w:val="false"/>
          <w:i w:val="false"/>
        </w:rPr>
        <w:t>. Five evaluation conditions are retained: clean, half missing, all missing, a five-minute-old historical snapshot, and wrong-host history. The stale condition is a simulated cached-state intervention, not a measurement of real log-delivery delay. Source, lines 63-71, 107-113 and 162-177.</w:t>
      </w:r>
    </w:p>
    <w:p>
      <w:pPr>
        <w:pStyle w:val="Heading3"/>
        <w:rPr/>
      </w:pPr>
      <w:r>
        <w:rPr>
          <w:rFonts w:ascii="Times New Roman" w:hAnsi="Times New Roman"/>
          <w:b/>
          <w:i w:val="false"/>
        </w:rPr>
        <w:t>3.6.10 PX081: selecting a useful evidence request</w:t>
      </w:r>
    </w:p>
    <w:p>
      <w:pPr>
        <w:pStyle w:val="Heading3"/>
        <w:rPr/>
      </w:pPr>
      <w:r>
        <w:rPr>
          <w:rFonts w:ascii="Times New Roman" w:hAnsi="Times New Roman"/>
          <w:b/>
          <w:i w:val="false"/>
        </w:rPr>
        <w:t>3.6.11 What is fitted</w:t>
      </w:r>
    </w:p>
    <w:p>
      <w:pPr>
        <w:pStyle w:val="Normal"/>
        <w:rPr/>
      </w:pPr>
      <w:r>
        <w:rPr>
          <w:b w:val="false"/>
          <w:i w:val="false"/>
        </w:rPr>
        <w:t>Four multiclass experts represent the evidence already delivered: current only (62 inputs), current plus roles (70), current plus history (98), and all three groups (106). The state is a two-bit code: roles contributes bit 1 and history bit 2. Four legal transitions are learned: request roles or history from the empty optional state, history after roles, and roles after history. Each transition has an entropy regressor and an error-reduction regressor. Their inputs are the features already present in that state plus its four class probabilities; they do not include the unacquired group's values. Dimensions are 66, 74 or 102 depending on the transition's initial state. See runner, lines 18-19, 33-59 and 172-190.</w:t>
      </w:r>
    </w:p>
    <w:p>
      <w:pPr>
        <w:pStyle w:val="Normal"/>
        <w:rPr/>
      </w:pPr>
      <w:r>
        <w:rPr>
          <w:b w:val="false"/>
          <w:i w:val="false"/>
        </w:rPr>
        <w:t>The four subset experts are cross-fitted over the same four earlier-to-later capture folds. A capped sample of the resulting held-out rows fits the transition regressors. Fitting and selector caps are 12,000 benign and 4,000 per other class. Final experts use the designated earlier fitting captures. Seeds are 8101, 8102 and 8103. The learned responses come from clean evidence; delayed/unavailable and wrong-host conditions are later simulated evaluations, not alternative labels used to train the policy.</w:t>
      </w:r>
    </w:p>
    <w:p>
      <w:pPr>
        <w:pStyle w:val="Heading3"/>
        <w:rPr/>
      </w:pPr>
      <w:r>
        <w:rPr>
          <w:rFonts w:ascii="Times New Roman" w:hAnsi="Times New Roman"/>
          <w:b/>
          <w:i w:val="false"/>
        </w:rPr>
        <w:t>3.6.12 Learned gains</w:t>
      </w:r>
    </w:p>
    <w:p>
      <w:pPr>
        <w:pStyle w:val="Normal"/>
        <w:keepNext w:val="true"/>
        <w:rPr/>
      </w:pPr>
      <w:r>
        <w:rPr>
          <w:b w:val="false"/>
          <w:i w:val="false"/>
        </w:rPr>
        <w:t>The two responses for acquiring group a in delivered state S are:</w:t>
      </w:r>
    </w:p>
    <w:p>
      <w:pPr>
        <w:pStyle w:val="GWUEquation"/>
        <w:keepNext w:val="true"/>
        <w:spacing w:before="120" w:after="160"/>
        <w:jc w:val="center"/>
        <w:rPr/>
      </w:pPr>
      <w:r>
        <w:rPr/>
        <w:drawing>
          <wp:inline distT="0" distB="0" distL="0" distR="0">
            <wp:extent cx="3002280" cy="289560"/>
            <wp:effectExtent l="0" t="0" r="0" b="0"/>
            <wp:docPr id="11" name="Picture 11" descr="u_i^{\mathrm{harm}}(S,a)=\ell_w(y_i,p_i^{S})-\ell_w(y_i,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_i^{\mathrm{harm}}(S,a)=\ell_w(y_i,p_i^{S})-\ell_w(y_i,p_i^{S\cup\{a\}}),"/>
                    <pic:cNvPicPr>
                      <a:picLocks noChangeAspect="1" noChangeArrowheads="1"/>
                    </pic:cNvPicPr>
                  </pic:nvPicPr>
                  <pic:blipFill>
                    <a:blip r:embed="rId15"/>
                    <a:stretch>
                      <a:fillRect/>
                    </a:stretch>
                  </pic:blipFill>
                  <pic:spPr bwMode="auto">
                    <a:xfrm>
                      <a:off x="0" y="0"/>
                      <a:ext cx="3002280" cy="28956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574290" cy="289560"/>
            <wp:effectExtent l="0" t="0" r="0" b="0"/>
            <wp:docPr id="12" name="Picture 12" descr="u_i^{\mathrm{entropy}}(S,a)=H(p_i^{S})-H(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_i^{\mathrm{entropy}}(S,a)=H(p_i^{S})-H(p_i^{S\cup\{a\}})."/>
                    <pic:cNvPicPr>
                      <a:picLocks noChangeAspect="1" noChangeArrowheads="1"/>
                    </pic:cNvPicPr>
                  </pic:nvPicPr>
                  <pic:blipFill>
                    <a:blip r:embed="rId16"/>
                    <a:stretch>
                      <a:fillRect/>
                    </a:stretch>
                  </pic:blipFill>
                  <pic:spPr bwMode="auto">
                    <a:xfrm>
                      <a:off x="0" y="0"/>
                      <a:ext cx="2574290" cy="289560"/>
                    </a:xfrm>
                    <a:prstGeom prst="rect">
                      <a:avLst/>
                    </a:prstGeom>
                    <a:noFill/>
                  </pic:spPr>
                </pic:pic>
              </a:graphicData>
            </a:graphic>
          </wp:inline>
        </w:drawing>
      </w:r>
    </w:p>
    <w:p>
      <w:pPr>
        <w:pStyle w:val="Normal"/>
        <w:rPr/>
      </w:pPr>
      <w:r>
        <w:rPr>
          <w:b w:val="false"/>
          <w:i w:val="false"/>
        </w:rPr>
        <w:t>Here, positive u means a favorable before-to-after change. H is predictive entropy: the negative sum of each class probability multiplied by its natural logarithm. The code clips logarithm inputs at 10⁻¹⁵.</w:t>
      </w:r>
    </w:p>
    <w:p>
      <w:pPr>
        <w:pStyle w:val="Normal"/>
        <w:rPr/>
      </w:pPr>
      <w:r>
        <w:rPr>
          <w:b w:val="false"/>
          <w:i w:val="false"/>
        </w:rPr>
        <w:t>These signs are the reverse of the history gate's incremental-loss response: acquisition seeks positive predicted improvement, whereas the history gate chooses context for negative predicted extra loss. Each transition regressor uses ordinary squared-error fitting to predict its response. Entropy reduction measures sharper model scores; it does not certify a more accurate decision.</w:t>
      </w:r>
    </w:p>
    <w:p>
      <w:pPr>
        <w:pStyle w:val="Heading3"/>
        <w:rPr/>
      </w:pPr>
      <w:r>
        <w:rPr>
          <w:rFonts w:ascii="Times New Roman" w:hAnsi="Times New Roman"/>
          <w:b/>
          <w:i w:val="false"/>
        </w:rPr>
        <w:t>3.6.13 Actual greedy policy and simulated constraints</w:t>
      </w:r>
    </w:p>
    <w:p>
      <w:pPr>
        <w:pStyle w:val="Normal"/>
        <w:keepNext w:val="true"/>
        <w:rPr/>
      </w:pPr>
      <w:r>
        <w:rPr>
          <w:b w:val="false"/>
          <w:i w:val="false"/>
        </w:rPr>
        <w:t>For eligible groups, the policy chooses:</w:t>
      </w:r>
    </w:p>
    <w:p>
      <w:pPr>
        <w:pStyle w:val="GWUEquation"/>
        <w:keepNext w:val="true"/>
        <w:spacing w:before="120" w:after="160"/>
        <w:jc w:val="center"/>
        <w:rPr/>
      </w:pPr>
      <w:r>
        <w:rPr/>
        <w:drawing>
          <wp:inline distT="0" distB="0" distL="0" distR="0">
            <wp:extent cx="2070100" cy="299085"/>
            <wp:effectExtent l="0" t="0" r="0" b="0"/>
            <wp:docPr id="13" name="Picture 13" descr="a^*=\operatorname*{arg\,max}_{a\in\mathcal E(S)}&#10;\frac{q_a\,\widehat u(S,a)}{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operatorname*{arg\,max}_{a\in\mathcal E(S)}&#10;\frac{q_a\,\widehat u(S,a)}{c_a},"/>
                    <pic:cNvPicPr>
                      <a:picLocks noChangeAspect="1" noChangeArrowheads="1"/>
                    </pic:cNvPicPr>
                  </pic:nvPicPr>
                  <pic:blipFill>
                    <a:blip r:embed="rId17"/>
                    <a:stretch>
                      <a:fillRect/>
                    </a:stretch>
                  </pic:blipFill>
                  <pic:spPr bwMode="auto">
                    <a:xfrm>
                      <a:off x="0" y="0"/>
                      <a:ext cx="2070100" cy="29908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200275" cy="351155"/>
            <wp:effectExtent l="0" t="0" r="0" b="0"/>
            <wp:docPr id="14" name="Picture 14" descr="\text{request only if }\frac{q_{a^*}\,\widehat u(S,a^*)}{c_{a^*}}&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request only if }\frac{q_{a^*}\,\widehat u(S,a^*)}{c_{a^*}}&gt;0."/>
                    <pic:cNvPicPr>
                      <a:picLocks noChangeAspect="1" noChangeArrowheads="1"/>
                    </pic:cNvPicPr>
                  </pic:nvPicPr>
                  <pic:blipFill>
                    <a:blip r:embed="rId18"/>
                    <a:stretch>
                      <a:fillRect/>
                    </a:stretch>
                  </pic:blipFill>
                  <pic:spPr bwMode="auto">
                    <a:xfrm>
                      <a:off x="0" y="0"/>
                      <a:ext cx="2200275" cy="351155"/>
                    </a:xfrm>
                    <a:prstGeom prst="rect">
                      <a:avLst/>
                    </a:prstGeom>
                    <a:noFill/>
                  </pic:spPr>
                </pic:pic>
              </a:graphicData>
            </a:graphic>
          </wp:inline>
        </w:drawing>
      </w:r>
    </w:p>
    <w:p>
      <w:pPr>
        <w:pStyle w:val="Normal"/>
        <w:rPr/>
      </w:pPr>
      <w:r>
        <w:rPr>
          <w:b w:val="false"/>
          <w:i w:val="false"/>
        </w:rPr>
        <w:t>Here, c is the simulated request cost, q is a supplied availability prior, and the hatted u is the fitted gain for that transition.</w:t>
      </w:r>
    </w:p>
    <w:p>
      <w:pPr>
        <w:pStyle w:val="Normal"/>
        <w:keepNext w:val="true"/>
        <w:rPr/>
      </w:pPr>
      <w:r>
        <w:rPr>
          <w:b w:val="false"/>
          <w:i w:val="false"/>
        </w:rPr>
        <w:t>The eligibility conditions are:</w:t>
      </w:r>
    </w:p>
    <w:p>
      <w:pPr>
        <w:pStyle w:val="GWUEquation"/>
        <w:keepNext w:val="true"/>
        <w:spacing w:before="120" w:after="160"/>
        <w:jc w:val="center"/>
        <w:rPr/>
      </w:pPr>
      <w:r>
        <w:rPr/>
        <w:drawing>
          <wp:inline distT="0" distB="0" distL="0" distR="0">
            <wp:extent cx="1011555" cy="232410"/>
            <wp:effectExtent l="0" t="0" r="0" b="0"/>
            <wp:docPr id="15" name="Picture 15" descr="a\notin A_{\mathrm{attem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otin A_{\mathrm{attempted}},"/>
                    <pic:cNvPicPr>
                      <a:picLocks noChangeAspect="1" noChangeArrowheads="1"/>
                    </pic:cNvPicPr>
                  </pic:nvPicPr>
                  <pic:blipFill>
                    <a:blip r:embed="rId19"/>
                    <a:stretch>
                      <a:fillRect/>
                    </a:stretch>
                  </pic:blipFill>
                  <pic:spPr bwMode="auto">
                    <a:xfrm>
                      <a:off x="0" y="0"/>
                      <a:ext cx="1011555" cy="232410"/>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160145" cy="232410"/>
            <wp:effectExtent l="0" t="0" r="0" b="0"/>
            <wp:docPr id="16" name="Picture 16" descr="C_{\mathrm{spent}}+c_a\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_{\mathrm{spent}}+c_a\le B,"/>
                    <pic:cNvPicPr>
                      <a:picLocks noChangeAspect="1" noChangeArrowheads="1"/>
                    </pic:cNvPicPr>
                  </pic:nvPicPr>
                  <pic:blipFill>
                    <a:blip r:embed="rId20"/>
                    <a:stretch>
                      <a:fillRect/>
                    </a:stretch>
                  </pic:blipFill>
                  <pic:spPr bwMode="auto">
                    <a:xfrm>
                      <a:off x="0" y="0"/>
                      <a:ext cx="1160145" cy="2324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664335" cy="262255"/>
            <wp:effectExtent l="0" t="0" r="0" b="0"/>
            <wp:docPr id="17" name="Picture 17" descr="T_{\mathrm{elapsed}}+d_a^{\mathrm{nominal}}\l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_{\mathrm{elapsed}}+d_a^{\mathrm{nominal}}\le D."/>
                    <pic:cNvPicPr>
                      <a:picLocks noChangeAspect="1" noChangeArrowheads="1"/>
                    </pic:cNvPicPr>
                  </pic:nvPicPr>
                  <pic:blipFill>
                    <a:blip r:embed="rId21"/>
                    <a:stretch>
                      <a:fillRect/>
                    </a:stretch>
                  </pic:blipFill>
                  <pic:spPr bwMode="auto">
                    <a:xfrm>
                      <a:off x="0" y="0"/>
                      <a:ext cx="1664335" cy="262255"/>
                    </a:xfrm>
                    <a:prstGeom prst="rect">
                      <a:avLst/>
                    </a:prstGeom>
                    <a:noFill/>
                  </pic:spPr>
                </pic:pic>
              </a:graphicData>
            </a:graphic>
          </wp:inline>
        </w:drawing>
      </w:r>
    </w:p>
    <w:p>
      <w:pPr>
        <w:pStyle w:val="Normal"/>
        <w:rPr/>
      </w:pPr>
      <w:r>
        <w:rPr>
          <w:b w:val="false"/>
          <w:i w:val="false"/>
        </w:rPr>
        <w:t>Here, B is the budget, D is the decision deadline, and the elapsed time accumulates realized delays after a request. The code applies a 10⁻⁷ numerical tolerance to deadline comparisons.</w:t>
      </w:r>
    </w:p>
    <w:p>
      <w:pPr>
        <w:pStyle w:val="Normal"/>
        <w:rPr/>
      </w:pPr>
      <w:r>
        <w:rPr>
          <w:b w:val="false"/>
          <w:i w:val="false"/>
        </w:rPr>
        <w:t>Roles cost one unit and nominally take 0.25 time units; history costs two and nominally takes 0.75. Budgets are 1, 2 and 3; the deadline is one unit. The delayed/unavailable regime supplies priors 0.8 and 0.65, respectively. Other regimes supply priors of one. Delayed requests add 0, 0.5 or 1.5 time units with simulated probabilities 0.60, 0.25 and 0.15. A request consumes cost and realized delay even if unavailable or late. The delivered state changes only if the requested evidence is available and arrives by the deadline. There are at most two requests and no retry of an attempted group. Exact replay implementation, lines 68-112.</w:t>
      </w:r>
    </w:p>
    <w:p>
      <w:pPr>
        <w:pStyle w:val="Normal"/>
        <w:rPr/>
      </w:pPr>
      <w:r>
        <w:rPr>
          <w:b w:val="false"/>
          <w:i w:val="false"/>
        </w:rPr>
        <w:t xml:space="preserve">This is a </w:t>
      </w:r>
      <w:r>
        <w:rPr>
          <w:b/>
          <w:i w:val="false"/>
        </w:rPr>
        <w:t>greedy one-step gain-per-cost heuristic</w:t>
      </w:r>
      <w:r>
        <w:rPr>
          <w:b w:val="false"/>
          <w:i w:val="false"/>
        </w:rPr>
        <w:t>, not a globally optimized sequential planner, learned delay model, or deadline guarantee. It knows the declared regime's availability priors; it does not know the row's hidden availability/delay outcome before requesting. Multiplying by availability does not fully model the probability of timely arrival. Offline code precomputes all state scores, but the replay selects only the score indexed by the evidence actually delivered. Cost, delay and severity values are design choices rather than industry measurements or literature-mandated thresholds.</w:t>
      </w:r>
    </w:p>
    <w:p>
      <w:pPr>
        <w:pStyle w:val="Normal"/>
        <w:rPr/>
      </w:pPr>
      <w:r>
        <w:rPr>
          <w:b w:val="false"/>
          <w:i w:val="false"/>
        </w:rPr>
        <w:t xml:space="preserve">The six policies are no request, roles first, history first, random order, predicted entropy reduction and predicted stage-error reduction. All conditions and budgets are retained. An all-evidence reference is separately marked </w:t>
      </w:r>
      <w:r>
        <w:rPr>
          <w:rFonts w:ascii="Consolas" w:hAnsi="Consolas"/>
          <w:b w:val="false"/>
          <w:i w:val="false"/>
          <w:sz w:val="20"/>
        </w:rPr>
        <w:t>reference_only</w:t>
      </w:r>
      <w:r>
        <w:rPr>
          <w:b w:val="false"/>
          <w:i w:val="false"/>
        </w:rPr>
        <w:t>; it bypasses the sequential delivery constraints and is not a deployable policy. None of these acquisition arms is a reproduced SEFA or Learning-to-Measure implementation.</w:t>
      </w:r>
    </w:p>
    <w:p>
      <w:pPr>
        <w:pStyle w:val="Heading3"/>
        <w:rPr/>
      </w:pPr>
      <w:r>
        <w:rPr>
          <w:rFonts w:ascii="Times New Roman" w:hAnsi="Times New Roman"/>
          <w:b/>
          <w:i w:val="false"/>
        </w:rPr>
        <w:t>3.6.14 PX082: holding the model fixed while changing temporal access</w:t>
      </w:r>
    </w:p>
    <w:p>
      <w:pPr>
        <w:pStyle w:val="Normal"/>
        <w:rPr/>
      </w:pPr>
      <w:r>
        <w:rPr>
          <w:b w:val="false"/>
          <w:i w:val="false"/>
        </w:rPr>
        <w:t xml:space="preserve">This experiment uses ordinary unweighted multiclass LightGBM with current features (62 inputs) or current plus the 36 history summaries (98). It does </w:t>
      </w:r>
      <w:r>
        <w:rPr>
          <w:b/>
          <w:i w:val="false"/>
        </w:rPr>
        <w:t>not</w:t>
      </w:r>
      <w:r>
        <w:rPr>
          <w:b w:val="false"/>
          <w:i w:val="false"/>
        </w:rPr>
        <w:t xml:space="preserve"> use the PX080 role, age or availability additions. Eighteen fits cover three seeds (20260923-20260925), two feature views and three protocols. No selector is fitted here. All models use argmax, with no threshold or probability calibration.</w:t>
      </w:r>
    </w:p>
    <w:p>
      <w:pPr>
        <w:pStyle w:val="Normal"/>
        <w:rPr/>
      </w:pPr>
      <w:r>
        <w:rPr>
          <w:b w:val="false"/>
          <w:i w:val="false"/>
        </w:rPr>
        <w:t>Past-only and time-mixed fitting share a 104,051-row later anchor and matched class counts of 20,000 benign, 5,000 other stage, 20 movement and 1,740 exfiltration. Anchor feature fingerprints are excluded from both fitting pools. The separate random-row protocol reserves 55% for evaluation and changes the evaluation population. Consequently, the controlled past/mixed contrast concerns training composition and temporal access; the random-row difference cannot be interpreted as the same isolated contrast. These are evaluation controls, not a new LightGBM architecture. See protocol, design, and runner, lines 85-130.</w:t>
      </w:r>
    </w:p>
    <w:p>
      <w:pPr>
        <w:pStyle w:val="Heading3"/>
        <w:rPr/>
      </w:pPr>
      <w:r>
        <w:rPr>
          <w:rFonts w:ascii="Times New Roman" w:hAnsi="Times New Roman"/>
          <w:b/>
          <w:i w:val="false"/>
        </w:rPr>
        <w:t>3.6.15 Supplementary PX083: a Ridge policy on a different recognition task</w:t>
      </w:r>
    </w:p>
    <w:p>
      <w:pPr>
        <w:pStyle w:val="Heading3"/>
        <w:rPr/>
      </w:pPr>
      <w:r>
        <w:rPr>
          <w:rFonts w:ascii="Times New Roman" w:hAnsi="Times New Roman"/>
          <w:b/>
          <w:i w:val="false"/>
        </w:rPr>
        <w:t>3.6.16 Scope and reused experts</w:t>
      </w:r>
    </w:p>
    <w:p>
      <w:pPr>
        <w:pStyle w:val="Normal"/>
        <w:rPr/>
      </w:pPr>
      <w:r>
        <w:rPr>
          <w:b w:val="false"/>
          <w:i w:val="false"/>
        </w:rPr>
        <w:t xml:space="preserve">The target is </w:t>
      </w:r>
      <w:r>
        <w:rPr>
          <w:b/>
          <w:i w:val="false"/>
        </w:rPr>
        <w:t>T1105 Ingress Tool Transfer versus other author technique labels</w:t>
      </w:r>
      <w:r>
        <w:rPr>
          <w:b w:val="false"/>
          <w:i w:val="false"/>
        </w:rPr>
        <w:t>. The negatives are not independently verified benign flows. CasinoLimit and CAM-LDS use different annotated units. This experiment therefore does not establish movement recognition, exfiltration prediction or benign false-alarm reduction. Only the selector transfers unchanged from Casino to CAM-LDS; each dataset retains its own native experts.</w:t>
      </w:r>
    </w:p>
    <w:p>
      <w:pPr>
        <w:pStyle w:val="Normal"/>
        <w:rPr/>
      </w:pPr>
      <w:r>
        <w:rPr>
          <w:b w:val="false"/>
          <w:i w:val="false"/>
        </w:rPr>
        <w:t xml:space="preserve">The reused current, context and mixed-dropout experts are binary </w:t>
      </w:r>
      <w:r>
        <w:rPr>
          <w:rFonts w:ascii="Consolas" w:hAnsi="Consolas"/>
          <w:b w:val="false"/>
          <w:i w:val="false"/>
          <w:sz w:val="20"/>
        </w:rPr>
        <w:t>LogisticRegression</w:t>
      </w:r>
      <w:r>
        <w:rPr>
          <w:b w:val="false"/>
          <w:i w:val="false"/>
        </w:rPr>
        <w:t xml:space="preserve"> models, not LightGBM, GNNs or language models. Their frozen settings are </w:t>
      </w:r>
      <w:r>
        <w:rPr>
          <w:rFonts w:ascii="Consolas" w:hAnsi="Consolas"/>
          <w:b w:val="false"/>
          <w:i w:val="false"/>
          <w:sz w:val="20"/>
        </w:rPr>
        <w:t>C=1</w:t>
      </w:r>
      <w:r>
        <w:rPr>
          <w:b w:val="false"/>
          <w:i w:val="false"/>
        </w:rPr>
        <w:t xml:space="preserve">, </w:t>
      </w:r>
      <w:r>
        <w:rPr>
          <w:rFonts w:ascii="Consolas" w:hAnsi="Consolas"/>
          <w:b w:val="false"/>
          <w:i w:val="false"/>
          <w:sz w:val="20"/>
        </w:rPr>
        <w:t>class_weight='balanced'</w:t>
      </w:r>
      <w:r>
        <w:rPr>
          <w:b w:val="false"/>
          <w:i w:val="false"/>
        </w:rPr>
        <w:t xml:space="preserve">, </w:t>
      </w:r>
      <w:r>
        <w:rPr>
          <w:rFonts w:ascii="Consolas" w:hAnsi="Consolas"/>
          <w:b w:val="false"/>
          <w:i w:val="false"/>
          <w:sz w:val="20"/>
        </w:rPr>
        <w:t>solver='liblinear'</w:t>
      </w:r>
      <w:r>
        <w:rPr>
          <w:b w:val="false"/>
          <w:i w:val="false"/>
        </w:rPr>
        <w:t xml:space="preserve">, </w:t>
      </w:r>
      <w:r>
        <w:rPr>
          <w:rFonts w:ascii="Consolas" w:hAnsi="Consolas"/>
          <w:b w:val="false"/>
          <w:i w:val="false"/>
          <w:sz w:val="20"/>
        </w:rPr>
        <w:t>max_iter=2000</w:t>
      </w:r>
      <w:r>
        <w:rPr>
          <w:b w:val="false"/>
          <w:i w:val="false"/>
        </w:rPr>
        <w:t xml:space="preserve">, and </w:t>
      </w:r>
      <w:r>
        <w:rPr>
          <w:rFonts w:ascii="Consolas" w:hAnsi="Consolas"/>
          <w:b w:val="false"/>
          <w:i w:val="false"/>
          <w:sz w:val="20"/>
        </w:rPr>
        <w:t>random_state=20260920</w:t>
      </w:r>
      <w:r>
        <w:rPr>
          <w:b w:val="false"/>
          <w:i w:val="false"/>
        </w:rPr>
        <w:t>. Stored models use L2 regularization (</w:t>
      </w:r>
      <w:r>
        <w:rPr>
          <w:rFonts w:ascii="Consolas" w:hAnsi="Consolas"/>
          <w:b w:val="false"/>
          <w:i w:val="false"/>
          <w:sz w:val="20"/>
        </w:rPr>
        <w:t>l1_ratio=0</w:t>
      </w:r>
      <w:r>
        <w:rPr>
          <w:b w:val="false"/>
          <w:i w:val="false"/>
        </w:rPr>
        <w:t xml:space="preserve"> in their original scikit-learn 1.9.0 state). They use fixed hashed text features rather than learned language-model embeddings. Each input has 65,546 columns: two 32,768-column hashed blocks plus ten metadata columns. The original mixed-dropout comparator uses six views-clean, random 25% loss, random 50% loss, EXECVE absent, PROCTITLE absent and both command records absent-with sample weight 1/6 per view, multiplied by the classifier's automatic class-balancing weights. No such native model was refitted in PX083. Original runner, functions </w:t>
      </w:r>
      <w:r>
        <w:rPr>
          <w:rFonts w:ascii="Consolas" w:hAnsi="Consolas"/>
          <w:b w:val="false"/>
          <w:i w:val="false"/>
          <w:sz w:val="20"/>
        </w:rPr>
        <w:t>fit_lr</w:t>
      </w:r>
      <w:r>
        <w:rPr>
          <w:b w:val="false"/>
          <w:i w:val="false"/>
        </w:rPr>
        <w:t xml:space="preserve"> and </w:t>
      </w:r>
      <w:r>
        <w:rPr>
          <w:rFonts w:ascii="Consolas" w:hAnsi="Consolas"/>
          <w:b w:val="false"/>
          <w:i w:val="false"/>
          <w:sz w:val="20"/>
        </w:rPr>
        <w:t>run</w:t>
      </w:r>
      <w:r>
        <w:rPr>
          <w:b w:val="false"/>
          <w:i w:val="false"/>
        </w:rPr>
        <w:t xml:space="preserve">; original protocol, </w:t>
      </w:r>
      <w:r>
        <w:rPr>
          <w:rFonts w:ascii="Consolas" w:hAnsi="Consolas"/>
          <w:b w:val="false"/>
          <w:i w:val="false"/>
          <w:sz w:val="20"/>
        </w:rPr>
        <w:t>classifier</w:t>
      </w:r>
      <w:r>
        <w:rPr>
          <w:b w:val="false"/>
          <w:i w:val="false"/>
        </w:rPr>
        <w:t xml:space="preserve">, </w:t>
      </w:r>
      <w:r>
        <w:rPr>
          <w:rFonts w:ascii="Consolas" w:hAnsi="Consolas"/>
          <w:b w:val="false"/>
          <w:i w:val="false"/>
          <w:sz w:val="20"/>
        </w:rPr>
        <w:t>text_features</w:t>
      </w:r>
      <w:r>
        <w:rPr>
          <w:b w:val="false"/>
          <w:i w:val="false"/>
        </w:rPr>
        <w:t xml:space="preserve"> and </w:t>
      </w:r>
      <w:r>
        <w:rPr>
          <w:rFonts w:ascii="Consolas" w:hAnsi="Consolas"/>
          <w:b w:val="false"/>
          <w:i w:val="false"/>
          <w:sz w:val="20"/>
        </w:rPr>
        <w:t>arms</w:t>
      </w:r>
      <w:r>
        <w:rPr>
          <w:b w:val="false"/>
          <w:i w:val="false"/>
        </w:rPr>
        <w:t>; Scikit-learn developers (n.d.-a), official logistic-regression documentation.</w:t>
      </w:r>
    </w:p>
    <w:p>
      <w:pPr>
        <w:pStyle w:val="Normal"/>
        <w:keepNext w:val="true"/>
        <w:rPr/>
      </w:pPr>
      <w:r>
        <w:rPr>
          <w:b w:val="false"/>
          <w:i w:val="false"/>
        </w:rPr>
        <w:t>The logistic experts transform a linear score into a bounded binary score:</w:t>
      </w:r>
    </w:p>
    <w:p>
      <w:pPr>
        <w:pStyle w:val="GWUEquation"/>
        <w:keepNext w:val="false"/>
        <w:spacing w:before="120" w:after="160"/>
        <w:jc w:val="center"/>
        <w:rPr/>
      </w:pPr>
      <w:r>
        <w:rPr/>
        <w:drawing>
          <wp:inline distT="0" distB="0" distL="0" distR="0">
            <wp:extent cx="2469515" cy="311150"/>
            <wp:effectExtent l="0" t="0" r="0" b="0"/>
            <wp:docPr id="18" name="Picture 18" descr="p(T1105\mid x)=\frac{1}{1+\exp[-(b+\beta^\top\ph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T1105\mid x)=\frac{1}{1+\exp[-(b+\beta^\top\phi(x))]}."/>
                    <pic:cNvPicPr>
                      <a:picLocks noChangeAspect="1" noChangeArrowheads="1"/>
                    </pic:cNvPicPr>
                  </pic:nvPicPr>
                  <pic:blipFill>
                    <a:blip r:embed="rId22"/>
                    <a:stretch>
                      <a:fillRect/>
                    </a:stretch>
                  </pic:blipFill>
                  <pic:spPr bwMode="auto">
                    <a:xfrm>
                      <a:off x="0" y="0"/>
                      <a:ext cx="2469515" cy="311150"/>
                    </a:xfrm>
                    <a:prstGeom prst="rect">
                      <a:avLst/>
                    </a:prstGeom>
                    <a:noFill/>
                  </pic:spPr>
                </pic:pic>
              </a:graphicData>
            </a:graphic>
          </wp:inline>
        </w:drawing>
      </w:r>
    </w:p>
    <w:p>
      <w:pPr>
        <w:pStyle w:val="Normal"/>
        <w:rPr/>
      </w:pPr>
      <w:r>
        <w:rPr>
          <w:b w:val="false"/>
          <w:i w:val="false"/>
        </w:rPr>
        <w:t>Here, phi is the fixed hashed-text and metadata representation, beta contains learned coefficients, and b is the intercept. Fitting minimizes a class-balanced logistic loss with L2 regularization; the configured C controls inverse regularization strength. This compact score equation explains the classifier, while the saved library configuration above fixes its implementation. The scikit-learn software is described by Pedregosa et al. (2011). A bounded logistic score is not evidence of calibration on the later evaluation population.</w:t>
      </w:r>
    </w:p>
    <w:p>
      <w:pPr>
        <w:pStyle w:val="Heading3"/>
        <w:rPr/>
      </w:pPr>
      <w:r>
        <w:rPr>
          <w:rFonts w:ascii="Times New Roman" w:hAnsi="Times New Roman"/>
          <w:b/>
          <w:i w:val="false"/>
        </w:rPr>
        <w:t>3.6.17 Two deterministic linear selectors</w:t>
      </w:r>
    </w:p>
    <w:p>
      <w:pPr>
        <w:pStyle w:val="Normal"/>
        <w:rPr/>
      </w:pPr>
      <w:r>
        <w:rPr>
          <w:b w:val="false"/>
          <w:i w:val="false"/>
        </w:rPr>
        <w:t>Both selectors fit the same 1,494 Casino clean-calibration rows, including 87 target-positive rows. Only 11 rows have a nonzero expert-error comparison response; the full calibration sample size is not the number of informative disagreements. The ordinary response is context error minus current error at the strict score threshold 0.5. The target-cost response multiplies this difference by four for target-positive rows and one otherwise. The 12 observable inputs are the two scores, their signed/absolute difference, both binary confidences and margins, two visibility flags, threshold-decision disagreement, and the product of the scores. No scaler is fitted.</w:t>
      </w:r>
    </w:p>
    <w:p>
      <w:pPr>
        <w:pStyle w:val="Normal"/>
        <w:keepNext w:val="true"/>
        <w:rPr/>
      </w:pPr>
      <w:r>
        <w:rPr>
          <w:b w:val="false"/>
          <w:i w:val="false"/>
        </w:rPr>
        <w:t>Ridge estimates the linear selector by:</w:t>
      </w:r>
    </w:p>
    <w:p>
      <w:pPr>
        <w:pStyle w:val="GWUEquation"/>
        <w:keepNext w:val="false"/>
        <w:spacing w:before="120" w:after="160"/>
        <w:jc w:val="center"/>
        <w:rPr/>
      </w:pPr>
      <w:r>
        <w:rPr/>
        <w:drawing>
          <wp:inline distT="0" distB="0" distL="0" distR="0">
            <wp:extent cx="3743325" cy="478790"/>
            <wp:effectExtent l="0" t="0" r="0" b="0"/>
            <wp:docPr id="19" name="Picture 19" descr="(\widehat b,\widehat\beta)=\operatorname*{arg\,min}_{b,\beta}&#10;\left[\sum_{i=1}^{n}(t_i-b-z_i^\top\beta)^2+10\lVert\beta\rVert_2^2\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dehat b,\widehat\beta)=\operatorname*{arg\,min}_{b,\beta}&#10;\left[\sum_{i=1}^{n}(t_i-b-z_i^\top\beta)^2+10\lVert\beta\rVert_2^2\right]."/>
                    <pic:cNvPicPr>
                      <a:picLocks noChangeAspect="1" noChangeArrowheads="1"/>
                    </pic:cNvPicPr>
                  </pic:nvPicPr>
                  <pic:blipFill>
                    <a:blip r:embed="rId23"/>
                    <a:stretch>
                      <a:fillRect/>
                    </a:stretch>
                  </pic:blipFill>
                  <pic:spPr bwMode="auto">
                    <a:xfrm>
                      <a:off x="0" y="0"/>
                      <a:ext cx="3743325" cy="478790"/>
                    </a:xfrm>
                    <a:prstGeom prst="rect">
                      <a:avLst/>
                    </a:prstGeom>
                    <a:noFill/>
                  </pic:spPr>
                </pic:pic>
              </a:graphicData>
            </a:graphic>
          </wp:inline>
        </w:drawing>
      </w:r>
    </w:p>
    <w:p>
      <w:pPr>
        <w:pStyle w:val="Normal"/>
        <w:rPr/>
      </w:pPr>
      <w:r>
        <w:rPr>
          <w:b w:val="false"/>
          <w:i w:val="false"/>
        </w:rPr>
        <w:t xml:space="preserve">Here, t is the ordinary or target-cost error-difference response, z is the 12-feature vector, b is the fitted intercept, and the coefficient penalty is </w:t>
      </w:r>
      <w:r>
        <w:rPr>
          <w:rFonts w:ascii="Consolas" w:hAnsi="Consolas"/>
          <w:b w:val="false"/>
          <w:i w:val="false"/>
          <w:sz w:val="20"/>
        </w:rPr>
        <w:t>alpha=10</w:t>
      </w:r>
      <w:r>
        <w:rPr>
          <w:b w:val="false"/>
          <w:i w:val="false"/>
        </w:rPr>
        <w:t>.</w:t>
      </w:r>
    </w:p>
    <w:p>
      <w:pPr>
        <w:pStyle w:val="Normal"/>
        <w:rPr/>
      </w:pPr>
      <w:r>
        <w:rPr>
          <w:b w:val="false"/>
          <w:i w:val="false"/>
        </w:rPr>
        <w:t xml:space="preserve">The solver is SVD, with </w:t>
      </w:r>
      <w:r>
        <w:rPr>
          <w:rFonts w:ascii="Consolas" w:hAnsi="Consolas"/>
          <w:b w:val="false"/>
          <w:i w:val="false"/>
          <w:sz w:val="20"/>
        </w:rPr>
        <w:t>fit_intercept=True</w:t>
      </w:r>
      <w:r>
        <w:rPr>
          <w:b w:val="false"/>
          <w:i w:val="false"/>
        </w:rPr>
        <w:t xml:space="preserve">; there is no random fitting seed or tuning search. A negative fitted linear score chooses context, otherwise current. The chosen expert's score is retained, and an alarm requires </w:t>
      </w:r>
      <w:r>
        <w:rPr>
          <w:b/>
          <w:i w:val="false"/>
        </w:rPr>
        <w:t>strictly greater than 0.5</w:t>
      </w:r>
      <w:r>
        <w:rPr>
          <w:b w:val="false"/>
          <w:i w:val="false"/>
        </w:rPr>
        <w:t>. The Ridge output is an unbounded regression score, not a probability. If neither expert observes a target, all arms force its final score to zero while retaining the row in the denominator. Original calibrated native-control thresholds remain separate descriptive controls and were not selected anew for these policies. Scikit-learn developers (n.d.-b), Ridge objective and solver documentation; PX083 source, lines 74-129.</w:t>
      </w:r>
    </w:p>
    <w:p>
      <w:pPr>
        <w:pStyle w:val="Normal"/>
        <w:rPr/>
      </w:pPr>
      <w:r>
        <w:rPr>
          <w:b w:val="false"/>
          <w:i w:val="false"/>
        </w:rPr>
        <w:t>Two fits generate evaluations of seven arms across 21 perturbation views per dataset: 294 tables in total. The 21 views comprise 15 conditions, with repeated random-loss seeds; these are not 21 datasets or three new Ridge fitting seeds. Original native models were fitted with scikit-learn 1.9.0; the new Ridge selectors use 1.7.2. PX083 consumes previously saved probabilities and does not reload those older classifiers for new inference. This implementation audit likewise used their stored attributes only; it did not recompute cross-version predictions.</w:t>
      </w:r>
    </w:p>
    <w:p>
      <w:pPr>
        <w:pStyle w:val="Heading3"/>
        <w:rPr/>
      </w:pPr>
      <w:r>
        <w:rPr>
          <w:rFonts w:ascii="Times New Roman" w:hAnsi="Times New Roman"/>
          <w:b/>
          <w:i w:val="false"/>
        </w:rPr>
        <w:t>3.6.18 Implemented versus proposed approaches</w:t>
      </w:r>
    </w:p>
    <w:p>
      <w:pPr>
        <w:pStyle w:val="GWUTableCaption"/>
        <w:rPr/>
      </w:pPr>
      <w:bookmarkStart w:id="36" w:name="__RefHeading___Toc25947_2336213107"/>
      <w:bookmarkEnd w:id="36"/>
      <w:r>
        <w:rPr>
          <w:b w:val="false"/>
          <w:i w:val="false"/>
        </w:rPr>
        <w:t>Table 3-9. Implemented and unexecuted approaches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394"/>
        <w:gridCol w:w="4246"/>
      </w:tblGrid>
      <w:tr>
        <w:trPr>
          <w:tblHeader w:val="true"/>
          <w:cantSplit/>
        </w:trPr>
        <w:tc>
          <w:tcPr>
            <w:tcW w:w="43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Approach</w:t>
            </w:r>
          </w:p>
        </w:tc>
        <w:tc>
          <w:tcPr>
            <w:tcW w:w="42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Status in PX080-PX083</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LightGBM four-class experts and regression selectors</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Fitted in the main experiments</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averaging, confidence gates and fixed acquisition order</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Evaluated decision rules; no extra model fit</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Missing-history and record-loss augmentation</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Implemented comparator training, as specified above</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Ridge score-policy transfer</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supplementary fits on T1105</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TabM, GNN/graph-machine-learning architecture, Qwen or another LLM</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fitted or evaluated in this batch</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New warning-destination loss or a guard against attack-to-benign changes</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future work; no performance result claimed</w:t>
            </w:r>
          </w:p>
        </w:tc>
      </w:tr>
      <w:tr>
        <w:trPr>
          <w:cantSplit/>
        </w:trPr>
        <w:tc>
          <w:tcPr>
            <w:tcW w:w="439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SEFA, Learning-to-Measure, reinforcement-learning planner</w:t>
            </w:r>
          </w:p>
        </w:tc>
        <w:tc>
          <w:tcPr>
            <w:tcW w:w="424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context or proposed direction; not reproduced algorithms in these runs</w:t>
            </w:r>
          </w:p>
        </w:tc>
      </w:tr>
    </w:tbl>
    <w:p>
      <w:pPr>
        <w:pStyle w:val="Normal"/>
        <w:spacing w:lineRule="auto" w:line="60" w:before="0" w:after="40"/>
        <w:rPr/>
      </w:pPr>
      <w:r>
        <w:rPr/>
      </w:r>
    </w:p>
    <w:p>
      <w:pPr>
        <w:pStyle w:val="Heading2"/>
        <w:rPr/>
      </w:pPr>
      <w:bookmarkStart w:id="37" w:name="__RefHeading___Toc25723_2336213107"/>
      <w:bookmarkEnd w:id="37"/>
      <w:r>
        <w:rPr>
          <w:rFonts w:ascii="Times New Roman" w:hAnsi="Times New Roman"/>
          <w:b/>
          <w:i w:val="false"/>
        </w:rPr>
        <w:t>3.7 Stage, Warning and Workload Metrics</w:t>
      </w:r>
    </w:p>
    <w:p>
      <w:pPr>
        <w:pStyle w:val="Normal"/>
        <w:rPr/>
      </w:pPr>
      <w:r>
        <w:rPr>
          <w:b w:val="false"/>
          <w:i w:val="false"/>
        </w:rPr>
        <w:t>Let C(s,j) count records with true class s and predicted class j, let b denote benign, and let N(s) be the number of true-s records. For an attack stage s:</w:t>
      </w:r>
    </w:p>
    <w:p>
      <w:pPr>
        <w:pStyle w:val="PraxisList"/>
        <w:numPr>
          <w:ilvl w:val="0"/>
          <w:numId w:val="8"/>
        </w:numPr>
        <w:rPr/>
      </w:pPr>
      <w:r>
        <w:rPr>
          <w:b w:val="false"/>
          <w:i w:val="false"/>
        </w:rPr>
        <w:t>Exact-stage recall = C(s,s) / N(s).</w:t>
      </w:r>
    </w:p>
    <w:p>
      <w:pPr>
        <w:pStyle w:val="PraxisList"/>
        <w:numPr>
          <w:ilvl w:val="0"/>
          <w:numId w:val="8"/>
        </w:numPr>
        <w:rPr/>
      </w:pPr>
      <w:r>
        <w:rPr>
          <w:b w:val="false"/>
          <w:i w:val="false"/>
        </w:rPr>
        <w:t>Warning recall = 1 - C(s,b) / N(s).</w:t>
      </w:r>
    </w:p>
    <w:p>
      <w:pPr>
        <w:pStyle w:val="PraxisList"/>
        <w:numPr>
          <w:ilvl w:val="0"/>
          <w:numId w:val="8"/>
        </w:numPr>
        <w:rPr/>
      </w:pPr>
      <w:r>
        <w:rPr>
          <w:b w:val="false"/>
          <w:i w:val="false"/>
        </w:rPr>
        <w:t>Missed-warning rate = C(s,b) / N(s).</w:t>
      </w:r>
    </w:p>
    <w:p>
      <w:pPr>
        <w:pStyle w:val="PraxisList"/>
        <w:numPr>
          <w:ilvl w:val="0"/>
          <w:numId w:val="8"/>
        </w:numPr>
        <w:rPr/>
      </w:pPr>
      <w:r>
        <w:rPr>
          <w:b w:val="false"/>
          <w:i w:val="false"/>
        </w:rPr>
        <w:t>Wrong-stage warning rate = warning recall minus exact-stage recall.</w:t>
      </w:r>
    </w:p>
    <w:p>
      <w:pPr>
        <w:pStyle w:val="Normal"/>
        <w:rPr/>
      </w:pPr>
      <w:r>
        <w:rPr>
          <w:b w:val="false"/>
          <w:i w:val="false"/>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pStyle w:val="Normal"/>
        <w:rPr/>
      </w:pPr>
      <w:r>
        <w:rPr>
          <w:b w:val="false"/>
          <w:i w:val="false"/>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pStyle w:val="Normal"/>
        <w:rPr/>
      </w:pPr>
      <w:r>
        <w:rPr>
          <w:b w:val="false"/>
          <w:i w:val="false"/>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pStyle w:val="Normal"/>
        <w:rPr/>
      </w:pPr>
      <w:r>
        <w:rPr>
          <w:b w:val="false"/>
          <w:i w:val="false"/>
        </w:rPr>
        <w:t>Compact reanalysis tables scale differences by 100. For recall this gives percentage points; for F1, one displayed score point means 0.01 on the original zero-to-one scale. Absolute F1 tables retain the zero-to-one scale.</w:t>
      </w:r>
    </w:p>
    <w:p>
      <w:pPr>
        <w:pStyle w:val="Normal"/>
        <w:rPr/>
      </w:pPr>
      <w:r>
        <w:rPr>
          <w:b w:val="false"/>
          <w:i w:val="false"/>
        </w:rPr>
        <w:t>For clarity, let TP, FP and FN denote true positives, false positives and false negatives for one class. Precision measures how many predictions of that class are correct; recall measures how many true members of that class were recovered. Their harmonic mean is F1. Macro-F1 averages class-specific F1 values equally, so a rare class has the same nominal weight as a common class.</w:t>
      </w:r>
    </w:p>
    <w:p>
      <w:pPr>
        <w:pStyle w:val="GWUEquation"/>
        <w:keepNext w:val="true"/>
        <w:spacing w:before="120" w:after="160"/>
        <w:jc w:val="center"/>
        <w:rPr/>
      </w:pPr>
      <w:r>
        <w:rPr/>
        <w:drawing>
          <wp:inline distT="0" distB="0" distL="0" distR="0">
            <wp:extent cx="1011555" cy="293370"/>
            <wp:effectExtent l="0" t="0" r="0" b="0"/>
            <wp:docPr id="20" name="Picture 20" descr="P_s=\frac{TP_s}{TP_s+FP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_s=\frac{TP_s}{TP_s+FP_s},"/>
                    <pic:cNvPicPr>
                      <a:picLocks noChangeAspect="1" noChangeArrowheads="1"/>
                    </pic:cNvPicPr>
                  </pic:nvPicPr>
                  <pic:blipFill>
                    <a:blip r:embed="rId24"/>
                    <a:stretch>
                      <a:fillRect/>
                    </a:stretch>
                  </pic:blipFill>
                  <pic:spPr bwMode="auto">
                    <a:xfrm>
                      <a:off x="0" y="0"/>
                      <a:ext cx="1011555" cy="29337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935355" cy="293370"/>
            <wp:effectExtent l="0" t="0" r="0" b="0"/>
            <wp:docPr id="21" name="Picture 21" descr="R_s=\frac{TP_s}{T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_s=\frac{TP_s}{TP_s+FN_s}"/>
                    <pic:cNvPicPr>
                      <a:picLocks noChangeAspect="1" noChangeArrowheads="1"/>
                    </pic:cNvPicPr>
                  </pic:nvPicPr>
                  <pic:blipFill>
                    <a:blip r:embed="rId25"/>
                    <a:stretch>
                      <a:fillRect/>
                    </a:stretch>
                  </pic:blipFill>
                  <pic:spPr bwMode="auto">
                    <a:xfrm>
                      <a:off x="0" y="0"/>
                      <a:ext cx="935355" cy="293370"/>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518285" cy="295910"/>
            <wp:effectExtent l="0" t="0" r="0" b="0"/>
            <wp:docPr id="22" name="Picture 22" descr="F1_s=\frac{2TP_s}{2TP_s+F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1_s=\frac{2TP_s}{2TP_s+FP_s+FN_s},"/>
                    <pic:cNvPicPr>
                      <a:picLocks noChangeAspect="1" noChangeArrowheads="1"/>
                    </pic:cNvPicPr>
                  </pic:nvPicPr>
                  <pic:blipFill>
                    <a:blip r:embed="rId26"/>
                    <a:stretch>
                      <a:fillRect/>
                    </a:stretch>
                  </pic:blipFill>
                  <pic:spPr bwMode="auto">
                    <a:xfrm>
                      <a:off x="0" y="0"/>
                      <a:ext cx="1518285" cy="2959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81760" cy="512445"/>
            <wp:effectExtent l="0" t="0" r="0" b="0"/>
            <wp:docPr id="23" name="Picture 23" descr="F1_{macro}=\frac{1}{K}\sum_{s=1}^{K}F1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1_{macro}=\frac{1}{K}\sum_{s=1}^{K}F1_s"/>
                    <pic:cNvPicPr>
                      <a:picLocks noChangeAspect="1" noChangeArrowheads="1"/>
                    </pic:cNvPicPr>
                  </pic:nvPicPr>
                  <pic:blipFill>
                    <a:blip r:embed="rId27"/>
                    <a:stretch>
                      <a:fillRect/>
                    </a:stretch>
                  </pic:blipFill>
                  <pic:spPr bwMode="auto">
                    <a:xfrm>
                      <a:off x="0" y="0"/>
                      <a:ext cx="1381760" cy="512445"/>
                    </a:xfrm>
                    <a:prstGeom prst="rect">
                      <a:avLst/>
                    </a:prstGeom>
                    <a:noFill/>
                  </pic:spPr>
                </pic:pic>
              </a:graphicData>
            </a:graphic>
          </wp:inline>
        </w:drawing>
      </w:r>
    </w:p>
    <w:p>
      <w:pPr>
        <w:pStyle w:val="Normal"/>
        <w:keepNext w:val="true"/>
        <w:rPr/>
      </w:pPr>
      <w:r>
        <w:rPr>
          <w:b w:val="false"/>
          <w:i w:val="false"/>
        </w:rPr>
        <w:t>With the confusion count C and benign label b defined above, the central decomposition is:</w:t>
      </w:r>
    </w:p>
    <w:p>
      <w:pPr>
        <w:pStyle w:val="GWUEquation"/>
        <w:keepNext w:val="true"/>
        <w:spacing w:before="120" w:after="160"/>
        <w:jc w:val="center"/>
        <w:rPr/>
      </w:pPr>
      <w:r>
        <w:rPr/>
        <w:drawing>
          <wp:inline distT="0" distB="0" distL="0" distR="0">
            <wp:extent cx="1014730" cy="308610"/>
            <wp:effectExtent l="0" t="0" r="0" b="0"/>
            <wp:docPr id="24" name="Picture 24" descr="R_{stage,s}=\frac{C_{s,s}}{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_{stage,s}=\frac{C_{s,s}}{N_s},"/>
                    <pic:cNvPicPr>
                      <a:picLocks noChangeAspect="1" noChangeArrowheads="1"/>
                    </pic:cNvPicPr>
                  </pic:nvPicPr>
                  <pic:blipFill>
                    <a:blip r:embed="rId28"/>
                    <a:stretch>
                      <a:fillRect/>
                    </a:stretch>
                  </pic:blipFill>
                  <pic:spPr bwMode="auto">
                    <a:xfrm>
                      <a:off x="0" y="0"/>
                      <a:ext cx="1014730" cy="3086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94460" cy="307975"/>
            <wp:effectExtent l="0" t="0" r="0" b="0"/>
            <wp:docPr id="25" name="Picture 25" descr="R_{warning,s}=1-\frac{C_{s,b}}{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_{warning,s}=1-\frac{C_{s,b}}{N_s}"/>
                    <pic:cNvPicPr>
                      <a:picLocks noChangeAspect="1" noChangeArrowheads="1"/>
                    </pic:cNvPicPr>
                  </pic:nvPicPr>
                  <pic:blipFill>
                    <a:blip r:embed="rId29"/>
                    <a:stretch>
                      <a:fillRect/>
                    </a:stretch>
                  </pic:blipFill>
                  <pic:spPr bwMode="auto">
                    <a:xfrm>
                      <a:off x="0" y="0"/>
                      <a:ext cx="1394460" cy="30797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007745" cy="442595"/>
            <wp:effectExtent l="0" t="0" r="0" b="0"/>
            <wp:docPr id="26" name="Picture 26" descr="FPR_b=\frac{\sum_{j\ne b}C_{b,j}}{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PR_b=\frac{\sum_{j\ne b}C_{b,j}}{N_b}"/>
                    <pic:cNvPicPr>
                      <a:picLocks noChangeAspect="1" noChangeArrowheads="1"/>
                    </pic:cNvPicPr>
                  </pic:nvPicPr>
                  <pic:blipFill>
                    <a:blip r:embed="rId30"/>
                    <a:stretch>
                      <a:fillRect/>
                    </a:stretch>
                  </pic:blipFill>
                  <pic:spPr bwMode="auto">
                    <a:xfrm>
                      <a:off x="0" y="0"/>
                      <a:ext cx="1007745" cy="442595"/>
                    </a:xfrm>
                    <a:prstGeom prst="rect">
                      <a:avLst/>
                    </a:prstGeom>
                    <a:noFill/>
                  </pic:spPr>
                </pic:pic>
              </a:graphicData>
            </a:graphic>
          </wp:inline>
        </w:drawing>
      </w:r>
    </w:p>
    <w:p>
      <w:pPr>
        <w:pStyle w:val="Normal"/>
        <w:rPr/>
      </w:pPr>
      <w:r>
        <w:rPr>
          <w:b w:val="false"/>
          <w:i w:val="false"/>
        </w:rPr>
        <w:t>These equations define ordinary confusion-matrix quantities. The model family does not change their meaning. The complete tables retain the original metric conventions; the paired reanalysis additionally marks unsupported true classes as undefined rather than silently excluding them.</w:t>
      </w:r>
    </w:p>
    <w:p>
      <w:pPr>
        <w:pStyle w:val="Heading2"/>
        <w:rPr/>
      </w:pPr>
      <w:bookmarkStart w:id="38" w:name="__RefHeading___Toc25725_2336213107"/>
      <w:bookmarkEnd w:id="38"/>
      <w:r>
        <w:rPr>
          <w:rFonts w:ascii="Times New Roman" w:hAnsi="Times New Roman"/>
          <w:b/>
          <w:i w:val="false"/>
        </w:rPr>
        <w:t>3.8 Paired Reanalysis, Uncertainty and Sensitivity</w:t>
      </w:r>
    </w:p>
    <w:p>
      <w:pPr>
        <w:pStyle w:val="Normal"/>
        <w:rPr/>
      </w:pPr>
      <w:r>
        <w:rPr>
          <w:b w:val="false"/>
          <w:i w:val="false"/>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declared evaluation-class meanings must match before a contrast is computed.</w:t>
      </w:r>
    </w:p>
    <w:p>
      <w:pPr>
        <w:pStyle w:val="Normal"/>
        <w:rPr/>
      </w:pPr>
      <w:r>
        <w:rPr>
          <w:b w:val="false"/>
          <w:i w:val="false"/>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pStyle w:val="Normal"/>
        <w:rPr/>
      </w:pPr>
      <w:r>
        <w:rPr>
          <w:b w:val="false"/>
          <w:i w:val="false"/>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pStyle w:val="Normal"/>
        <w:rPr/>
      </w:pPr>
      <w:r>
        <w:rPr>
          <w:b w:val="false"/>
          <w:i w:val="false"/>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Normal"/>
        <w:rPr/>
      </w:pPr>
      <w:r>
        <w:rPr>
          <w:b w:val="false"/>
          <w:i w:val="false"/>
        </w:rPr>
        <w:t>Bootstrap resampling is a general tool for measuring variation in a statistic (Efron, 1979). Here the resampling unit is a capture fragment, with shared multiplicities for each paired prediction comparison. That choice preserves the paired calculation but cannot make correlated fragments into independent campaigns. The reported intervals are explicitly conditional and descriptive.</w:t>
      </w:r>
    </w:p>
    <w:p>
      <w:pPr>
        <w:pStyle w:val="Normal"/>
        <w:rPr/>
      </w:pPr>
      <w:r>
        <w:rPr>
          <w:b w:val="false"/>
          <w:i w:val="false"/>
        </w:rPr>
        <w:t>The additional frozen sensitivity audit exhaustively removes each of five captures from each of 36 comparisons, holding predictions fixed, and removes each fitting seed from each of 12 three-seed means. The remaining seed metrics are averaged without pooling repeated flows. These finite omission ranges are not confidence intervals or unseen-campaign validation. Ordered per-capture confusion signatures identify repeated sufficient statistics among acquisition comparisons; equal signatures do not prove identical row-level predictions.</w:t>
      </w:r>
    </w:p>
    <w:p>
      <w:pPr>
        <w:pStyle w:val="Heading2"/>
        <w:rPr/>
      </w:pPr>
      <w:bookmarkStart w:id="39" w:name="__RefHeading___Toc25727_2336213107"/>
      <w:bookmarkEnd w:id="39"/>
      <w:r>
        <w:rPr>
          <w:rFonts w:ascii="Times New Roman" w:hAnsi="Times New Roman"/>
          <w:b/>
          <w:i w:val="false"/>
        </w:rPr>
        <w:t>3.9 Necessary Chronological-Support Test</w:t>
      </w:r>
    </w:p>
    <w:p>
      <w:pPr>
        <w:pStyle w:val="Normal"/>
        <w:rPr/>
      </w:pPr>
      <w:r>
        <w:rPr>
          <w:b w:val="false"/>
          <w:i w:val="false"/>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pStyle w:val="Normal"/>
        <w:rPr/>
      </w:pPr>
      <w:r>
        <w:rPr>
          <w:rFonts w:ascii="Consolas" w:hAnsi="Consolas"/>
          <w:b w:val="false"/>
          <w:i w:val="false"/>
          <w:sz w:val="20"/>
        </w:rPr>
        <w:t>max(second-earliest start across classes) &lt; c &lt;= min(latest start across classes)</w:t>
      </w:r>
    </w:p>
    <w:p>
      <w:pPr>
        <w:pStyle w:val="Normal"/>
        <w:rPr/>
      </w:pPr>
      <w:r>
        <w:rPr>
          <w:b w:val="false"/>
          <w:i w:val="false"/>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pStyle w:val="Normal"/>
        <w:rPr/>
      </w:pPr>
      <w:r>
        <w:rPr>
          <w:b w:val="false"/>
          <w:i w:val="false"/>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rPr/>
      </w:pPr>
      <w:bookmarkStart w:id="40" w:name="__RefHeading___Toc25729_2336213107"/>
      <w:bookmarkEnd w:id="40"/>
      <w:r>
        <w:rPr>
          <w:rFonts w:ascii="Times New Roman" w:hAnsi="Times New Roman"/>
          <w:b/>
          <w:i w:val="false"/>
        </w:rPr>
        <w:t>3.10 Reproducibility, Implementation and Compute</w:t>
      </w:r>
    </w:p>
    <w:p>
      <w:pPr>
        <w:pStyle w:val="Normal"/>
        <w:rPr/>
      </w:pPr>
      <w:r>
        <w:rPr>
          <w:b w:val="false"/>
          <w:i w:val="false"/>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pStyle w:val="Normal"/>
        <w:rPr/>
      </w:pPr>
      <w:r>
        <w:rPr>
          <w:b w:val="false"/>
          <w:i w:val="false"/>
        </w:rPr>
        <w:t>The historical completion added reanalysis, source checks and document assembly without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Normal"/>
        <w:rPr/>
      </w:pPr>
      <w:r>
        <w:rPr>
          <w:b w:val="false"/>
          <w:i w:val="false"/>
        </w:rPr>
        <w:t>The September 24 GWU edition assembled existing results without additional model fitting. The September 27 edition retains that evidence and adds the 12 full-release fitting jobs described in Section 3.11. The accompanying build records bind the original input artifacts, generated tables, charts, references and final document. Human authorship review and institutional approval remain distinct from computational verification.</w:t>
      </w:r>
    </w:p>
    <w:p>
      <w:pPr>
        <w:pStyle w:val="Normal"/>
        <w:rPr/>
      </w:pPr>
      <w:r>
        <w:rPr>
          <w:b w:val="false"/>
          <w:i w:val="false"/>
        </w:rPr>
        <w:t>The fit counts above describe the historical batch. The full-release extension adds 12 fitting jobs and the AIT validation adds 42, yielding 197 recorded jobs across the distinct evidence branches. Job counts include regressors and constant-class controls and do not count independent campaigns.</w:t>
      </w:r>
    </w:p>
    <w:p>
      <w:pPr>
        <w:pStyle w:val="Heading2"/>
        <w:rPr/>
      </w:pPr>
      <w:bookmarkStart w:id="41" w:name="__RefHeading___Toc25731_2336213107"/>
      <w:bookmarkEnd w:id="41"/>
      <w:r>
        <w:rPr>
          <w:rFonts w:ascii="Times New Roman" w:hAnsi="Times New Roman"/>
          <w:b/>
          <w:i w:val="false"/>
        </w:rPr>
        <w:t>3.11 Full-Release, Uncapped Extension</w:t>
      </w:r>
    </w:p>
    <w:p>
      <w:pPr>
        <w:pStyle w:val="Normal"/>
        <w:rPr/>
      </w:pPr>
      <w:r>
        <w:rPr>
          <w:b w:val="false"/>
          <w:i w:val="false"/>
        </w:rPr>
        <w:t>The original controlled history and acquisition study used eleven complete net1013x files (382,229 source rows), with class-specific fitting caps. To address the distinction between a complete prepared artifact and the complete upstream release, the new extension binds the original source inventory by SHA-256 and checks every released flow file against its recorded byte hash, row count and right-anchored native-stage totals. The pinned author repository revision is d2ea90055d82fa448ab20588a13e3ec8bfd74816. All 173 files across 31 capture directories are included; six sensor views remain separate because simultaneous network observations are dependent. A source row is not an independent attack execution.</w:t>
      </w:r>
    </w:p>
    <w:p>
      <w:pPr>
        <w:pStyle w:val="Normal"/>
        <w:rPr/>
      </w:pPr>
      <w:r>
        <w:rPr>
          <w:b w:val="false"/>
          <w:i w:val="false"/>
        </w:rPr>
        <w:t>The extension protocol was written before its new fitting jobs. It fixes training to flows completed before June 27, 2021 UTC, calibration to flows starting on or after June 27 and completed before June 28, and testing to flows starting on or after June 28. Flows spanning a boundary are excluded and counted. Exact within-sensor observable identities combine endpoints, service ports, timestamps and numeric current-flow measurements. Identical copies with consistent labels are counted once; conflicting copies are quarantined. Near-duplicates and cross-sensor dependence remain limitations.</w:t>
      </w:r>
    </w:p>
    <w:p>
      <w:pPr>
        <w:pStyle w:val="Normal"/>
        <w:rPr/>
      </w:pPr>
      <w:r>
        <w:rPr>
          <w:b w:val="false"/>
          <w:i w:val="false"/>
        </w:rPr>
        <w:t>The parser takes stable numeric fields from the first 77 columns and native annotation fields from the final four columns; variable unquoted comma-containing application fields are not treated as additional numeric inputs. Benign remains benign; reconnaissance, foothold and cover-up map to OtherAttackStage; movement and exfiltration retain their author labels. Flow identifiers, absolute timestamps, endpoint addresses, MAC addresses, raw ports, VLAN and tunnel identifiers are excluded from predictors. Three coarse destination-service indicators are included. The roles arm adds eight coarse topology indicators from the two endpoints. An 'other' role is not an independently verified Internet or attacker designation.</w:t>
      </w:r>
    </w:p>
    <w:p>
      <w:pPr>
        <w:pStyle w:val="Normal"/>
        <w:rPr/>
      </w:pPr>
      <w:r>
        <w:rPr>
          <w:b w:val="false"/>
          <w:i w:val="false"/>
        </w:rPr>
        <w:t>Each sensor has a current-flow arm and a current-flow-plus-roles arm. Every eligible training row is used without a class cap, downsampling or class weighting. LightGBM 4.7.0 uses 300 boosting iterations, 15 leaves, learning rate 0.05, minimum child support 10, L2 regularization 1.0, deterministic mode and seed 20260927. The extension environment uses NumPy 2.4.6, scikit-learn 1.9.0 and joblib 1.5.3; the historical environment remains recorded separately. No new history, future-event feature, source-sensor identity or alternative architecture is introduced. Prediction is multiclass argmax. A sensor with only one training class receives the corresponding constant-class probability vector: that is a degenerate control, not evidence of attack-learning ability. A probability-column alignment failure first exposed this library edge case; the implementation was corrected without changing cutoffs, source rows, features or selection thresholds.</w:t>
      </w:r>
    </w:p>
    <w:p>
      <w:pPr>
        <w:pStyle w:val="Normal"/>
        <w:rPr/>
      </w:pPr>
      <w:r>
        <w:rPr>
          <w:b w:val="false"/>
          <w:i w:val="false"/>
        </w:rPr>
        <w:t>Metrics include the complete four-by-four confusion matrix, exact-stage precision and recall, per-class F1, stage-conditioned non-benign warning recall, benign false-alert counts and rates, one-versus-rest ROC AUC and average precision where supported. Macro-F1 always averages the four declared classes, assigning zero to unsupported classes. It is not comparable across different support patterns as if they were equivalent tasks; for example, perfect benign-only prediction yields 0.25 on that fixed four-class measure. Unsupported warning recall is reported as unavailable, not as zero or success. Per-capture tables and every calibration/test prediction are retained.</w:t>
      </w:r>
    </w:p>
    <w:p>
      <w:pPr>
        <w:pStyle w:val="Normal"/>
        <w:rPr/>
      </w:pPr>
      <w:r>
        <w:rPr>
          <w:b w:val="false"/>
          <w:i w:val="false"/>
        </w:rPr>
        <w:t>A small applied review example freezes two choices on calibration alone. The score-only choice selects the higher macro-F1 arm, with ties favoring current flow. The conservative choice allows roles only if macro-F1 increases, warning recall for every supported attack stage falls by at most one percentage point, and benign false-positive rate rises by at most 0.1 percentage point. A missing calibration attack class makes the decision provisional. These tolerances are illustrative engineering choices, not validated analyst preferences or a guarantee on later data. Both choices are evaluated on the unchanged test population without retuning.</w:t>
      </w:r>
    </w:p>
    <w:p>
      <w:pPr>
        <w:pStyle w:val="Normal"/>
        <w:rPr/>
      </w:pPr>
      <w:r>
        <w:rPr>
          <w:b w:val="false"/>
          <w:i w:val="false"/>
        </w:rPr>
        <w:t>The new source inventory, frozen protocol, per-sensor results, prediction files, model objects and independent count-based audit are retained in the accompanying evidence. One deterministic fit per arm estimates this declared contrast; it adds no campaign-level confidence interval. The original fitting-seed sensitivity remains the evidence about historical run variation.</w:t>
      </w:r>
    </w:p>
    <w:p>
      <w:pPr>
        <w:pStyle w:val="Heading2"/>
        <w:rPr/>
      </w:pPr>
      <w:bookmarkStart w:id="42" w:name="__RefHeading___Toc25733_2336213107"/>
      <w:bookmarkEnd w:id="42"/>
      <w:r>
        <w:rPr>
          <w:rFonts w:ascii="Times New Roman" w:hAnsi="Times New Roman"/>
          <w:b/>
          <w:i w:val="false"/>
        </w:rPr>
        <w:t>3.12 Adapted External-Execution Validation on AIT</w:t>
      </w:r>
    </w:p>
    <w:p>
      <w:pPr>
        <w:pStyle w:val="Heading3"/>
        <w:rPr/>
      </w:pPr>
      <w:r>
        <w:rPr>
          <w:rFonts w:ascii="Times New Roman" w:hAnsi="Times New Roman"/>
          <w:b/>
          <w:i w:val="false"/>
        </w:rPr>
        <w:t>3.12.1 Question, source and pre-fit freeze</w:t>
      </w:r>
    </w:p>
    <w:p>
      <w:pPr>
        <w:pStyle w:val="Normal"/>
        <w:rPr/>
      </w:pPr>
      <w:r>
        <w:rPr>
          <w:b w:val="false"/>
          <w:i w:val="false"/>
        </w:rPr>
        <w:t>The added experiment tests the score, warning and false-alert comparison on a different source with entire executions held out. The acquisition objective comparison is retained, but the native taxonomy and evidence contract require an adaptation: benign, other attack and exfiltration replace the original four classes, and prior history is the only optional group. No movement label is inferred. Publisher roles, networks, ports and identities participate in source labeling and are excluded from model inputs. Thus this is an external-source execution test of an adapted configuration, not an exact PX081 replication.</w:t>
      </w:r>
    </w:p>
    <w:p>
      <w:pPr>
        <w:pStyle w:val="Normal"/>
        <w:rPr/>
      </w:pPr>
      <w:r>
        <w:rPr>
          <w:b w:val="false"/>
          <w:i w:val="false"/>
        </w:rPr>
        <w:t>All eight archives of AIT Netflow Data Set version 2, DOI 10.5281/zenodo.13168643, were downloaded and checked against publisher MD5s, local SHA256 hashes and every ZIP member's CRC (Soro et al., 2024). The laboratory generator supplies simulated legitimate traffic and repeated attack scenarios (Landauer et al., 2021, 2023). Qualification counts and timestamps were examined before fitting. PROTOCOL.md fixes the comparisons; FREEZE.json, written before the first fit, binds code, prepared data, software, features, execution membership and seeds. No result-dependent tuning or source omission followed evaluation.</w:t>
      </w:r>
    </w:p>
    <w:p>
      <w:pPr>
        <w:pStyle w:val="Heading3"/>
        <w:rPr/>
      </w:pPr>
      <w:r>
        <w:rPr>
          <w:rFonts w:ascii="Times New Roman" w:hAnsi="Times New Roman"/>
          <w:b/>
          <w:i w:val="false"/>
        </w:rPr>
        <w:t>3.12.2 Complete population and execution split</w:t>
      </w:r>
    </w:p>
    <w:p>
      <w:pPr>
        <w:pStyle w:val="Normal"/>
        <w:rPr/>
      </w:pPr>
      <w:r>
        <w:rPr>
          <w:b w:val="false"/>
          <w:i w:val="false"/>
        </w:rPr>
        <w:t>The complete source contains 3,465,342 rows. Preparation excludes 942 empty/unknown labels, ten invalid numeric records and 21 exact duplicate records; no conflicting-identity group was found. All 3,464,369 eligible rows remain. Exact observable identity combines protocol, endpoints, ports, times, packet counts and byte counts. Zero identity-hash intersections occur between final training and evaluation. Probe identities are absent from the aggregated release, so near-duplicate observations of the same activity may remain within an execution.</w:t>
      </w:r>
    </w:p>
    <w:p>
      <w:pPr>
        <w:pStyle w:val="Normal"/>
        <w:rPr/>
      </w:pPr>
      <w:r>
        <w:rPr>
          <w:b w:val="false"/>
          <w:i w:val="false"/>
        </w:rPr>
        <w:t>Executions are ordered by earliest observed start, with alphabetical tie-breaking. Santos, Fox, Wardbeck, Russellmitchell, Shaw and Wheeler provide 2,397,158 training rows. Wilson and Harrison provide 1,067,211 held-out rows. The latest training completion is January 30, 2022 at 23:58 UTC, before the first held-out observation on February 3 at 00:00 UTC. Final evaluation is both execution-disjoint and calendar-separated. Development forward folds use preceding executions to predict the next one; overlapping development execution intervals mean those folds are not a strict calendar-forward stream simulation.</w:t>
      </w:r>
    </w:p>
    <w:p>
      <w:pPr>
        <w:pStyle w:val="GWUTableCaption"/>
        <w:rPr/>
      </w:pPr>
      <w:bookmarkStart w:id="43" w:name="__RefHeading___Toc25945_2336213107"/>
      <w:bookmarkEnd w:id="43"/>
      <w:r>
        <w:rPr>
          <w:b w:val="false"/>
          <w:i w:val="false"/>
        </w:rPr>
        <w:t>Table 3-10. Complete AIT source coverage and final allocation.</w:t>
      </w:r>
    </w:p>
    <w:p>
      <w:pPr>
        <w:pStyle w:val="Normal"/>
        <w:keepNext w:val="true"/>
        <w:ind w:hanging="0"/>
        <w:rPr/>
      </w:pPr>
      <w:r>
        <w:rPr>
          <w:b w:val="false"/>
          <w:i w:val="false"/>
        </w:rPr>
        <w:t>Counts are source observations, not independent attack counts.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87"/>
        <w:gridCol w:w="1456"/>
        <w:gridCol w:w="1399"/>
        <w:gridCol w:w="1400"/>
        <w:gridCol w:w="1399"/>
        <w:gridCol w:w="1399"/>
      </w:tblGrid>
      <w:tr>
        <w:trPr>
          <w:tblHeader w:val="true"/>
          <w:cantSplit/>
        </w:trPr>
        <w:tc>
          <w:tcPr>
            <w:tcW w:w="15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Raw rows</w:t>
            </w:r>
          </w:p>
        </w:tc>
        <w:tc>
          <w:tcPr>
            <w:tcW w:w="14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Eligible rows</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3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288,547</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288,536</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351,908</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351,902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390,224</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390,220</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377,704</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377,702</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453,541</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452,598</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58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45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536,206</w:t>
            </w:r>
          </w:p>
        </w:tc>
        <w:tc>
          <w:tcPr>
            <w:tcW w:w="14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536,200</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3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58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5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4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629,553</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3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58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437,659</w:t>
            </w:r>
          </w:p>
        </w:tc>
        <w:tc>
          <w:tcPr>
            <w:tcW w:w="14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437,658</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39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3"/>
        <w:rPr/>
      </w:pPr>
      <w:r>
        <w:rPr>
          <w:rFonts w:ascii="Times New Roman" w:hAnsi="Times New Roman"/>
          <w:b/>
          <w:i w:val="false"/>
        </w:rPr>
        <w:t>3.12.3 Features, fitted models and acquisition rule</w:t>
      </w:r>
    </w:p>
    <w:p>
      <w:pPr>
        <w:pStyle w:val="Normal"/>
        <w:rPr/>
      </w:pPr>
      <w:r>
        <w:rPr>
          <w:b w:val="false"/>
          <w:i w:val="false"/>
        </w:rPr>
        <w:t>Ten current-flow features encode TCP/UDP, log duration, directional packet and byte totals, directional fractions and mean bytes per packet. Eight optional history features summarize flows from the same initiating endpoint that ended strictly before the current start and within the preceding hour: count, byte and packet totals and means, mean log duration, UDP fraction and time since the latest eligible completion. Empty histories are zero. Labels never enter history. Raw endpoint identifiers only key grouping; identifiers, ports, absolute timestamps, FQDNs, publisher roles, network names and execution identifiers are not predictors. Decisions describe completed flows.</w:t>
      </w:r>
    </w:p>
    <w:p>
      <w:pPr>
        <w:pStyle w:val="Normal"/>
        <w:rPr/>
      </w:pPr>
      <w:r>
        <w:rPr>
          <w:b w:val="false"/>
          <w:i w:val="false"/>
        </w:rPr>
        <w:t>For each of seeds 8101, 8102 and 8103, two LightGBM classifiers use current features or current plus history. Each has 150 boosting iterations, 15 leaves, learning rate .05, minimum child support ten and L2 regularization one, with deterministic execution and four CPU threads. Every eligible fitting row is used without class caps, class weighting, tuning or early stopping. Five forward development folds supply out-of-fold probabilities. Two regressors, each with 100 boosting iterations and nine leaves, estimate entropy reduction or weighted hard-error reduction after obtaining history. The illustrative error weights are [1,1,4]. Selectors observe only current features and current probabilities; optional history and post-acquisition probabilities are excluded from their inputs. Final classifiers fit all six development executions. The inventory is 36 classifier fits and six selector fits.</w:t>
      </w:r>
    </w:p>
    <w:p>
      <w:pPr>
        <w:pStyle w:val="Normal"/>
        <w:rPr/>
      </w:pPr>
      <w:r>
        <w:rPr>
          <w:b w:val="false"/>
          <w:i w:val="false"/>
        </w:rPr>
        <w:t>Policies are current-only, always-history, acquire if predicted entropy reduction is positive, and acquire if predicted weighted-error reduction is positive. All receive the same per-row budget of two; history costs two and arrives after .75 time units before a deadline of one. These are clean-delivery offline simulations. Equal available budgets do not imply equal realized spending, so acquisition fractions are reported. The implementation uses Python 3.11.9, NumPy 2.4.6, pandas 2.3.3 and LightGBM 4.7.0; full dependency pins accompany the evidence.</w:t>
      </w:r>
    </w:p>
    <w:p>
      <w:pPr>
        <w:pStyle w:val="Heading3"/>
        <w:rPr/>
      </w:pPr>
      <w:r>
        <w:rPr>
          <w:rFonts w:ascii="Times New Roman" w:hAnsi="Times New Roman"/>
          <w:b/>
          <w:i w:val="false"/>
        </w:rPr>
        <w:t>3.12.4 Outcome definitions and label limits</w:t>
      </w:r>
    </w:p>
    <w:p>
      <w:pPr>
        <w:pStyle w:val="Normal"/>
        <w:rPr/>
      </w:pPr>
      <w:r>
        <w:rPr>
          <w:b w:val="false"/>
          <w:i w:val="false"/>
        </w:rPr>
        <w:t>The frozen primary direction is higher macro-F1 accompanied by lower exfiltration warning recall under error-focused versus entropy-focused selection. Every policy, seed and held-out execution is reported, along with pooled and equal-execution summaries. Three-class macro-F1 cannot be read as equivalent to the original four-class score. Warning recall counts any non-benign prediction on an exfiltration-labeled row. Exact-stage recall, complete confusion matrices, false alerts, errors and acquisition counts remain separately available. Fitting seeds do not multiply the number of independent executions; no campaign-population confidence interval is claimed.</w:t>
      </w:r>
    </w:p>
    <w:p>
      <w:pPr>
        <w:pStyle w:val="Normal"/>
        <w:rPr/>
      </w:pPr>
      <w:r>
        <w:rPr>
          <w:b w:val="false"/>
          <w:i w:val="false"/>
        </w:rPr>
        <w:t>Publisher labels use topology, service ports and attack timing. The released UDP notebook labels residual unmatched traffic as exfiltration. A descriptive audit confirms that all 183,121 native exfiltration rows use DNS port 53 and a publisher-identified attacker endpoint. This establishes consistency with the published scenario, not independent payload verification. Those fields remain excluded from predictors. The computational audit independently recomputes reported results and verifies frozen hashes, strict prior-history boundaries, fitting populations, OOF targets, acquisition actions, selected probabilities and budget constraints. It passes all 1,245 checks.</w:t>
      </w:r>
      <w:r>
        <w:br w:type="page"/>
      </w:r>
    </w:p>
    <w:p>
      <w:pPr>
        <w:pStyle w:val="Heading1"/>
        <w:rPr/>
      </w:pPr>
      <w:bookmarkStart w:id="44" w:name="__RefHeading___Toc25735_2336213107"/>
      <w:bookmarkEnd w:id="44"/>
      <w:r>
        <w:rPr>
          <w:rFonts w:ascii="Times New Roman" w:hAnsi="Times New Roman"/>
          <w:b/>
          <w:i w:val="false"/>
        </w:rPr>
        <w:t>Chapter 4: Results</w:t>
      </w:r>
    </w:p>
    <w:p>
      <w:pPr>
        <w:pStyle w:val="Heading2"/>
        <w:rPr/>
      </w:pPr>
      <w:bookmarkStart w:id="45" w:name="__RefHeading___Toc25737_2336213107"/>
      <w:bookmarkEnd w:id="45"/>
      <w:r>
        <w:rPr>
          <w:rFonts w:ascii="Times New Roman" w:hAnsi="Times New Roman"/>
          <w:b/>
          <w:i w:val="false"/>
        </w:rPr>
        <w:t>4.1 Primary Finding: Overall Scores and Missed Exfiltration Warnings</w:t>
      </w:r>
    </w:p>
    <w:p>
      <w:pPr>
        <w:pStyle w:val="GWUTableCaption"/>
        <w:rPr/>
      </w:pPr>
      <w:bookmarkStart w:id="46" w:name="__RefHeading___Toc25943_2336213107"/>
      <w:bookmarkEnd w:id="46"/>
      <w:r>
        <w:rPr>
          <w:b w:val="false"/>
          <w:i w:val="false"/>
        </w:rPr>
        <w:t>Table 4-1. Acquisition comparisons at the largest registered budget.</w:t>
      </w:r>
    </w:p>
    <w:p>
      <w:pPr>
        <w:pStyle w:val="Normal"/>
        <w:keepNext w:val="true"/>
        <w:ind w:hanging="0"/>
        <w:rPr/>
      </w:pPr>
      <w:r>
        <w:rPr>
          <w:b w:val="false"/>
          <w:i w:val="false"/>
        </w:rPr>
        <w:t>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13"/>
        <w:gridCol w:w="1657"/>
        <w:gridCol w:w="1656"/>
        <w:gridCol w:w="1657"/>
        <w:gridCol w:w="1657"/>
      </w:tblGrid>
      <w:tr>
        <w:trPr>
          <w:tblHeader w:val="true"/>
          <w:cantSplit/>
        </w:trPr>
        <w:tc>
          <w:tcPr>
            <w:tcW w:w="20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policy</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exfil.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67.18%</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w:t>
            </w:r>
          </w:p>
        </w:tc>
      </w:tr>
      <w:tr>
        <w:trPr>
          <w:cantSplit/>
        </w:trPr>
        <w:tc>
          <w:tcPr>
            <w:tcW w:w="20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Error focused</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65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67.01%</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w:t>
            </w:r>
          </w:p>
        </w:tc>
      </w:tr>
    </w:tbl>
    <w:p>
      <w:pPr>
        <w:pStyle w:val="Normal"/>
        <w:spacing w:lineRule="auto" w:line="60" w:before="0" w:after="40"/>
        <w:rPr/>
      </w:pPr>
      <w:r>
        <w:rPr/>
      </w:r>
    </w:p>
    <w:p>
      <w:pPr>
        <w:pStyle w:val="Normal"/>
        <w:rPr/>
      </w:pPr>
      <w:r>
        <w:rPr>
          <w:b w:val="false"/>
          <w:i w:val="false"/>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pStyle w:val="Normal"/>
        <w:rPr/>
      </w:pPr>
      <w:r>
        <w:rPr>
          <w:b w:val="false"/>
          <w:i w:val="false"/>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pStyle w:val="Normal"/>
        <w:rPr/>
      </w:pPr>
      <w:r>
        <w:rPr>
          <w:b w:val="false"/>
          <w:i w:val="false"/>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p>
      <w:pPr>
        <w:pStyle w:val="GWUTableCaption"/>
        <w:rPr/>
      </w:pPr>
      <w:bookmarkStart w:id="47" w:name="__RefHeading___Toc25941_2336213107"/>
      <w:bookmarkEnd w:id="47"/>
      <w:r>
        <w:rPr>
          <w:b w:val="false"/>
          <w:i w:val="false"/>
        </w:rPr>
        <w:t>Table 4-2. Acquisition differences by condition and budget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Budget</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F1 (x100)</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exfil 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lost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 up / warning down seeds</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697.33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475.33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406.00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r>
    </w:tbl>
    <w:p>
      <w:pPr>
        <w:pStyle w:val="Normal"/>
        <w:spacing w:lineRule="auto" w:line="60" w:before="0" w:after="40"/>
        <w:rPr/>
      </w:pPr>
      <w:r>
        <w:rPr/>
      </w:r>
    </w:p>
    <w:p>
      <w:pPr>
        <w:pStyle w:val="Normal"/>
        <w:rPr/>
      </w:pPr>
      <w:r>
        <w:rPr>
          <w:b w:val="false"/>
          <w:i w:val="false"/>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p>
      <w:pPr>
        <w:pStyle w:val="GWUTableCaption"/>
        <w:rPr/>
      </w:pPr>
      <w:bookmarkStart w:id="48" w:name="__RefHeading___Toc25939_2336213107"/>
      <w:bookmarkEnd w:id="48"/>
      <w:r>
        <w:rPr>
          <w:b w:val="false"/>
          <w:i w:val="false"/>
        </w:rPr>
        <w:t>Table 4-3. Clean budget-three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99"/>
        <w:gridCol w:w="1598"/>
        <w:gridCol w:w="1752"/>
        <w:gridCol w:w="1771"/>
        <w:gridCol w:w="1920"/>
      </w:tblGrid>
      <w:tr>
        <w:trPr>
          <w:tblHeader w:val="true"/>
          <w:cantSplit/>
        </w:trPr>
        <w:tc>
          <w:tcPr>
            <w:tcW w:w="15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59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F1 (x100)</w:t>
            </w:r>
          </w:p>
        </w:tc>
        <w:tc>
          <w:tcPr>
            <w:tcW w:w="17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w:t>
            </w:r>
          </w:p>
        </w:tc>
        <w:tc>
          <w:tcPr>
            <w:tcW w:w="17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All exact exfil errors</w:t>
            </w:r>
          </w:p>
        </w:tc>
        <w:tc>
          <w:tcPr>
            <w:tcW w:w="19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warning pp [95% paired interval]</w:t>
            </w:r>
          </w:p>
        </w:tc>
      </w:tr>
      <w:tr>
        <w:trPr>
          <w:cantSplit/>
        </w:trPr>
        <w:tc>
          <w:tcPr>
            <w:tcW w:w="15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59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w:t>
            </w:r>
          </w:p>
        </w:tc>
        <w:tc>
          <w:tcPr>
            <w:tcW w:w="17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222 → 1119</w:t>
            </w:r>
          </w:p>
        </w:tc>
        <w:tc>
          <w:tcPr>
            <w:tcW w:w="177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1122 → 1130</w:t>
            </w:r>
          </w:p>
        </w:tc>
        <w:tc>
          <w:tcPr>
            <w:tcW w:w="19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-26.06 [-92.42, -0.88]</w:t>
            </w:r>
          </w:p>
        </w:tc>
      </w:tr>
      <w:tr>
        <w:trPr>
          <w:cantSplit/>
        </w:trPr>
        <w:tc>
          <w:tcPr>
            <w:tcW w:w="15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59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w:t>
            </w:r>
          </w:p>
        </w:tc>
        <w:tc>
          <w:tcPr>
            <w:tcW w:w="17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203 → 206</w:t>
            </w:r>
          </w:p>
        </w:tc>
        <w:tc>
          <w:tcPr>
            <w:tcW w:w="177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1129</w:t>
            </w:r>
          </w:p>
        </w:tc>
        <w:tc>
          <w:tcPr>
            <w:tcW w:w="19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-0.09 [-0.52, 0.00]</w:t>
            </w:r>
          </w:p>
        </w:tc>
      </w:tr>
      <w:tr>
        <w:trPr>
          <w:cantSplit/>
        </w:trPr>
        <w:tc>
          <w:tcPr>
            <w:tcW w:w="159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59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7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1105 → 1127</w:t>
            </w:r>
          </w:p>
        </w:tc>
        <w:tc>
          <w:tcPr>
            <w:tcW w:w="177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1130</w:t>
            </w:r>
          </w:p>
        </w:tc>
        <w:tc>
          <w:tcPr>
            <w:tcW w:w="192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 [-3.06, -0.15]</w:t>
            </w:r>
          </w:p>
        </w:tc>
      </w:tr>
    </w:tbl>
    <w:p>
      <w:pPr>
        <w:pStyle w:val="Normal"/>
        <w:spacing w:lineRule="auto" w:line="60" w:before="0" w:after="40"/>
        <w:rPr/>
      </w:pPr>
      <w:r>
        <w:rPr/>
      </w:r>
    </w:p>
    <w:p>
      <w:pPr>
        <w:pStyle w:val="Normal"/>
        <w:spacing w:before="0" w:after="0"/>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1800" w:right="1800" w:gutter="0" w:header="720" w:top="1440" w:footer="720" w:bottom="1440"/>
          <w:pgNumType w:start="1" w:fmt="decimal"/>
          <w:formProt w:val="false"/>
          <w:textDirection w:val="lrTb"/>
          <w:docGrid w:type="default" w:linePitch="360" w:charSpace="0"/>
        </w:sectPr>
      </w:pPr>
      <w:r>
        <w:rPr>
          <w:b w:val="false"/>
          <w:i w:val="false"/>
        </w:rPr>
        <w:t>All three attack stages, including zero changes and reverse directions, are included in the complete paired table. The full set was specified before this reanalysis, after selected warning-loss observations had already been inspected; it remains retrospective.</w:t>
      </w:r>
    </w:p>
    <w:p>
      <w:pPr>
        <w:pStyle w:val="GWUEquation"/>
        <w:keepNext w:val="true"/>
        <w:spacing w:before="0" w:after="80"/>
        <w:jc w:val="center"/>
        <w:rPr/>
      </w:pPr>
      <w:r>
        <w:rPr/>
        <w:drawing>
          <wp:inline distT="0" distB="0" distL="0" distR="0">
            <wp:extent cx="7772400" cy="3691890"/>
            <wp:effectExtent l="0" t="0" r="0" b="0"/>
            <wp:docPr id="27" name="Picture 27"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 2. Exfiltration error destinations in clean replay at budget three. Exact-stage predictions and wrong-stage attack predictions both retain a warning; benign predictions do not. These are model-label outcomes on the same author-labeled records."/>
                    <pic:cNvPicPr>
                      <a:picLocks noChangeAspect="1" noChangeArrowheads="1"/>
                    </pic:cNvPicPr>
                  </pic:nvPicPr>
                  <pic:blipFill>
                    <a:blip r:embed="rId37"/>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38"/>
          <w:headerReference w:type="first" r:id="rId39"/>
          <w:footerReference w:type="default" r:id="rId40"/>
          <w:footerReference w:type="first" r:id="rId41"/>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49" w:name="__RefHeading___Toc25842_2336213107"/>
      <w:bookmarkEnd w:id="49"/>
      <w:r>
        <w:rPr>
          <w:b w:val="false"/>
          <w:i w:val="false"/>
        </w:rPr>
        <w:t>Figure 4-1. Exfiltration error destinations in clean replay at budget three. Exact-stage predictions and wrong-stage attack predictions both retain a warning; benign predictions do not. These are model-label outcomes on the same author-labeled records.</w:t>
      </w:r>
    </w:p>
    <w:p>
      <w:pPr>
        <w:pStyle w:val="GWUEquation"/>
        <w:keepNext w:val="true"/>
        <w:spacing w:before="0" w:after="80"/>
        <w:jc w:val="center"/>
        <w:rPr/>
      </w:pPr>
      <w:r>
        <w:rPr/>
        <w:drawing>
          <wp:inline distT="0" distB="0" distL="0" distR="0">
            <wp:extent cx="7772400" cy="4100830"/>
            <wp:effectExtent l="0" t="0" r="0" b="0"/>
            <wp:docPr id="28" name="Picture 28" descr="Complete acquisition comparisons. Each condition and budget is shown with paired F1, exfiltration warning and benign false-alert changes; all fitting seeds remain in the accompany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mplete acquisition comparisons. Each condition and budget is shown with paired F1, exfiltration warning and benign false-alert changes; all fitting seeds remain in the accompanying tables."/>
                    <pic:cNvPicPr>
                      <a:picLocks noChangeAspect="1" noChangeArrowheads="1"/>
                    </pic:cNvPicPr>
                  </pic:nvPicPr>
                  <pic:blipFill>
                    <a:blip r:embed="rId42"/>
                    <a:stretch>
                      <a:fillRect/>
                    </a:stretch>
                  </pic:blipFill>
                  <pic:spPr bwMode="auto">
                    <a:xfrm>
                      <a:off x="0" y="0"/>
                      <a:ext cx="7772400" cy="4100830"/>
                    </a:xfrm>
                    <a:prstGeom prst="rect">
                      <a:avLst/>
                    </a:prstGeom>
                    <a:noFill/>
                  </pic:spPr>
                </pic:pic>
              </a:graphicData>
            </a:graphic>
          </wp:inline>
        </w:drawing>
      </w:r>
    </w:p>
    <w:p>
      <w:pPr>
        <w:pStyle w:val="GWUFigureCaption"/>
        <w:spacing w:before="0" w:after="0"/>
        <w:rPr/>
        <w:sectPr>
          <w:headerReference w:type="default" r:id="rId43"/>
          <w:headerReference w:type="first" r:id="rId44"/>
          <w:footerReference w:type="default" r:id="rId45"/>
          <w:footerReference w:type="first" r:id="rId4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0" w:name="__RefHeading___Toc25840_2336213107"/>
      <w:bookmarkEnd w:id="50"/>
      <w:r>
        <w:rPr>
          <w:b w:val="false"/>
          <w:i w:val="false"/>
        </w:rPr>
        <w:t>Figure 4-2. Complete acquisition comparisons. Each condition and budget is shown with paired F1, exfiltration warning and benign false-alert changes; all fitting seeds remain in the accompanying tables.</w:t>
      </w:r>
    </w:p>
    <w:p>
      <w:pPr>
        <w:pStyle w:val="Normal"/>
        <w:rPr/>
      </w:pPr>
      <w:r>
        <w:rPr>
          <w:b w:val="false"/>
          <w:i w:val="false"/>
        </w:rPr>
        <w:t>Across the complete acquisition inventory, the error-focused policy has higher mean macro-F1 in eight of nine condition/budget groups and lower exfiltration warning recall in all nine. Wrong-host budget three has both lower F1 and lower warning recall. The complete tables retain that unfavorable combination, the unrestricted references and every declared policy. Lower simulated request expenditure is reported as a replay result, not a measured collection saving.</w:t>
      </w:r>
    </w:p>
    <w:p>
      <w:pPr>
        <w:pStyle w:val="Heading2"/>
        <w:rPr/>
      </w:pPr>
      <w:bookmarkStart w:id="51" w:name="__RefHeading___Toc25739_2336213107"/>
      <w:bookmarkEnd w:id="51"/>
      <w:r>
        <w:rPr>
          <w:rFonts w:ascii="Times New Roman" w:hAnsi="Times New Roman"/>
          <w:b/>
          <w:i w:val="false"/>
        </w:rPr>
        <w:t>4.2 Chronological History Gains and Their Tradeoff</w:t>
      </w:r>
    </w:p>
    <w:p>
      <w:pPr>
        <w:pStyle w:val="Normal"/>
        <w:rPr/>
      </w:pPr>
      <w:r>
        <w:rPr>
          <w:b w:val="false"/>
          <w:i w:val="false"/>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pStyle w:val="Normal"/>
        <w:rPr/>
      </w:pPr>
      <w:r>
        <w:rPr>
          <w:b w:val="false"/>
          <w:i w:val="false"/>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pStyle w:val="Normal"/>
        <w:rPr/>
      </w:pPr>
      <w:r>
        <w:rPr>
          <w:b w:val="false"/>
          <w:i w:val="false"/>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p>
      <w:pPr>
        <w:pStyle w:val="GWUTableCaption"/>
        <w:rPr/>
      </w:pPr>
      <w:bookmarkStart w:id="52" w:name="__RefHeading___Toc25937_2336213107"/>
      <w:bookmarkEnd w:id="52"/>
      <w:r>
        <w:rPr>
          <w:b w:val="false"/>
          <w:i w:val="false"/>
        </w:rPr>
        <w:t>Table 4-4. Chronological history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27"/>
        <w:gridCol w:w="2231"/>
        <w:gridCol w:w="2127"/>
        <w:gridCol w:w="2255"/>
      </w:tblGrid>
      <w:tr>
        <w:trPr>
          <w:tblHeader w:val="true"/>
          <w:cantSplit/>
        </w:trPr>
        <w:tc>
          <w:tcPr>
            <w:tcW w:w="2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23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 [95% interval]</w:t>
            </w:r>
          </w:p>
        </w:tc>
        <w:tc>
          <w:tcPr>
            <w:tcW w:w="21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 current → history</w:t>
            </w:r>
          </w:p>
        </w:tc>
        <w:tc>
          <w:tcPr>
            <w:tcW w:w="22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 [95% interval]</w:t>
            </w:r>
          </w:p>
        </w:tc>
      </w:tr>
      <w:tr>
        <w:trPr>
          <w:cantSplit/>
        </w:trPr>
        <w:tc>
          <w:tcPr>
            <w:tcW w:w="20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23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2.98 [0.42, 6.41]</w:t>
            </w:r>
          </w:p>
        </w:tc>
        <w:tc>
          <w:tcPr>
            <w:tcW w:w="21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565 → 572</w:t>
            </w:r>
          </w:p>
        </w:tc>
        <w:tc>
          <w:tcPr>
            <w:tcW w:w="22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-0.41 [-2.62, 0.00]</w:t>
            </w:r>
          </w:p>
        </w:tc>
      </w:tr>
      <w:tr>
        <w:trPr>
          <w:cantSplit/>
        </w:trPr>
        <w:tc>
          <w:tcPr>
            <w:tcW w:w="20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23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1.08 [-2.11, 4.20]</w:t>
            </w:r>
          </w:p>
        </w:tc>
        <w:tc>
          <w:tcPr>
            <w:tcW w:w="21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569</w:t>
            </w:r>
          </w:p>
        </w:tc>
        <w:tc>
          <w:tcPr>
            <w:tcW w:w="22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-0.35 [-2.09, 0.00]</w:t>
            </w:r>
          </w:p>
        </w:tc>
      </w:tr>
      <w:tr>
        <w:trPr>
          <w:cantSplit/>
        </w:trPr>
        <w:tc>
          <w:tcPr>
            <w:tcW w:w="202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23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2.45 [0.43, 3.07]</w:t>
            </w:r>
          </w:p>
        </w:tc>
        <w:tc>
          <w:tcPr>
            <w:tcW w:w="21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571</w:t>
            </w:r>
          </w:p>
        </w:tc>
        <w:tc>
          <w:tcPr>
            <w:tcW w:w="22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-0.46 [-2.88, -0.09]</w:t>
            </w:r>
          </w:p>
        </w:tc>
      </w:tr>
    </w:tbl>
    <w:p>
      <w:pPr>
        <w:pStyle w:val="Normal"/>
        <w:spacing w:lineRule="auto" w:line="60" w:before="0" w:after="40"/>
        <w:rPr/>
      </w:pPr>
      <w:r>
        <w:rPr/>
      </w:r>
    </w:p>
    <w:p>
      <w:pPr>
        <w:pStyle w:val="Normal"/>
        <w:rPr/>
      </w:pPr>
      <w:r>
        <w:rPr>
          <w:b w:val="false"/>
          <w:i w:val="false"/>
        </w:rPr>
        <w:t>Intervals for the added missed-warning counts are [0, 17], [0, 14] and [1, 17], respectively. They reuse the same capture draws as the temporal contrasts. These are descriptive fragment-resampling intervals, not independent-campaign or prospective validation. The reanalysis audit verifies unchanged input hashes, paired identities and independently recomputed arithmetic.</w:t>
      </w:r>
    </w:p>
    <w:p>
      <w:pPr>
        <w:pStyle w:val="Heading2"/>
        <w:rPr/>
      </w:pPr>
      <w:bookmarkStart w:id="53" w:name="__RefHeading___Toc25741_2336213107"/>
      <w:bookmarkEnd w:id="53"/>
      <w:r>
        <w:rPr>
          <w:rFonts w:ascii="Times New Roman" w:hAnsi="Times New Roman"/>
          <w:b/>
          <w:i w:val="false"/>
        </w:rPr>
        <w:t>4.3 Supporting Finding: Fixed-Anchor Temporal Sensitivity</w:t>
      </w:r>
    </w:p>
    <w:p>
      <w:pPr>
        <w:pStyle w:val="GWUTableCaption"/>
        <w:rPr/>
      </w:pPr>
      <w:bookmarkStart w:id="54" w:name="__RefHeading___Toc25935_2336213107"/>
      <w:bookmarkEnd w:id="54"/>
      <w:r>
        <w:rPr>
          <w:b w:val="false"/>
          <w:i w:val="false"/>
        </w:rPr>
        <w:t>Table 4-5. Temporal experiment.</w:t>
      </w:r>
    </w:p>
    <w:p>
      <w:pPr>
        <w:pStyle w:val="Normal"/>
        <w:keepNext w:val="true"/>
        <w:ind w:hanging="0"/>
        <w:rPr/>
      </w:pPr>
      <w:r>
        <w:rPr>
          <w:b w:val="false"/>
          <w:i w:val="false"/>
        </w:rPr>
        <w:t>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Chapter 3.</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74"/>
        <w:gridCol w:w="1389"/>
        <w:gridCol w:w="1389"/>
        <w:gridCol w:w="1389"/>
        <w:gridCol w:w="1389"/>
        <w:gridCol w:w="1510"/>
      </w:tblGrid>
      <w:tr>
        <w:trPr>
          <w:tblHeader w:val="true"/>
          <w:cantSplit/>
        </w:trPr>
        <w:tc>
          <w:tcPr>
            <w:tcW w:w="15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 / fit</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recall</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F1</w:t>
            </w:r>
          </w:p>
        </w:tc>
        <w:tc>
          <w:tcPr>
            <w:tcW w:w="151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(rate)</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Past</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24.0 (0.025%)</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Mixed</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61.11%</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0.9523</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88.7 (0.092%)</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Random</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57.84%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0.3116</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0.9404</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84.0 (0.044%)</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Past</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29.63%</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14.3 (0.015%)</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Mixed</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57.41%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0.2798</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47.7 (0.050%)</w:t>
            </w:r>
          </w:p>
        </w:tc>
      </w:tr>
      <w:tr>
        <w:trPr>
          <w:cantSplit/>
        </w:trPr>
        <w:tc>
          <w:tcPr>
            <w:tcW w:w="15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Random</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0.4336</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0.9753</w:t>
            </w:r>
          </w:p>
        </w:tc>
        <w:tc>
          <w:tcPr>
            <w:tcW w:w="151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49.3 (0.026%)</w:t>
            </w:r>
          </w:p>
        </w:tc>
      </w:tr>
    </w:tbl>
    <w:p>
      <w:pPr>
        <w:pStyle w:val="Normal"/>
        <w:spacing w:lineRule="auto" w:line="60" w:before="0" w:after="40"/>
        <w:rPr/>
      </w:pPr>
      <w:r>
        <w:rPr/>
      </w:r>
    </w:p>
    <w:p>
      <w:pPr>
        <w:pStyle w:val="Normal"/>
        <w:rPr/>
      </w:pPr>
      <w:r>
        <w:rPr>
          <w:b w:val="false"/>
          <w:i w:val="false"/>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pStyle w:val="Normal"/>
        <w:rPr/>
      </w:pPr>
      <w:r>
        <w:rPr>
          <w:b w:val="false"/>
          <w:i w:val="false"/>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pStyle w:val="Normal"/>
        <w:rPr/>
      </w:pPr>
      <w:r>
        <w:rPr>
          <w:b w:val="false"/>
          <w:i w:val="false"/>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p>
      <w:pPr>
        <w:pStyle w:val="GWUTableCaption"/>
        <w:rPr/>
      </w:pPr>
      <w:bookmarkStart w:id="55" w:name="__RefHeading___Toc25933_2336213107"/>
      <w:bookmarkEnd w:id="55"/>
      <w:r>
        <w:rPr>
          <w:b w:val="false"/>
          <w:i w:val="false"/>
        </w:rPr>
        <w:t>Table 4-6. Fixed-anchor temporal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44"/>
        <w:gridCol w:w="1620"/>
        <w:gridCol w:w="1620"/>
        <w:gridCol w:w="1836"/>
        <w:gridCol w:w="1620"/>
      </w:tblGrid>
      <w:tr>
        <w:trPr>
          <w:tblHeader w:val="true"/>
          <w:cantSplit/>
        </w:trPr>
        <w:tc>
          <w:tcPr>
            <w:tcW w:w="1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w:t>
            </w:r>
          </w:p>
        </w:tc>
        <w:tc>
          <w:tcPr>
            <w:tcW w:w="18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95% F1 interval (x100)</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7.52</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[1.96, 26.31]</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32.11</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[1.20, 17.24]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12.66</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[1.65, 24.36]</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32.00</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 15.49]</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9.29</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[0.12, 20.62]</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31.94</w:t>
            </w:r>
          </w:p>
        </w:tc>
      </w:tr>
      <w:tr>
        <w:trPr>
          <w:cantSplit/>
        </w:trPr>
        <w:tc>
          <w:tcPr>
            <w:tcW w:w="1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5.18</w:t>
            </w:r>
          </w:p>
        </w:tc>
        <w:tc>
          <w:tcPr>
            <w:tcW w:w="18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 25.69]</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31.59</w:t>
            </w:r>
          </w:p>
        </w:tc>
      </w:tr>
    </w:tbl>
    <w:p>
      <w:pPr>
        <w:pStyle w:val="Normal"/>
        <w:spacing w:lineRule="auto" w:line="60" w:before="0" w:after="40"/>
        <w:rPr/>
      </w:pPr>
      <w:r>
        <w:rPr/>
      </w:r>
    </w:p>
    <w:p>
      <w:pPr>
        <w:pStyle w:val="Normal"/>
        <w:spacing w:before="0" w:after="0"/>
        <w:rPr/>
        <w:sectPr>
          <w:headerReference w:type="default" r:id="rId47"/>
          <w:headerReference w:type="first" r:id="rId48"/>
          <w:footerReference w:type="default" r:id="rId49"/>
          <w:footerReference w:type="first" r:id="rId5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the complete reanalysis.</w:t>
      </w:r>
    </w:p>
    <w:p>
      <w:pPr>
        <w:pStyle w:val="GWUEquation"/>
        <w:keepNext w:val="true"/>
        <w:spacing w:before="0" w:after="80"/>
        <w:jc w:val="center"/>
        <w:rPr/>
      </w:pPr>
      <w:r>
        <w:rPr/>
        <w:drawing>
          <wp:inline distT="0" distB="0" distL="0" distR="0">
            <wp:extent cx="7772400" cy="3691890"/>
            <wp:effectExtent l="0" t="0" r="0" b="0"/>
            <wp:docPr id="29" name="Picture 29" descr="Figure 1. Fixed-anchor training-composition differences. Bars show means of three fits on the same events. The adjacent table reports per-seed conditional capture-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igure 1. Fixed-anchor training-composition differences. Bars show means of three fits on the same events. The adjacent table reports per-seed conditional capture-bootstrap intervals."/>
                    <pic:cNvPicPr>
                      <a:picLocks noChangeAspect="1" noChangeArrowheads="1"/>
                    </pic:cNvPicPr>
                  </pic:nvPicPr>
                  <pic:blipFill>
                    <a:blip r:embed="rId51"/>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52"/>
          <w:headerReference w:type="first" r:id="rId53"/>
          <w:footerReference w:type="default" r:id="rId54"/>
          <w:footerReference w:type="first" r:id="rId5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6" w:name="__RefHeading___Toc25838_2336213107"/>
      <w:bookmarkEnd w:id="56"/>
      <w:r>
        <w:rPr>
          <w:b w:val="false"/>
          <w:i w:val="false"/>
        </w:rPr>
        <w:t>Figure 4-3. Fixed-anchor training-composition differences. Bars show means of three fits on the same events. The adjacent table reports per-seed conditional capture-bootstrap intervals.</w:t>
      </w:r>
    </w:p>
    <w:p>
      <w:pPr>
        <w:pStyle w:val="Heading2"/>
        <w:rPr/>
      </w:pPr>
      <w:bookmarkStart w:id="57" w:name="__RefHeading___Toc25743_2336213107"/>
      <w:bookmarkEnd w:id="57"/>
      <w:r>
        <w:rPr>
          <w:rFonts w:ascii="Times New Roman" w:hAnsi="Times New Roman"/>
          <w:b/>
          <w:i w:val="false"/>
        </w:rPr>
        <w:t>4.4 History Selection and Simple Controls</w:t>
      </w:r>
    </w:p>
    <w:p>
      <w:pPr>
        <w:pStyle w:val="Normal"/>
        <w:rPr/>
      </w:pPr>
      <w:r>
        <w:rPr>
          <w:b w:val="false"/>
          <w:i w:val="false"/>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pStyle w:val="GWUTableCaption"/>
        <w:rPr/>
      </w:pPr>
      <w:bookmarkStart w:id="58" w:name="__RefHeading___Toc25931_2336213107"/>
      <w:bookmarkEnd w:id="58"/>
      <w:r>
        <w:rPr>
          <w:b w:val="false"/>
          <w:i w:val="false"/>
        </w:rPr>
        <w:t>Table 4-7. History-selection tradeoffs.</w:t>
      </w:r>
    </w:p>
    <w:p>
      <w:pPr>
        <w:pStyle w:val="Normal"/>
        <w:keepNext w:val="true"/>
        <w:ind w:hanging="0"/>
        <w:rPr/>
      </w:pPr>
      <w:r>
        <w:rPr>
          <w:b w:val="false"/>
          <w:i w:val="false"/>
        </w:rPr>
        <w:t>Recall and false alerts are three-fit means. The same 35 movement rows and 192,193 benign rows recur across conditions.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2"/>
        <w:gridCol w:w="1625"/>
        <w:gridCol w:w="1626"/>
        <w:gridCol w:w="1625"/>
        <w:gridCol w:w="1812"/>
      </w:tblGrid>
      <w:tr>
        <w:trPr>
          <w:tblHeader w:val="true"/>
          <w:cantSplit/>
        </w:trPr>
        <w:tc>
          <w:tcPr>
            <w:tcW w:w="19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Ordinary recall</w:t>
            </w:r>
          </w:p>
        </w:tc>
        <w:tc>
          <w:tcPr>
            <w:tcW w:w="16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Weighted recall</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Dropout recall</w:t>
            </w:r>
          </w:p>
        </w:tc>
        <w:tc>
          <w:tcPr>
            <w:tcW w:w="18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Alerts: ordinary / weighted</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64.76%</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69.52%</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51.43%</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 / 109.0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Half missing</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52.38%</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60.95%</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62.86%</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74.3 / 93.7</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All missing</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36.19%</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42.86%</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62.3 / 77.0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49.52%</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63.81%</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48.57%</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85.0 / 113.3</w:t>
            </w:r>
          </w:p>
        </w:tc>
      </w:tr>
      <w:tr>
        <w:trPr>
          <w:cantSplit/>
        </w:trPr>
        <w:tc>
          <w:tcPr>
            <w:tcW w:w="19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35.24%</w:t>
            </w:r>
          </w:p>
        </w:tc>
        <w:tc>
          <w:tcPr>
            <w:tcW w:w="162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44.76%</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61.7 / 81.3</w:t>
            </w:r>
          </w:p>
        </w:tc>
      </w:tr>
    </w:tbl>
    <w:p>
      <w:pPr>
        <w:pStyle w:val="Normal"/>
        <w:spacing w:lineRule="auto" w:line="60" w:before="0" w:after="40"/>
        <w:rPr/>
      </w:pPr>
      <w:r>
        <w:rPr/>
      </w:r>
    </w:p>
    <w:p>
      <w:pPr>
        <w:pStyle w:val="Normal"/>
        <w:spacing w:before="0" w:after="0"/>
        <w:rPr/>
        <w:sectPr>
          <w:headerReference w:type="default" r:id="rId56"/>
          <w:headerReference w:type="first" r:id="rId57"/>
          <w:footerReference w:type="default" r:id="rId58"/>
          <w:footerReference w:type="first" r:id="rId59"/>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pStyle w:val="GWUEquation"/>
        <w:keepNext w:val="true"/>
        <w:spacing w:before="0" w:after="80"/>
        <w:jc w:val="center"/>
        <w:rPr/>
      </w:pPr>
      <w:r>
        <w:rPr/>
        <w:drawing>
          <wp:inline distT="0" distB="0" distL="0" distR="0">
            <wp:extent cx="7772400" cy="4109720"/>
            <wp:effectExtent l="0" t="0" r="0" b="0"/>
            <wp:docPr id="30" name="Picture 30" descr="History-selection movement recall and benign false-alert outcomes across all five evidence conditions. Stage weights affect selector targets, while the current-plus-roles model supplies a strong simp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istory-selection movement recall and benign false-alert outcomes across all five evidence conditions. Stage weights affect selector targets, while the current-plus-roles model supplies a strong simple control."/>
                    <pic:cNvPicPr>
                      <a:picLocks noChangeAspect="1" noChangeArrowheads="1"/>
                    </pic:cNvPicPr>
                  </pic:nvPicPr>
                  <pic:blipFill>
                    <a:blip r:embed="rId60"/>
                    <a:stretch>
                      <a:fillRect/>
                    </a:stretch>
                  </pic:blipFill>
                  <pic:spPr bwMode="auto">
                    <a:xfrm>
                      <a:off x="0" y="0"/>
                      <a:ext cx="7772400" cy="4109720"/>
                    </a:xfrm>
                    <a:prstGeom prst="rect">
                      <a:avLst/>
                    </a:prstGeom>
                    <a:noFill/>
                  </pic:spPr>
                </pic:pic>
              </a:graphicData>
            </a:graphic>
          </wp:inline>
        </w:drawing>
      </w:r>
    </w:p>
    <w:p>
      <w:pPr>
        <w:pStyle w:val="GWUFigureCaption"/>
        <w:spacing w:before="0" w:after="0"/>
        <w:rPr/>
        <w:sectPr>
          <w:headerReference w:type="default" r:id="rId61"/>
          <w:headerReference w:type="first" r:id="rId62"/>
          <w:footerReference w:type="default" r:id="rId63"/>
          <w:footerReference w:type="first" r:id="rId64"/>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9" w:name="__RefHeading___Toc25836_2336213107"/>
      <w:bookmarkEnd w:id="59"/>
      <w:r>
        <w:rPr>
          <w:b w:val="false"/>
          <w:i w:val="false"/>
        </w:rPr>
        <w:t>Figure 4-4. History-selection movement recall and benign false-alert outcomes across all five evidence conditions. Stage weights affect selector targets, while the current-plus-roles model supplies a strong simple control.</w:t>
      </w:r>
    </w:p>
    <w:p>
      <w:pPr>
        <w:pStyle w:val="Heading2"/>
        <w:rPr/>
      </w:pPr>
      <w:bookmarkStart w:id="60" w:name="__RefHeading___Toc25745_2336213107"/>
      <w:bookmarkEnd w:id="60"/>
      <w:r>
        <w:rPr>
          <w:rFonts w:ascii="Times New Roman" w:hAnsi="Times New Roman"/>
          <w:b/>
          <w:i w:val="false"/>
        </w:rPr>
        <w:t>4.5 Dataset Evaluation and Qualification Results</w:t>
      </w:r>
    </w:p>
    <w:p>
      <w:pPr>
        <w:pStyle w:val="GWUTableCaption"/>
        <w:rPr/>
      </w:pPr>
      <w:bookmarkStart w:id="61" w:name="__RefHeading___Toc25929_2336213107"/>
      <w:bookmarkEnd w:id="61"/>
      <w:r>
        <w:rPr>
          <w:b w:val="false"/>
          <w:i w:val="false"/>
        </w:rPr>
        <w:t>Table 4-8. Results of source qualification.</w:t>
      </w:r>
    </w:p>
    <w:p>
      <w:pPr>
        <w:pStyle w:val="Normal"/>
        <w:keepNext w:val="true"/>
        <w:ind w:hanging="0"/>
        <w:rPr/>
      </w:pPr>
      <w:r>
        <w:rPr>
          <w:b w:val="false"/>
          <w:i w:val="false"/>
        </w:rPr>
        <w:t>These counts describe the inspected files; eligibility refers to the unchanged all-native-class temporal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99"/>
        <w:gridCol w:w="1993"/>
        <w:gridCol w:w="1991"/>
        <w:gridCol w:w="2457"/>
      </w:tblGrid>
      <w:tr>
        <w:trPr>
          <w:tblHeader w:val="true"/>
          <w:cantSplit/>
        </w:trPr>
        <w:tc>
          <w:tcPr>
            <w:tcW w:w="21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9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rows</w:t>
            </w:r>
          </w:p>
        </w:tc>
        <w:tc>
          <w:tcPr>
            <w:tcW w:w="199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Native classes</w:t>
            </w:r>
          </w:p>
        </w:tc>
        <w:tc>
          <w:tcPr>
            <w:tcW w:w="24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finding</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259,120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recorded-start support; clocks and execution mapping unqualified</w:t>
            </w:r>
          </w:p>
        </w:tc>
      </w:tr>
      <w:tr>
        <w:trPr>
          <w:cantSplit/>
        </w:trPr>
        <w:tc>
          <w:tcPr>
            <w:tcW w:w="21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199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86,691</w:t>
            </w:r>
          </w:p>
        </w:tc>
        <w:tc>
          <w:tcPr>
            <w:tcW w:w="199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all-class single cutoff; 15 exfiltration rows</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65,000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DAPT-derived synthetic source; no natural event chronology</w:t>
            </w:r>
          </w:p>
        </w:tc>
      </w:tr>
      <w:tr>
        <w:trPr>
          <w:cantSplit/>
        </w:trPr>
        <w:tc>
          <w:tcPr>
            <w:tcW w:w="219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199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acquired</w:t>
            </w:r>
          </w:p>
        </w:tc>
        <w:tc>
          <w:tcPr>
            <w:tcW w:w="199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verified</w:t>
            </w:r>
          </w:p>
        </w:tc>
        <w:tc>
          <w:tcPr>
            <w:tcW w:w="24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acquired release</w:t>
            </w:r>
          </w:p>
        </w:tc>
      </w:tr>
    </w:tbl>
    <w:p>
      <w:pPr>
        <w:pStyle w:val="Normal"/>
        <w:spacing w:lineRule="auto" w:line="60" w:before="0" w:after="40"/>
        <w:rPr/>
      </w:pPr>
      <w:r>
        <w:rPr/>
      </w:r>
    </w:p>
    <w:p>
      <w:pPr>
        <w:pStyle w:val="Normal"/>
        <w:rPr/>
      </w:pPr>
      <w:r>
        <w:rPr>
          <w:b w:val="false"/>
          <w:i w:val="false"/>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pStyle w:val="Normal"/>
        <w:rPr/>
      </w:pPr>
      <w:r>
        <w:rPr>
          <w:b w:val="false"/>
          <w:i w:val="false"/>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pStyle w:val="Normal"/>
        <w:rPr/>
      </w:pPr>
      <w:r>
        <w:rPr>
          <w:b w:val="false"/>
          <w:i w:val="false"/>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pStyle w:val="Normal"/>
        <w:spacing w:before="0" w:after="0"/>
        <w:rPr/>
        <w:sectPr>
          <w:headerReference w:type="default" r:id="rId65"/>
          <w:headerReference w:type="first" r:id="rId66"/>
          <w:footerReference w:type="default" r:id="rId67"/>
          <w:footerReference w:type="first" r:id="rId68"/>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verification receipt records all 16 checks and source identities.</w:t>
      </w:r>
    </w:p>
    <w:p>
      <w:pPr>
        <w:pStyle w:val="GWUEquation"/>
        <w:keepNext w:val="true"/>
        <w:spacing w:before="0" w:after="80"/>
        <w:jc w:val="center"/>
        <w:rPr/>
      </w:pPr>
      <w:r>
        <w:rPr/>
        <w:drawing>
          <wp:inline distT="0" distB="0" distL="0" distR="0">
            <wp:extent cx="7772400" cy="3886200"/>
            <wp:effectExtent l="0" t="0" r="0" b="0"/>
            <wp:docPr id="31" name="Picture 31" descr="Figure 3. Why DAPT cannot support the unchanged all-stage cutoff. Ranges run from each native class's second-earliest to latest recorded start. A cut that trains on exfiltration cannot retain later reconnaissance in this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igure 3. Why DAPT cannot support the unchanged all-stage cutoff. Ranges run from each native class's second-earliest to latest recorded start. A cut that trains on exfiltration cannot retain later reconnaissance in this release."/>
                    <pic:cNvPicPr>
                      <a:picLocks noChangeAspect="1" noChangeArrowheads="1"/>
                    </pic:cNvPicPr>
                  </pic:nvPicPr>
                  <pic:blipFill>
                    <a:blip r:embed="rId69"/>
                    <a:stretch>
                      <a:fillRect/>
                    </a:stretch>
                  </pic:blipFill>
                  <pic:spPr bwMode="auto">
                    <a:xfrm>
                      <a:off x="0" y="0"/>
                      <a:ext cx="7772400" cy="3886200"/>
                    </a:xfrm>
                    <a:prstGeom prst="rect">
                      <a:avLst/>
                    </a:prstGeom>
                    <a:noFill/>
                  </pic:spPr>
                </pic:pic>
              </a:graphicData>
            </a:graphic>
          </wp:inline>
        </w:drawing>
      </w:r>
    </w:p>
    <w:p>
      <w:pPr>
        <w:pStyle w:val="GWUFigureCaption"/>
        <w:spacing w:before="0" w:after="0"/>
        <w:rPr/>
        <w:sectPr>
          <w:headerReference w:type="default" r:id="rId70"/>
          <w:headerReference w:type="first" r:id="rId71"/>
          <w:footerReference w:type="default" r:id="rId72"/>
          <w:footerReference w:type="first" r:id="rId73"/>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2" w:name="__RefHeading___Toc25834_2336213107"/>
      <w:bookmarkEnd w:id="62"/>
      <w:r>
        <w:rPr>
          <w:b w:val="false"/>
          <w:i w:val="false"/>
        </w:rPr>
        <w:t>Figure 4-5. Why DAPT cannot support the unchanged all-stage cutoff. Ranges run from each native class's second-earliest to latest recorded start. A cut that trains on exfiltration cannot retain later reconnaissance in this release.</w:t>
      </w:r>
    </w:p>
    <w:p>
      <w:pPr>
        <w:pStyle w:val="GWUEquation"/>
        <w:keepNext w:val="true"/>
        <w:spacing w:before="0" w:after="80"/>
        <w:jc w:val="center"/>
        <w:rPr/>
      </w:pPr>
      <w:r>
        <w:rPr/>
        <w:drawing>
          <wp:inline distT="0" distB="0" distL="0" distR="0">
            <wp:extent cx="7772400" cy="4097020"/>
            <wp:effectExtent l="0" t="0" r="0" b="0"/>
            <wp:docPr id="32" name="Picture 32" descr="Observed class support and source eligibility. Dataset counts and qualification decisions describe the inspected artifacts and the declar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Observed class support and source eligibility. Dataset counts and qualification decisions describe the inspected artifacts and the declared task."/>
                    <pic:cNvPicPr>
                      <a:picLocks noChangeAspect="1" noChangeArrowheads="1"/>
                    </pic:cNvPicPr>
                  </pic:nvPicPr>
                  <pic:blipFill>
                    <a:blip r:embed="rId74"/>
                    <a:stretch>
                      <a:fillRect/>
                    </a:stretch>
                  </pic:blipFill>
                  <pic:spPr bwMode="auto">
                    <a:xfrm>
                      <a:off x="0" y="0"/>
                      <a:ext cx="7772400" cy="4097020"/>
                    </a:xfrm>
                    <a:prstGeom prst="rect">
                      <a:avLst/>
                    </a:prstGeom>
                    <a:noFill/>
                  </pic:spPr>
                </pic:pic>
              </a:graphicData>
            </a:graphic>
          </wp:inline>
        </w:drawing>
      </w:r>
    </w:p>
    <w:p>
      <w:pPr>
        <w:pStyle w:val="GWUFigureCaption"/>
        <w:spacing w:before="0" w:after="0"/>
        <w:rPr/>
        <w:sectPr>
          <w:headerReference w:type="default" r:id="rId75"/>
          <w:headerReference w:type="first" r:id="rId76"/>
          <w:footerReference w:type="default" r:id="rId77"/>
          <w:footerReference w:type="first" r:id="rId78"/>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3" w:name="__RefHeading___Toc25832_2336213107"/>
      <w:bookmarkEnd w:id="63"/>
      <w:r>
        <w:rPr>
          <w:b w:val="false"/>
          <w:i w:val="false"/>
        </w:rPr>
        <w:t>Figure 4-6. Observed class support and source eligibility. Dataset counts and qualification decisions describe the inspected artifacts and the declared task.</w:t>
      </w:r>
    </w:p>
    <w:p>
      <w:pPr>
        <w:pStyle w:val="Heading2"/>
        <w:rPr/>
      </w:pPr>
      <w:bookmarkStart w:id="64" w:name="__RefHeading___Toc25747_2336213107"/>
      <w:bookmarkEnd w:id="64"/>
      <w:r>
        <w:rPr>
          <w:rFonts w:ascii="Times New Roman" w:hAnsi="Times New Roman"/>
          <w:b/>
          <w:i w:val="false"/>
        </w:rPr>
        <w:t>4.6 Capture and Fitting-Seed Sensitivity</w:t>
      </w:r>
    </w:p>
    <w:p>
      <w:pPr>
        <w:pStyle w:val="Normal"/>
        <w:rPr/>
      </w:pPr>
      <w:r>
        <w:rPr>
          <w:b w:val="false"/>
          <w:i w:val="false"/>
        </w:rPr>
        <w:t>The frozen sensitivity audit (</w:t>
      </w:r>
      <w:r>
        <w:rPr>
          <w:rFonts w:ascii="Consolas" w:hAnsi="Consolas"/>
          <w:b w:val="false"/>
          <w:i w:val="false"/>
          <w:sz w:val="20"/>
        </w:rPr>
        <w:t>e9de91d</w:t>
      </w:r>
      <w:r>
        <w:rPr>
          <w:b w:val="false"/>
          <w:i w:val="false"/>
        </w:rPr>
        <w:t>) includes every registered pair: 180 leave-one-capture-out calculations and 36 leave-one-fitting-seed-out means. Predictions are fixed, and the remaining seed metrics are averaged without pooling flows. Omission ranges are finite sensitivity summaries, not confidence intervals or independent replications.</w:t>
      </w:r>
    </w:p>
    <w:p>
      <w:pPr>
        <w:pStyle w:val="Normal"/>
        <w:rPr/>
      </w:pPr>
      <w:r>
        <w:rPr>
          <w:b w:val="false"/>
          <w:i w:val="false"/>
        </w:rPr>
        <w:t>For clean budget three, higher mean F1 and lower exfiltration warning recall remain in all five capture omissions and all three fitting-seed omissions. The magnitude is strongly sensitive to seed 8101: excluding it reduces the warning loss from 8.93 to 0.36 percentage points and the mean extra missed warnings from 307.33 to 12.50. Thus the qualitative mean tradeoff survives this deletion, but the original mean is not a stable estimate of its magnitude.</w:t>
      </w:r>
    </w:p>
    <w:p>
      <w:pPr>
        <w:pStyle w:val="Normal"/>
        <w:rPr/>
      </w:pPr>
      <w:r>
        <w:rPr>
          <w:b w:val="false"/>
          <w:i w:val="false"/>
        </w:rPr>
        <w:t>Macro-F1 changes in the tables are score points (raw score differences multiplied by 100); warning-recall changes are percentage points.</w:t>
      </w:r>
    </w:p>
    <w:p>
      <w:pPr>
        <w:pStyle w:val="GWUTableCaption"/>
        <w:rPr/>
      </w:pPr>
      <w:bookmarkStart w:id="65" w:name="__RefHeading___Toc25927_2336213107"/>
      <w:bookmarkEnd w:id="65"/>
      <w:r>
        <w:rPr>
          <w:b w:val="false"/>
          <w:i w:val="false"/>
        </w:rPr>
        <w:t>Table 4-9. Seed and capture omissions at clean budget three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379"/>
        <w:gridCol w:w="2087"/>
        <w:gridCol w:w="2087"/>
        <w:gridCol w:w="2087"/>
      </w:tblGrid>
      <w:tr>
        <w:trPr>
          <w:tblHeader w:val="true"/>
          <w:cantSplit/>
        </w:trPr>
        <w:tc>
          <w:tcPr>
            <w:tcW w:w="23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Omitted unit</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missed warnings</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8101</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-13.35</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459.50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8103</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2.78</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6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-25.71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305.67</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7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8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2.26</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293.00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9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-7.74</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246.33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10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bl>
    <w:p>
      <w:pPr>
        <w:pStyle w:val="Normal"/>
        <w:spacing w:lineRule="auto" w:line="60" w:before="0" w:after="40"/>
        <w:rPr/>
      </w:pPr>
      <w:r>
        <w:rPr/>
      </w:r>
    </w:p>
    <w:p>
      <w:pPr>
        <w:pStyle w:val="Normal"/>
        <w:rPr/>
      </w:pPr>
      <w:r>
        <w:rPr>
          <w:b w:val="false"/>
          <w:i w:val="false"/>
        </w:rPr>
        <w:t>At individual-seed level, the clean budget-three tradeoff occurs in 10/15 capture-omission pairs: all five for seed 8101, none for seed 8102, and all five for seed 8103. Across all 12 group means, the nine original F1-up/warning-down groups retain that direction under every specified single-seed and single-capture omission; this stability statement concerns means on the same campaign.</w:t>
      </w:r>
    </w:p>
    <w:p>
      <w:pPr>
        <w:pStyle w:val="Normal"/>
        <w:rPr/>
      </w:pPr>
      <w:r>
        <w:rPr>
          <w:b w:val="false"/>
          <w:i w:val="false"/>
        </w:rPr>
        <w:t>Current-feature mixed-minus-past F1 stays positive in all 15 fitting-seed/capture-omission pairs. Per-seed ranges are:</w:t>
      </w:r>
    </w:p>
    <w:p>
      <w:pPr>
        <w:pStyle w:val="GWUTableCaption"/>
        <w:rPr/>
      </w:pPr>
      <w:bookmarkStart w:id="66" w:name="__RefHeading___Toc25925_2336213107"/>
      <w:bookmarkEnd w:id="66"/>
      <w:r>
        <w:rPr>
          <w:b w:val="false"/>
          <w:i w:val="false"/>
        </w:rPr>
        <w:t>Table 4-10. Current-feature temporal gains after capture omission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8"/>
        <w:gridCol w:w="2874"/>
        <w:gridCol w:w="3018"/>
      </w:tblGrid>
      <w:tr>
        <w:trPr>
          <w:tblHeader w:val="true"/>
          <w:cantSplit/>
        </w:trPr>
        <w:tc>
          <w:tcPr>
            <w:tcW w:w="274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8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Positive omission differences</w:t>
            </w:r>
          </w:p>
        </w:tc>
        <w:tc>
          <w:tcPr>
            <w:tcW w:w="30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 range</w:t>
            </w:r>
          </w:p>
        </w:tc>
      </w:tr>
      <w:tr>
        <w:trPr>
          <w:cantSplit/>
        </w:trPr>
        <w:tc>
          <w:tcPr>
            <w:tcW w:w="274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8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4.80 to 21.78</w:t>
            </w:r>
          </w:p>
        </w:tc>
      </w:tr>
      <w:tr>
        <w:trPr>
          <w:cantSplit/>
        </w:trPr>
        <w:tc>
          <w:tcPr>
            <w:tcW w:w="274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8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4.29 to 20.56</w:t>
            </w:r>
          </w:p>
        </w:tc>
      </w:tr>
      <w:tr>
        <w:trPr>
          <w:cantSplit/>
        </w:trPr>
        <w:tc>
          <w:tcPr>
            <w:tcW w:w="274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8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1.83 to 15.95</w:t>
            </w:r>
          </w:p>
        </w:tc>
      </w:tr>
    </w:tbl>
    <w:p>
      <w:pPr>
        <w:pStyle w:val="Normal"/>
        <w:spacing w:lineRule="auto" w:line="60" w:before="0" w:after="40"/>
        <w:rPr/>
      </w:pPr>
      <w:r>
        <w:rPr/>
      </w:r>
    </w:p>
    <w:p>
      <w:pPr>
        <w:pStyle w:val="Normal"/>
        <w:rPr/>
      </w:pPr>
      <w:r>
        <w:rPr>
          <w:b w:val="false"/>
          <w:i w:val="false"/>
        </w:rPr>
        <w:t>The history-feature mixed-minus-past comparison is also positive in 15/15 pairs. Chronological history-minus-current is positive in 14/15; seed 20260924 becomes -0.13 macro-F1 score points when capture 9 is omitted. No omission loses support for a declared evaluation class (unsupported omission IDs: none).</w:t>
      </w:r>
    </w:p>
    <w:p>
      <w:pPr>
        <w:pStyle w:val="Normal"/>
        <w:rPr/>
      </w:pPr>
      <w:r>
        <w:rPr>
          <w:b w:val="false"/>
          <w:i w:val="false"/>
        </w:rPr>
        <w:t>The 27 PX081 contrasts form 24 distinct ordered per-capture confusion signatures. The higher-F1/lower-warning count is 19/27 registered pairs or 17/24 aggregate-equivalent signature classes. These are not independent replication counts. Equal confusion signatures do not establish identical individual predictions; all signatures still share events, models and one previously examined campaign.</w:t>
      </w:r>
    </w:p>
    <w:p>
      <w:pPr>
        <w:pStyle w:val="Normal"/>
        <w:spacing w:before="0" w:after="0"/>
        <w:rPr/>
        <w:sectPr>
          <w:headerReference w:type="default" r:id="rId79"/>
          <w:headerReference w:type="first" r:id="rId80"/>
          <w:footerReference w:type="default" r:id="rId81"/>
          <w:footerReference w:type="first" r:id="rId82"/>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All omitted-capture identities, per-seed supports, directions and numerical values remain in the complete sensitivity report and arithmetic receipt. Original main-study results and their limitations are unchanged.</w:t>
      </w:r>
    </w:p>
    <w:p>
      <w:pPr>
        <w:pStyle w:val="GWUEquation"/>
        <w:keepNext w:val="true"/>
        <w:spacing w:before="0" w:after="80"/>
        <w:jc w:val="center"/>
        <w:rPr/>
      </w:pPr>
      <w:r>
        <w:rPr/>
        <w:drawing>
          <wp:inline distT="0" distB="0" distL="0" distR="0">
            <wp:extent cx="7772400" cy="3730625"/>
            <wp:effectExtent l="0" t="0" r="0" b="0"/>
            <wp:docPr id="33" name="Picture 33" descr="Fitting-seed influence on the clean budget-three warning tradeoff. The full mean and each leave-one-seed-out mean expose the effect-siz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itting-seed influence on the clean budget-three warning tradeoff. The full mean and each leave-one-seed-out mean expose the effect-size dependence."/>
                    <pic:cNvPicPr>
                      <a:picLocks noChangeAspect="1" noChangeArrowheads="1"/>
                    </pic:cNvPicPr>
                  </pic:nvPicPr>
                  <pic:blipFill>
                    <a:blip r:embed="rId83"/>
                    <a:stretch>
                      <a:fillRect/>
                    </a:stretch>
                  </pic:blipFill>
                  <pic:spPr bwMode="auto">
                    <a:xfrm>
                      <a:off x="0" y="0"/>
                      <a:ext cx="7772400" cy="3730625"/>
                    </a:xfrm>
                    <a:prstGeom prst="rect">
                      <a:avLst/>
                    </a:prstGeom>
                    <a:noFill/>
                  </pic:spPr>
                </pic:pic>
              </a:graphicData>
            </a:graphic>
          </wp:inline>
        </w:drawing>
      </w:r>
    </w:p>
    <w:p>
      <w:pPr>
        <w:pStyle w:val="GWUFigureCaption"/>
        <w:spacing w:before="0" w:after="0"/>
        <w:rPr/>
        <w:sectPr>
          <w:headerReference w:type="default" r:id="rId84"/>
          <w:headerReference w:type="first" r:id="rId85"/>
          <w:footerReference w:type="default" r:id="rId86"/>
          <w:footerReference w:type="first" r:id="rId87"/>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7" w:name="__RefHeading___Toc25830_2336213107"/>
      <w:bookmarkEnd w:id="67"/>
      <w:r>
        <w:rPr>
          <w:b w:val="false"/>
          <w:i w:val="false"/>
        </w:rPr>
        <w:t>Figure 4-7. Fitting-seed influence on the clean budget-three warning tradeoff. The full mean and each leave-one-seed-out mean expose the effect-size dependence.</w:t>
      </w:r>
    </w:p>
    <w:p>
      <w:pPr>
        <w:pStyle w:val="Heading2"/>
        <w:rPr/>
      </w:pPr>
      <w:bookmarkStart w:id="68" w:name="__RefHeading___Toc25749_2336213107"/>
      <w:bookmarkEnd w:id="68"/>
      <w:r>
        <w:rPr>
          <w:rFonts w:ascii="Times New Roman" w:hAnsi="Times New Roman"/>
          <w:b/>
          <w:i w:val="false"/>
        </w:rPr>
        <w:t>4.7 Supplementary Technique-Policy Transfer</w:t>
      </w:r>
    </w:p>
    <w:p>
      <w:pPr>
        <w:pStyle w:val="Normal"/>
        <w:spacing w:before="0" w:after="0"/>
        <w:rPr/>
        <w:sectPr>
          <w:headerReference w:type="default" r:id="rId88"/>
          <w:headerReference w:type="first" r:id="rId89"/>
          <w:footerReference w:type="default" r:id="rId90"/>
          <w:footerReference w:type="first" r:id="rId9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secondary study targets </w:t>
      </w:r>
      <w:r>
        <w:rPr>
          <w:b/>
          <w:i w:val="false"/>
        </w:rPr>
        <w:t>T1105, Ingress Tool Transfer</w:t>
      </w:r>
      <w:r>
        <w:rPr>
          <w:b w:val="false"/>
          <w:i w:val="false"/>
        </w:rPr>
        <w:t>. It is not a replication of lateral-movement recognition or exfiltration warnings. Negative examples have other author technique labels, so their flags cannot be called benign false alarms. CasinoLimit onset proxies and CAM-LDS labeled interval proxies also represent different target units; results are not pooled across them.</w:t>
      </w:r>
    </w:p>
    <w:p>
      <w:pPr>
        <w:pStyle w:val="GWUEquation"/>
        <w:keepNext w:val="true"/>
        <w:spacing w:before="0" w:after="80"/>
        <w:jc w:val="center"/>
        <w:rPr/>
      </w:pPr>
      <w:r>
        <w:rPr/>
        <w:drawing>
          <wp:inline distT="0" distB="0" distL="0" distR="0">
            <wp:extent cx="7772400" cy="4672330"/>
            <wp:effectExtent l="0" t="0" r="0" b="0"/>
            <wp:docPr id="34" name="Picture 34" descr="Secondary policy transfer across all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econdary policy transfer across all conditions"/>
                    <pic:cNvPicPr>
                      <a:picLocks noChangeAspect="1" noChangeArrowheads="1"/>
                    </pic:cNvPicPr>
                  </pic:nvPicPr>
                  <pic:blipFill>
                    <a:blip r:embed="rId92"/>
                    <a:stretch>
                      <a:fillRect/>
                    </a:stretch>
                  </pic:blipFill>
                  <pic:spPr bwMode="auto">
                    <a:xfrm>
                      <a:off x="0" y="0"/>
                      <a:ext cx="7772400" cy="4672330"/>
                    </a:xfrm>
                    <a:prstGeom prst="rect">
                      <a:avLst/>
                    </a:prstGeom>
                    <a:noFill/>
                  </pic:spPr>
                </pic:pic>
              </a:graphicData>
            </a:graphic>
          </wp:inline>
        </w:drawing>
      </w:r>
    </w:p>
    <w:p>
      <w:pPr>
        <w:pStyle w:val="GWUFigureCaption"/>
        <w:spacing w:before="0" w:after="0"/>
        <w:rPr/>
        <w:sectPr>
          <w:headerReference w:type="default" r:id="rId93"/>
          <w:headerReference w:type="first" r:id="rId94"/>
          <w:footerReference w:type="default" r:id="rId95"/>
          <w:footerReference w:type="first" r:id="rId9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9" w:name="__RefHeading___Toc25828_2336213107"/>
      <w:bookmarkEnd w:id="69"/>
      <w:r>
        <w:rPr>
          <w:b w:val="false"/>
          <w:i w:val="false"/>
        </w:rPr>
        <w:t>Figure 4-8. Secondary policy transfer across all conditions</w:t>
      </w:r>
    </w:p>
    <w:p>
      <w:pPr>
        <w:pStyle w:val="Normal"/>
        <w:rPr/>
      </w:pPr>
      <w:r>
        <w:rPr>
          <w:b/>
          <w:i w:val="false"/>
        </w:rPr>
        <w:t>Figure. Secondary transfer under all fifteen condition names.</w:t>
      </w:r>
      <w:r>
        <w:rPr>
          <w:b w:val="false"/>
          <w:i w:val="false"/>
        </w:rPr>
        <w:t xml:space="preserve"> Values are target-cost gate minus current expert in percentage points. A positive recall difference and a negative other-label flag difference are favorable in their respective columns; colors indicate the numerical sign, not a common benefit direction. Random-loss conditions average three perturbations of the same events. Other conditions use one deterministic view.</w:t>
      </w:r>
    </w:p>
    <w:p>
      <w:pPr>
        <w:pStyle w:val="Normal"/>
        <w:rPr/>
      </w:pPr>
      <w:r>
        <w:rPr>
          <w:b w:val="false"/>
          <w:i w:val="false"/>
        </w:rPr>
        <w:t>On clean CasinoLimit data, the current expert and ordinary gate both achieve F1 0.7368, recall 82.35%, and seven other-label flags. The target-cost gate and context expert achieve F1 0.5957 with the same recall and sixteen flags. On clean CAM-LDS, the current expert achieves F1 0.0495, recall 87%, and 3,329 other-label flags; the target-cost gate/context expert achieves F1 0.0534, recall 88%, and 3,108 flags. High target recall therefore coexists with poor discrimination against other technique labels.</w:t>
      </w:r>
    </w:p>
    <w:p>
      <w:pPr>
        <w:pStyle w:val="Normal"/>
        <w:rPr/>
      </w:pPr>
      <w:r>
        <w:rPr>
          <w:b w:val="false"/>
          <w:i w:val="false"/>
        </w:rPr>
        <w:t>A saved post-result diagnostic found only eleven nonzero expert-error comparisons among 1,494 CasinoLimit calibration rows. The target-cost selector's hard decisions match the context expert in every one of the 21 views on each source; different probability vectors do not establish a different operational decision. The ordinary selector matches the current expert in all CasinoLimit views and nine CAM-LDS views. These findings do not support a new adaptive advantage. Original native thresholds are preserved separately; they were not used to tune the transferred policies.</w:t>
      </w:r>
    </w:p>
    <w:p>
      <w:pPr>
        <w:pStyle w:val="Heading2"/>
        <w:rPr/>
      </w:pPr>
      <w:bookmarkStart w:id="70" w:name="__RefHeading___Toc25751_2336213107"/>
      <w:bookmarkEnd w:id="70"/>
      <w:r>
        <w:rPr>
          <w:rFonts w:ascii="Times New Roman" w:hAnsi="Times New Roman"/>
          <w:b/>
          <w:i w:val="false"/>
        </w:rPr>
        <w:t>4.8 Ranking Metrics and Operating Decisions</w:t>
      </w:r>
    </w:p>
    <w:p>
      <w:pPr>
        <w:pStyle w:val="Normal"/>
        <w:rPr/>
      </w:pPr>
      <w:r>
        <w:rPr>
          <w:b w:val="false"/>
          <w:i w:val="false"/>
        </w:rPr>
        <w:t>The supplements retain per-class average precision and ROC-AUC wherever the original source reported them. They are not reconstructed from hard labels or replaced with approximations. The normalized CSV uses blank fields when a metric was unavailable; source JSON preserves original null values. A class can have strong ranking performance while precision or its selected operating decision remains problematic.</w:t>
      </w:r>
    </w:p>
    <w:p>
      <w:pPr>
        <w:pStyle w:val="Normal"/>
        <w:rPr/>
      </w:pPr>
      <w:r>
        <w:rPr>
          <w:b w:val="false"/>
          <w:i w:val="false"/>
        </w:rPr>
        <w:t>For a concrete existing result, the clean current-plus-roles fit with seed 20260924 identifies 26 of 35 movement-labeled flows. Its movement ROC-AUC is 0.998918, average precision is 0.210308, precision is 0.184397, and recall is 0.742857. The 141 movement predictions include 26 correct labels. This is an actual aggregate from the saved evaluation, not a fabricated example or a production alert rate. Reporting ROC-AUC alone would not describe that operating-point burden. No new ROC curves are inferred from the aggregate tables.</w:t>
      </w:r>
    </w:p>
    <w:p>
      <w:pPr>
        <w:pStyle w:val="GWUTableCaption"/>
        <w:rPr/>
      </w:pPr>
      <w:bookmarkStart w:id="71" w:name="__RefHeading___Toc25923_2336213107"/>
      <w:bookmarkEnd w:id="71"/>
      <w:r>
        <w:rPr>
          <w:b w:val="false"/>
          <w:i w:val="false"/>
        </w:rPr>
        <w:t>Table 4-11. Stage-level discrimination under chronological fitting.</w:t>
      </w:r>
    </w:p>
    <w:p>
      <w:pPr>
        <w:pStyle w:val="Normal"/>
        <w:keepNext w:val="true"/>
        <w:ind w:hanging="0"/>
        <w:rPr/>
      </w:pPr>
      <w:r>
        <w:rPr>
          <w:b w:val="false"/>
          <w:i w:val="false"/>
        </w:rPr>
        <w:t>Each entry is the arithmetic mean of three fitting-seed metrics on the same 104,051-row anchor. Current means current-flow features; History adds earlier-activity summaries. These class metrics are not pooled across seeds. Movement retains the narrow author-label interpretation.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view / class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Precision</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ROC-AUC</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Avg. precision</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0.9997</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0.9679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0.9836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0.9886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0.1788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0.2593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0.2035</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Exfiltration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0.8644</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0.6725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0.9680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0.6688</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0.9959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0.9986</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0.9726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0.9855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0.9991</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0.2758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0.2963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0.9910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0.1474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Exfiltration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0.6640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r>
    </w:tbl>
    <w:p>
      <w:pPr>
        <w:pStyle w:val="Normal"/>
        <w:spacing w:lineRule="auto" w:line="60" w:before="0" w:after="40"/>
        <w:rPr/>
      </w:pPr>
      <w:r>
        <w:rPr/>
      </w:r>
    </w:p>
    <w:p>
      <w:pPr>
        <w:pStyle w:val="Normal"/>
        <w:rPr/>
      </w:pPr>
      <w:r>
        <w:rPr>
          <w:b w:val="false"/>
          <w:i w:val="false"/>
        </w:rPr>
        <w:t>ROC-AUC measures ranking across score thresholds: how often a true member of one class is ranked above a nonmember. Average precision summarizes precision across recall levels and is useful when a class is rare; it is not interchangeable with trapezoidal area under a precision-recall curve. Neither ranking summary fixes the argmax decision or the resulting warning destination. The reported areas are retained source metrics; no curve is reconstructed from a single confusion matrix.</w:t>
      </w:r>
    </w:p>
    <w:p>
      <w:pPr>
        <w:pStyle w:val="Heading2"/>
        <w:rPr/>
      </w:pPr>
      <w:bookmarkStart w:id="72" w:name="__RefHeading___Toc25753_2336213107"/>
      <w:bookmarkEnd w:id="72"/>
      <w:r>
        <w:rPr>
          <w:rFonts w:ascii="Times New Roman" w:hAnsi="Times New Roman"/>
          <w:b/>
          <w:i w:val="false"/>
        </w:rPr>
        <w:t>4.9 Answers to the Research Questions</w:t>
      </w:r>
    </w:p>
    <w:p>
      <w:pPr>
        <w:pStyle w:val="Normal"/>
        <w:rPr/>
      </w:pPr>
      <w:r>
        <w:rPr>
          <w:b/>
          <w:i w:val="false"/>
        </w:rPr>
        <w:t>RQ1:</w:t>
      </w:r>
      <w:r>
        <w:rPr>
          <w:b w:val="false"/>
          <w:i w:val="false"/>
        </w:rPr>
        <w:t xml:space="preserve"> The completed comparisons demonstrate that an improved overall score can accompany fewer exfiltration warnings on the same records. In the clean budget-three acquisition comparison, mean macro-F1 rose while warning recall fell and benign false alerts increased. Chronological history also produced useful gains and a smaller warning tradeoff. Error destinations and benign workload are therefore material to interpretation.</w:t>
      </w:r>
    </w:p>
    <w:p>
      <w:pPr>
        <w:pStyle w:val="Normal"/>
        <w:rPr/>
      </w:pPr>
      <w:r>
        <w:rPr>
          <w:b/>
          <w:i w:val="false"/>
        </w:rPr>
        <w:t>RQ2:</w:t>
      </w:r>
      <w:r>
        <w:rPr>
          <w:b w:val="false"/>
          <w:i w:val="false"/>
        </w:rPr>
        <w:t xml:space="preserve"> The fixed-anchor comparison demonstrates sensitivity to training composition and temporal access. The current-feature macro-F1 difference was +0.0632, and movement-label recall increased by 35.19 percentage points. Architecture, evaluation rows and class counts were controlled; every property of the training distributions was not isolated.</w:t>
      </w:r>
    </w:p>
    <w:p>
      <w:pPr>
        <w:pStyle w:val="Normal"/>
        <w:rPr/>
      </w:pPr>
      <w:r>
        <w:rPr>
          <w:b/>
          <w:i w:val="false"/>
        </w:rPr>
        <w:t>RQ3:</w:t>
      </w:r>
      <w:r>
        <w:rPr>
          <w:b w:val="false"/>
          <w:i w:val="false"/>
        </w:rPr>
        <w:t xml:space="preserve"> The inspected DAPT artifact cannot satisfy the unchanged all-native-class single-cut support rule. SCVIC has possible recorded-start support but unresolved physical chronology. DSRL derives from DAPT, and no qualified S-DAPT release was acquired. These are source-specific qualification results, not four fitted replications.</w:t>
      </w:r>
    </w:p>
    <w:p>
      <w:pPr>
        <w:pStyle w:val="Normal"/>
        <w:rPr/>
      </w:pPr>
      <w:r>
        <w:rPr>
          <w:b w:val="false"/>
          <w:i w:val="false"/>
        </w:rPr>
        <w:t>The numerical comparisons answer the declared questions within the inspected records. Neither a minimum favorable score nor a self-imposed 90% recall threshold determines whether a finding is retained.</w:t>
      </w:r>
    </w:p>
    <w:p>
      <w:pPr>
        <w:pStyle w:val="Heading2"/>
        <w:rPr/>
      </w:pPr>
      <w:bookmarkStart w:id="73" w:name="__RefHeading___Toc25755_2336213107"/>
      <w:bookmarkEnd w:id="73"/>
      <w:r>
        <w:rPr>
          <w:rFonts w:ascii="Times New Roman" w:hAnsi="Times New Roman"/>
          <w:b/>
          <w:i w:val="false"/>
        </w:rPr>
        <w:t>4.10 Full-Release Results and Calibration Review</w:t>
      </w:r>
    </w:p>
    <w:p>
      <w:pPr>
        <w:pStyle w:val="Normal"/>
        <w:rPr/>
      </w:pPr>
      <w:r>
        <w:rPr>
          <w:b w:val="false"/>
          <w:i w:val="false"/>
        </w:rPr>
        <w:t xml:space="preserve">The source audit accounts for all </w:t>
      </w:r>
      <w:r>
        <w:rPr>
          <w:b/>
          <w:i w:val="false"/>
        </w:rPr>
        <w:t>6,877,157 rows in 173 files</w:t>
      </w:r>
      <w:r>
        <w:rPr>
          <w:b w:val="false"/>
          <w:i w:val="false"/>
        </w:rPr>
        <w:t>. Across the six sensor views, 0 exact duplicate rows were removed, 0 conflicting-label rows were quarantined and 34 retained rows crossed a temporal boundary. The resulting analysis contains 5,353,688 training rows, 39,399 calibration rows and 1,484,036 test rows. These are sensor observations rather than independent-event totals. All eligible training rows were used in each arm. The independent computational audit passed 622 checks of source coverage, row conservation, temporal separation, unique identities, prediction populations, probability normalization, confusion matrices, macro-F1, class support and warning counts.</w:t>
      </w:r>
    </w:p>
    <w:p>
      <w:pPr>
        <w:pStyle w:val="GWUTableCaption"/>
        <w:rPr/>
      </w:pPr>
      <w:bookmarkStart w:id="74" w:name="__RefHeading___Toc25921_2336213107"/>
      <w:bookmarkEnd w:id="74"/>
      <w:r>
        <w:rPr>
          <w:b w:val="false"/>
          <w:i w:val="false"/>
        </w:rPr>
        <w:t>Table 4-12. Complete release coverage and chronological allocation.</w:t>
      </w:r>
    </w:p>
    <w:p>
      <w:pPr>
        <w:pStyle w:val="Normal"/>
        <w:keepNext w:val="true"/>
        <w:ind w:hanging="0"/>
        <w:rPr/>
      </w:pPr>
      <w:r>
        <w:rPr>
          <w:b w:val="false"/>
          <w:i w:val="false"/>
        </w:rPr>
        <w:t>Source rows precede duplicate and boundary handling. Training, calibration and test counts are after handling. The three numbers in the final column follow that order.</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61"/>
        <w:gridCol w:w="2029"/>
        <w:gridCol w:w="2030"/>
        <w:gridCol w:w="2320"/>
      </w:tblGrid>
      <w:tr>
        <w:trPr>
          <w:tblHeader w:val="true"/>
          <w:cantSplit/>
        </w:trPr>
        <w:tc>
          <w:tcPr>
            <w:tcW w:w="226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Files</w:t>
            </w:r>
          </w:p>
        </w:tc>
        <w:tc>
          <w:tcPr>
            <w:tcW w:w="203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 rows</w:t>
            </w:r>
          </w:p>
        </w:tc>
        <w:tc>
          <w:tcPr>
            <w:tcW w:w="23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Train / cal / test</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1,792,756</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1,466,865 / 5,527 / 320,359</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734,331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597,531 / 5,132 / 131,664</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1,072,368</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851,355 / 8,683 / 212,323</w:t>
            </w:r>
          </w:p>
        </w:tc>
      </w:tr>
      <w:tr>
        <w:trPr>
          <w:cantSplit/>
        </w:trPr>
        <w:tc>
          <w:tcPr>
            <w:tcW w:w="226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210,371</w:t>
            </w:r>
          </w:p>
        </w:tc>
        <w:tc>
          <w:tcPr>
            <w:tcW w:w="23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163,270 / 2,966 / 44,135</w:t>
            </w:r>
          </w:p>
        </w:tc>
      </w:tr>
      <w:tr>
        <w:trPr>
          <w:cantSplit/>
        </w:trPr>
        <w:tc>
          <w:tcPr>
            <w:tcW w:w="226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3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175,662</w:t>
            </w:r>
          </w:p>
        </w:tc>
        <w:tc>
          <w:tcPr>
            <w:tcW w:w="23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144,218 / 2,790 / 28,646</w:t>
            </w:r>
          </w:p>
        </w:tc>
      </w:tr>
      <w:tr>
        <w:trPr>
          <w:cantSplit/>
        </w:trPr>
        <w:tc>
          <w:tcPr>
            <w:tcW w:w="226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w:t>
            </w:r>
          </w:p>
        </w:tc>
        <w:tc>
          <w:tcPr>
            <w:tcW w:w="203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2,891,669</w:t>
            </w:r>
          </w:p>
        </w:tc>
        <w:tc>
          <w:tcPr>
            <w:tcW w:w="232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2,130,449 / 14,301 / 746,909</w:t>
            </w:r>
          </w:p>
        </w:tc>
      </w:tr>
    </w:tbl>
    <w:p>
      <w:pPr>
        <w:pStyle w:val="Normal"/>
        <w:spacing w:lineRule="auto" w:line="60" w:before="0" w:after="40"/>
        <w:rPr/>
      </w:pPr>
      <w:r>
        <w:rPr/>
      </w:r>
    </w:p>
    <w:p>
      <w:pPr>
        <w:pStyle w:val="Normal"/>
        <w:rPr/>
      </w:pPr>
      <w:r>
        <w:rPr>
          <w:b w:val="false"/>
          <w:i w:val="false"/>
        </w:rPr>
        <w:t>The single-class training sensors are net1011x, net1012x, net1014x. Their constant-class outcomes document a support limit. Sensors with all four mapped classes represented in both training and testing are net1013x. Class support is detailed in Appendix D; more files do not automatically supply every attack stage at every cutoff.</w:t>
      </w:r>
    </w:p>
    <w:p>
      <w:pPr>
        <w:pStyle w:val="GWUTableCaption"/>
        <w:rPr/>
      </w:pPr>
      <w:bookmarkStart w:id="75" w:name="__RefHeading___Toc25919_2336213107"/>
      <w:bookmarkEnd w:id="75"/>
      <w:r>
        <w:rPr>
          <w:b w:val="false"/>
          <w:i w:val="false"/>
        </w:rPr>
        <w:t>Table 4-13. Full-release paired test results.</w:t>
      </w:r>
    </w:p>
    <w:p>
      <w:pPr>
        <w:pStyle w:val="Normal"/>
        <w:keepNext w:val="true"/>
        <w:ind w:hanging="0"/>
        <w:rPr/>
      </w:pPr>
      <w:r>
        <w:rPr>
          <w:b w:val="false"/>
          <w:i w:val="false"/>
        </w:rPr>
        <w:t>Current and roles use identical evaluation rows within a sensor. Macro-F1 uses a fixed four-class denominator. Unsupported exfiltration recall is not estimable. False-alert counts must be read with the benign support in Appendix 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04"/>
        <w:gridCol w:w="2155"/>
        <w:gridCol w:w="2221"/>
        <w:gridCol w:w="2060"/>
      </w:tblGrid>
      <w:tr>
        <w:trPr>
          <w:tblHeader w:val="true"/>
          <w:cantSplit/>
        </w:trPr>
        <w:tc>
          <w:tcPr>
            <w:tcW w:w="22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1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 current / roles</w:t>
            </w:r>
          </w:p>
        </w:tc>
        <w:tc>
          <w:tcPr>
            <w:tcW w:w="222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 current / roles</w:t>
            </w:r>
          </w:p>
        </w:tc>
        <w:tc>
          <w:tcPr>
            <w:tcW w:w="206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current / roles</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0.2500 / 0.2500</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0.7574 / 0.7598</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71.03% / 71.06%</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13 / 11</w:t>
            </w:r>
          </w:p>
        </w:tc>
      </w:tr>
      <w:tr>
        <w:trPr>
          <w:cantSplit/>
        </w:trPr>
        <w:tc>
          <w:tcPr>
            <w:tcW w:w="220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1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0.2414 / 0.2414</w:t>
            </w:r>
          </w:p>
        </w:tc>
        <w:tc>
          <w:tcPr>
            <w:tcW w:w="222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 0</w:t>
            </w:r>
          </w:p>
        </w:tc>
      </w:tr>
      <w:tr>
        <w:trPr>
          <w:cantSplit/>
        </w:trPr>
        <w:tc>
          <w:tcPr>
            <w:tcW w:w="220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1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0.3268 / 0.3250</w:t>
            </w:r>
          </w:p>
        </w:tc>
        <w:tc>
          <w:tcPr>
            <w:tcW w:w="222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0.00%</w:t>
            </w:r>
          </w:p>
        </w:tc>
        <w:tc>
          <w:tcPr>
            <w:tcW w:w="206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 / 13</w:t>
            </w:r>
          </w:p>
        </w:tc>
      </w:tr>
      <w:tr>
        <w:trPr>
          <w:cantSplit/>
        </w:trPr>
        <w:tc>
          <w:tcPr>
            <w:tcW w:w="22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15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0.4991 / 0.4991</w:t>
            </w:r>
          </w:p>
        </w:tc>
        <w:tc>
          <w:tcPr>
            <w:tcW w:w="222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 / Unsupported</w:t>
            </w:r>
          </w:p>
        </w:tc>
        <w:tc>
          <w:tcPr>
            <w:tcW w:w="206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2105 / 2104</w:t>
            </w:r>
          </w:p>
        </w:tc>
      </w:tr>
    </w:tbl>
    <w:p>
      <w:pPr>
        <w:pStyle w:val="Normal"/>
        <w:spacing w:lineRule="auto" w:line="60" w:before="0" w:after="40"/>
        <w:rPr/>
      </w:pPr>
      <w:r>
        <w:rPr/>
      </w:r>
    </w:p>
    <w:p>
      <w:pPr>
        <w:pStyle w:val="Normal"/>
        <w:rPr/>
      </w:pPr>
      <w:r>
        <w:rPr>
          <w:b w:val="false"/>
          <w:i w:val="false"/>
        </w:rPr>
        <w:t>Roles improve test macro-F1 in 2 of the six views. Views with a macro-F1 increase and a decline in warning recall for at least one supported attack stage are netgw. At netgw, macro-F1 changes from 0.49909446 to 0.49911102, benign false alerts decrease from 2,105 to 2,104, and OtherAttackStage warnings decrease by one: missed warnings increase from 25,429 to 25,430 among 26,712 such rows. This tiny one-event reversal is not evidence of a stable or practically large effect. At net1013x, both exfiltration warning recall and macro-F1 improve slightly; that arm does not reproduce the historical exfiltration-warning loss. This is the declared role-feature contrast under uncapped chronological fitting. It neither estimates the historical acquisition-budget effect on the expanded release nor converts sensor views into independent replications. The historical warning-loss finding retains its own population and sensitivity limits.</w:t>
      </w:r>
    </w:p>
    <w:p>
      <w:pPr>
        <w:pStyle w:val="GWUTableCaption"/>
        <w:rPr/>
      </w:pPr>
      <w:bookmarkStart w:id="76" w:name="__RefHeading___Toc25917_2336213107"/>
      <w:bookmarkEnd w:id="76"/>
      <w:r>
        <w:rPr>
          <w:b w:val="false"/>
          <w:i w:val="false"/>
        </w:rPr>
        <w:t>Table 4-14. Calibration-only model choices.</w:t>
      </w:r>
    </w:p>
    <w:p>
      <w:pPr>
        <w:pStyle w:val="Normal"/>
        <w:keepNext w:val="true"/>
        <w:ind w:hanging="0"/>
        <w:rPr/>
      </w:pPr>
      <w:r>
        <w:rPr>
          <w:b w:val="false"/>
          <w:i w:val="false"/>
        </w:rPr>
        <w:t>A review with absent attack-stage support remains provisional. Test results for the selected arms are exactly the corresponding Table 4-13 arm outcomes; no second test optimization occurs.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32"/>
        <w:gridCol w:w="2079"/>
        <w:gridCol w:w="2080"/>
        <w:gridCol w:w="2249"/>
      </w:tblGrid>
      <w:tr>
        <w:trPr>
          <w:tblHeader w:val="true"/>
          <w:cantSplit/>
        </w:trPr>
        <w:tc>
          <w:tcPr>
            <w:tcW w:w="223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Sensor</w:t>
            </w:r>
          </w:p>
        </w:tc>
        <w:tc>
          <w:tcPr>
            <w:tcW w:w="20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Score choice</w:t>
            </w:r>
          </w:p>
        </w:tc>
        <w:tc>
          <w:tcPr>
            <w:tcW w:w="208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Review choice</w:t>
            </w:r>
          </w:p>
        </w:tc>
        <w:tc>
          <w:tcPr>
            <w:tcW w:w="22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Missing calibration stages</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net1011x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net1012x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net1013x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r>
      <w:tr>
        <w:trPr>
          <w:cantSplit/>
        </w:trPr>
        <w:tc>
          <w:tcPr>
            <w:tcW w:w="223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net1014x</w:t>
            </w:r>
          </w:p>
        </w:tc>
        <w:tc>
          <w:tcPr>
            <w:tcW w:w="207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Exfiltration</w:t>
            </w:r>
          </w:p>
        </w:tc>
      </w:tr>
      <w:tr>
        <w:trPr>
          <w:cantSplit/>
        </w:trPr>
        <w:tc>
          <w:tcPr>
            <w:tcW w:w="223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net1015x</w:t>
            </w:r>
          </w:p>
        </w:tc>
        <w:tc>
          <w:tcPr>
            <w:tcW w:w="207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 Movement, Exfiltration</w:t>
            </w:r>
          </w:p>
        </w:tc>
      </w:tr>
      <w:tr>
        <w:trPr>
          <w:cantSplit/>
        </w:trPr>
        <w:tc>
          <w:tcPr>
            <w:tcW w:w="223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netgw</w:t>
            </w:r>
          </w:p>
        </w:tc>
        <w:tc>
          <w:tcPr>
            <w:tcW w:w="20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08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22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r>
    </w:tbl>
    <w:p>
      <w:pPr>
        <w:pStyle w:val="Normal"/>
        <w:spacing w:lineRule="auto" w:line="60" w:before="0" w:after="40"/>
        <w:rPr/>
      </w:pPr>
      <w:r>
        <w:rPr/>
      </w:r>
    </w:p>
    <w:p>
      <w:pPr>
        <w:pStyle w:val="Normal"/>
        <w:rPr/>
      </w:pPr>
      <w:r>
        <w:rPr>
          <w:b w:val="false"/>
          <w:i w:val="false"/>
        </w:rPr>
        <w:t>This applied example demonstrates an executable audit decision and reveals which stages its calibration data can assess. 6 of the six views lack at least one attack stage in calibration. Their review decisions are therefore provisional; the extension does not demonstrate a fully supported all-stage calibration safeguard. A favorable calibration decision does not establish later warning preservation, an optimal tolerance, or actual analyst benefit. The complete per-capture confusion matrices and stage metrics accompany the table, including the unfavorable outcomes.</w:t>
      </w:r>
    </w:p>
    <w:p>
      <w:pPr>
        <w:pStyle w:val="Heading2"/>
        <w:rPr/>
      </w:pPr>
      <w:bookmarkStart w:id="77" w:name="__RefHeading___Toc25757_2336213107"/>
      <w:bookmarkEnd w:id="77"/>
      <w:r>
        <w:rPr>
          <w:rFonts w:ascii="Times New Roman" w:hAnsi="Times New Roman"/>
          <w:b/>
          <w:i w:val="false"/>
        </w:rPr>
        <w:t>4.11 Adapted AIT Validation Results</w:t>
      </w:r>
    </w:p>
    <w:p>
      <w:pPr>
        <w:pStyle w:val="Normal"/>
        <w:rPr/>
      </w:pPr>
      <w:r>
        <w:rPr>
          <w:b w:val="false"/>
          <w:i w:val="false"/>
        </w:rPr>
        <w:t>The frozen primary direction did not recur: error-focused acquisition had higher macro-F1 with lower exfiltration warning recall in zero of six execution-by-seed comparisons and zero of three pooled seed comparisons. This is an adverse generalization result for the original named-policy contrast under the adapted task. It is retained without modifying the learned policies or decision thresholds.</w:t>
      </w:r>
    </w:p>
    <w:p>
      <w:pPr>
        <w:pStyle w:val="GWUTableCaption"/>
        <w:rPr/>
      </w:pPr>
      <w:bookmarkStart w:id="78" w:name="__RefHeading___Toc25915_2336213107"/>
      <w:bookmarkEnd w:id="78"/>
      <w:r>
        <w:rPr>
          <w:b w:val="false"/>
          <w:i w:val="false"/>
        </w:rPr>
        <w:t>Table 4-15. Pooled AIT held-out results.</w:t>
      </w:r>
    </w:p>
    <w:p>
      <w:pPr>
        <w:pStyle w:val="Normal"/>
        <w:keepNext w:val="true"/>
        <w:ind w:hanging="0"/>
        <w:rPr/>
      </w:pPr>
      <w:r>
        <w:rPr>
          <w:b w:val="false"/>
          <w:i w:val="false"/>
        </w:rPr>
        <w:t>Means over seeds 8101-8103 on the same 1,067,211 rows. Fractional counts average integer seed outcomes. These are three fits of the same evaluation population.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0.946050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14448.7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0.994053</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0.993970</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971.3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74.400%</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0.946233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14443.3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2.450%</w:t>
            </w:r>
          </w:p>
        </w:tc>
      </w:tr>
    </w:tbl>
    <w:p>
      <w:pPr>
        <w:pStyle w:val="Normal"/>
        <w:spacing w:lineRule="auto" w:line="60" w:before="0" w:after="40"/>
        <w:rPr/>
      </w:pPr>
      <w:r>
        <w:rPr/>
      </w:r>
    </w:p>
    <w:p>
      <w:pPr>
        <w:pStyle w:val="Normal"/>
        <w:rPr/>
      </w:pPr>
      <w:r>
        <w:rPr>
          <w:b w:val="false"/>
          <w:i w:val="false"/>
        </w:rPr>
        <w:t>Entropy selection has mean macro-F1 0.993970 versus 0.946233 for error-focused selection, exfiltration warning recall 99.772% versus 99.727%, and 971.3 versus 14,443.3 benign false alerts. History acquisition differs substantially: 74.400% versus 2.450%. These results compare the frozen policies with equal available budgets; they do not establish superiority at matched spending. The always-history reference attains macro-F1 0.994053 and 913.7 benign false alerts while retrieving history for every row.</w:t>
      </w:r>
    </w:p>
    <w:p>
      <w:pPr>
        <w:pStyle w:val="GWUTableCaption"/>
        <w:rPr/>
      </w:pPr>
      <w:bookmarkStart w:id="79" w:name="__RefHeading___Toc25913_2336213107"/>
      <w:bookmarkEnd w:id="79"/>
      <w:r>
        <w:rPr>
          <w:b w:val="false"/>
          <w:i w:val="false"/>
        </w:rPr>
        <w:t>Table 4-16. Separate AIT held-out executions.</w:t>
      </w:r>
    </w:p>
    <w:p>
      <w:pPr>
        <w:pStyle w:val="Normal"/>
        <w:keepNext w:val="true"/>
        <w:ind w:hanging="0"/>
        <w:rPr/>
      </w:pPr>
      <w:r>
        <w:rPr>
          <w:b w:val="false"/>
          <w:i w:val="false"/>
        </w:rPr>
        <w:t>Means across three fitting seeds, retaining distinct execution populations.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9"/>
        <w:gridCol w:w="1795"/>
        <w:gridCol w:w="1629"/>
        <w:gridCol w:w="1628"/>
        <w:gridCol w:w="1629"/>
      </w:tblGrid>
      <w:tr>
        <w:trPr>
          <w:tblHeader w:val="true"/>
          <w:cantSplit/>
        </w:trPr>
        <w:tc>
          <w:tcPr>
            <w:tcW w:w="19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9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Policy</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warnings</w:t>
            </w:r>
          </w:p>
        </w:tc>
        <w:tc>
          <w:tcPr>
            <w:tcW w:w="162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0.993423</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55.7</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0.994906</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0.994800</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99.970%</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0.993678</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99.989%</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47.7</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0.909964</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99.434%</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14393.0</w:t>
            </w:r>
          </w:p>
        </w:tc>
      </w:tr>
      <w:tr>
        <w:trPr>
          <w:cantSplit/>
        </w:trPr>
        <w:tc>
          <w:tcPr>
            <w:tcW w:w="195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Always history</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0.992345</w:t>
            </w:r>
          </w:p>
        </w:tc>
        <w:tc>
          <w:tcPr>
            <w:tcW w:w="162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861.0</w:t>
            </w:r>
          </w:p>
        </w:tc>
      </w:tr>
      <w:tr>
        <w:trPr>
          <w:cantSplit/>
        </w:trPr>
        <w:tc>
          <w:tcPr>
            <w:tcW w:w="19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0.992271</w:t>
            </w:r>
          </w:p>
        </w:tc>
        <w:tc>
          <w:tcPr>
            <w:tcW w:w="162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99.592%</w:t>
            </w:r>
          </w:p>
        </w:tc>
        <w:tc>
          <w:tcPr>
            <w:tcW w:w="162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889.0</w:t>
            </w:r>
          </w:p>
        </w:tc>
      </w:tr>
      <w:tr>
        <w:trPr>
          <w:cantSplit/>
        </w:trPr>
        <w:tc>
          <w:tcPr>
            <w:tcW w:w="195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9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Error-focused</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0.910128</w:t>
            </w:r>
          </w:p>
        </w:tc>
        <w:tc>
          <w:tcPr>
            <w:tcW w:w="162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99.490%</w:t>
            </w:r>
          </w:p>
        </w:tc>
        <w:tc>
          <w:tcPr>
            <w:tcW w:w="162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14395.7</w:t>
            </w:r>
          </w:p>
        </w:tc>
      </w:tr>
    </w:tbl>
    <w:p>
      <w:pPr>
        <w:pStyle w:val="Normal"/>
        <w:spacing w:lineRule="auto" w:line="60" w:before="0" w:after="40"/>
        <w:rPr/>
      </w:pPr>
      <w:r>
        <w:rPr/>
      </w:r>
    </w:p>
    <w:p>
      <w:pPr>
        <w:pStyle w:val="Normal"/>
        <w:rPr/>
      </w:pPr>
      <w:r>
        <w:rPr>
          <w:b w:val="false"/>
          <w:i w:val="false"/>
        </w:rPr>
        <w:t>Wilson supplies a smaller score/warning tradeoff with the opposite policy ordering. Entropy has higher F1 than error-focused selection but misses one, three and eight additional exfiltration warnings for seeds 8101, 8102 and 8103. The mean difference is four of 21,219 exfiltration observations, or 0.018851 percentage points, with 34.7 additional benign false alerts. This is a secondary descriptive observation, not a replacement for the frozen primary direction. Its small absolute size limits practical significance. On Harrison, entropy improves both F1 and exfiltration warning recall; the two executions therefore do not support a uniform score/warning reversal.</w:t>
      </w:r>
    </w:p>
    <w:p>
      <w:pPr>
        <w:pStyle w:val="GWUTableCaption"/>
        <w:rPr/>
      </w:pPr>
      <w:bookmarkStart w:id="80" w:name="__RefHeading___Toc25911_2336213107"/>
      <w:bookmarkEnd w:id="80"/>
      <w:r>
        <w:rPr>
          <w:b w:val="false"/>
          <w:i w:val="false"/>
        </w:rPr>
        <w:t>Table 4-17. AIT paired sensitivity by execution and seed.</w:t>
      </w:r>
    </w:p>
    <w:p>
      <w:pPr>
        <w:pStyle w:val="Normal"/>
        <w:keepNext w:val="true"/>
        <w:ind w:hanging="0"/>
        <w:rPr/>
      </w:pPr>
      <w:r>
        <w:rPr>
          <w:b w:val="false"/>
          <w:i w:val="false"/>
        </w:rPr>
        <w:t>All deltas are error-focused minus entropy-focused selection. Positive missed-exfiltration counts mean more true exfiltration rows classified as benign.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Delta 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-0.001048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+0.0047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-0.000982</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+0.0141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-0.001338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+0.0377</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-0.080391</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-0.1577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+13029</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-0.081340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+13584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-0.084697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-0.0981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+13907</w:t>
            </w:r>
          </w:p>
        </w:tc>
      </w:tr>
    </w:tbl>
    <w:p>
      <w:pPr>
        <w:pStyle w:val="Normal"/>
        <w:spacing w:lineRule="auto" w:line="60" w:before="0" w:after="40"/>
        <w:rPr/>
      </w:pPr>
      <w:r>
        <w:rPr/>
      </w:r>
    </w:p>
    <w:p>
      <w:pPr>
        <w:pStyle w:val="Normal"/>
        <w:rPr/>
      </w:pPr>
      <w:r>
        <w:rPr>
          <w:b w:val="false"/>
          <w:i w:val="false"/>
        </w:rPr>
        <w:t>Giving each execution equal weight yields mean macro-F1 0.993536 and warning recall 99.781% for entropy, compared with 0.951903 and 99.739% for error-focused selection. Complete per-class precision, recall and F1, confusion matrices, unweighted and weighted errors, acquisition fractions and per-seed baselines are retained in the evidence and Appendix E. The 1,245-check audit passed with no failures.</w:t>
      </w:r>
    </w:p>
    <w:p>
      <w:pPr>
        <w:pStyle w:val="Normal"/>
        <w:rPr/>
      </w:pPr>
      <w:r>
        <w:rPr>
          <w:b w:val="false"/>
          <w:i w:val="false"/>
        </w:rPr>
        <w:t>In relation to RQ1, the separate source shows a small score/warning divergence in one held-out execution under the opposite policy ordering, while failing to reproduce the original primary direction. For RQ3, AIT qualifies for this declared three-class history task, not the unchanged four-class, two-group contract. RQ2 remains the original fixed-anchor temporal-composition experiment; the AIT extension does not re-estimate that effect.</w:t>
      </w:r>
      <w:r>
        <w:br w:type="page"/>
      </w:r>
    </w:p>
    <w:p>
      <w:pPr>
        <w:pStyle w:val="Heading1"/>
        <w:rPr/>
      </w:pPr>
      <w:bookmarkStart w:id="81" w:name="__RefHeading___Toc25759_2336213107"/>
      <w:bookmarkEnd w:id="81"/>
      <w:r>
        <w:rPr>
          <w:rFonts w:ascii="Times New Roman" w:hAnsi="Times New Roman"/>
          <w:b/>
          <w:i w:val="false"/>
        </w:rPr>
        <w:t>Chapter 5: Discussion and Conclusions</w:t>
      </w:r>
    </w:p>
    <w:p>
      <w:pPr>
        <w:pStyle w:val="Heading2"/>
        <w:rPr/>
      </w:pPr>
      <w:bookmarkStart w:id="82" w:name="__RefHeading___Toc25761_2336213107"/>
      <w:bookmarkEnd w:id="82"/>
      <w:r>
        <w:rPr>
          <w:rFonts w:ascii="Times New Roman" w:hAnsi="Times New Roman"/>
          <w:b/>
          <w:i w:val="false"/>
        </w:rPr>
        <w:t>5.1 Discussion of the Central Finding</w:t>
      </w:r>
    </w:p>
    <w:p>
      <w:pPr>
        <w:pStyle w:val="Normal"/>
        <w:rPr/>
      </w:pPr>
      <w:r>
        <w:rPr>
          <w:b w:val="false"/>
          <w:i w:val="false"/>
        </w:rPr>
        <w:t>A score is conditional on the records, target meanings, training composition, and decision rule used to calculate it. The controlled temporal experiment shows how large that dependence can be without changing the classifier family. The warning analysis shows that the aggregate score can move in a favorable direction while a consequential subset receives fewer attack labels. Together, the findings justify making those dependencies visible during model selection.</w:t>
      </w:r>
    </w:p>
    <w:p>
      <w:pPr>
        <w:pStyle w:val="Normal"/>
        <w:rPr/>
      </w:pPr>
      <w:r>
        <w:rPr>
          <w:b w:val="false"/>
          <w:i w:val="false"/>
        </w:rPr>
        <w:t>The practical contribution is a reporting and verification procedure. It can be used to review an internal model update, compare historical evidence features, or determine whether a proposed benchmark actually tests the intended deployment question. A research team gains an auditable reason to accept a limited claim, revise a protocol, or decline an unsupported comparison before purchasing more compute.</w:t>
      </w:r>
    </w:p>
    <w:p>
      <w:pPr>
        <w:pStyle w:val="Normal"/>
        <w:rPr/>
      </w:pPr>
      <w:r>
        <w:rPr>
          <w:b w:val="false"/>
          <w:i w:val="false"/>
        </w:rPr>
        <w:t>The AIT validation provides an empirical boundary on the policy result. Error-focused selection does not reproduce the original higher-F1/lower-warning direction on either held-out execution. Wilson nevertheless shows a small divergence in the opposite policy order, while Harrison favors entropy on both outcomes. This supports reading score, warning counts and false alerts jointly, without promoting a particular acquisition objective as universally superior. The large difference in realized acquisition rates also prevents a matched-spending superiority interpretation.</w:t>
      </w:r>
    </w:p>
    <w:p>
      <w:pPr>
        <w:pStyle w:val="Heading2"/>
        <w:rPr/>
      </w:pPr>
      <w:bookmarkStart w:id="83" w:name="__RefHeading___Toc25763_2336213107"/>
      <w:bookmarkEnd w:id="83"/>
      <w:r>
        <w:rPr>
          <w:rFonts w:ascii="Times New Roman" w:hAnsi="Times New Roman"/>
          <w:b/>
          <w:i w:val="false"/>
        </w:rPr>
        <w:t>5.2 Contributions to the Body of Knowledge</w:t>
      </w:r>
    </w:p>
    <w:p>
      <w:pPr>
        <w:pStyle w:val="Normal"/>
        <w:rPr/>
      </w:pPr>
      <w:r>
        <w:rPr>
          <w:b w:val="false"/>
          <w:i w:val="false"/>
        </w:rPr>
        <w:t>The primary contribution is a controlled, reproducible measurement of how historical-evidence decisions affect stage recognition, attack-warning retention and benign workload on matched evaluation records. The study makes the destination of errors explicit and retains comparisons that are favorable, unfavorable or unchanged. It also quantifies how much the headline warning-loss magnitude depends on a fitting seed.</w:t>
      </w:r>
    </w:p>
    <w:p>
      <w:pPr>
        <w:pStyle w:val="Normal"/>
        <w:rPr/>
      </w:pPr>
      <w:r>
        <w:rPr>
          <w:b w:val="false"/>
          <w:i w:val="false"/>
        </w:rPr>
        <w:t>The supporting temporal contribution fixes the anchor population and fitting class budgets while measuring a change in temporal access and training composition. The source-qualification contribution makes the eligibility of named releases executable: native-class support, timing and source dependence are checked before another model comparison is claimed.</w:t>
      </w:r>
    </w:p>
    <w:p>
      <w:pPr>
        <w:pStyle w:val="Normal"/>
        <w:rPr/>
      </w:pPr>
      <w:r>
        <w:rPr>
          <w:b w:val="false"/>
          <w:i w:val="false"/>
        </w:rPr>
        <w:t>These contributions add specific empirical evidence and reusable audit infrastructure to a literature that already recognizes temporal evaluation and attack-to-normal errors. They do not require a new detector or new mathematical metric. The research value is the evidence, controls and practical interpretability of the resulting evaluation procedure.</w:t>
      </w:r>
    </w:p>
    <w:p>
      <w:pPr>
        <w:pStyle w:val="Normal"/>
        <w:rPr/>
      </w:pPr>
      <w:r>
        <w:rPr>
          <w:b w:val="false"/>
          <w:i w:val="false"/>
        </w:rPr>
        <w:t>The new contribution additionally includes a frozen, external-source execution test on the complete AIT release. The retained negative primary result and small secondary tradeoff show where the earlier observation fails to generalize and where a narrower descriptive relationship remains visible. Shared laboratory construction, native label rules and the adapted evidence contract remain part of that contribution.</w:t>
      </w:r>
    </w:p>
    <w:p>
      <w:pPr>
        <w:pStyle w:val="Heading2"/>
        <w:rPr/>
      </w:pPr>
      <w:bookmarkStart w:id="84" w:name="__RefHeading___Toc25765_2336213107"/>
      <w:bookmarkEnd w:id="84"/>
      <w:r>
        <w:rPr>
          <w:rFonts w:ascii="Times New Roman" w:hAnsi="Times New Roman"/>
          <w:b/>
          <w:i w:val="false"/>
        </w:rPr>
        <w:t>5.3 Applied Evaluation Procedure</w:t>
      </w:r>
    </w:p>
    <w:p>
      <w:pPr>
        <w:pStyle w:val="Normal"/>
        <w:rPr/>
      </w:pPr>
      <w:r>
        <w:rPr>
          <w:b w:val="false"/>
          <w:i w:val="false"/>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pStyle w:val="Normal"/>
        <w:rPr/>
      </w:pPr>
      <w:r>
        <w:rPr>
          <w:b w:val="false"/>
          <w:i w:val="false"/>
        </w:rPr>
        <w:t>This is a proposed reporting procedure, not a new industry standard or a mathematically new metric. The present evidence shows why the pair is useful in this setting. It does not prove that every omitted pair hides a loss or that every warning is actionable.</w:t>
      </w:r>
    </w:p>
    <w:p>
      <w:pPr>
        <w:pStyle w:val="GWUTableCaption"/>
        <w:rPr/>
      </w:pPr>
      <w:bookmarkStart w:id="85" w:name="__RefHeading___Toc25909_2336213107"/>
      <w:bookmarkEnd w:id="85"/>
      <w:r>
        <w:rPr>
          <w:b w:val="false"/>
          <w:i w:val="false"/>
        </w:rPr>
        <w:t>Table 5-1. Minimum audit record for a stage-classifier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74"/>
        <w:gridCol w:w="3038"/>
        <w:gridCol w:w="2928"/>
      </w:tblGrid>
      <w:tr>
        <w:trPr>
          <w:tblHeader w:val="true"/>
          <w:cantSplit/>
        </w:trPr>
        <w:tc>
          <w:tcPr>
            <w:tcW w:w="26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Audit item</w:t>
            </w:r>
          </w:p>
        </w:tc>
        <w:tc>
          <w:tcPr>
            <w:tcW w:w="30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Required record</w:t>
            </w:r>
          </w:p>
        </w:tc>
        <w:tc>
          <w:tcPr>
            <w:tcW w:w="2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Decision it supports</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and targets</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Release hash, native labels, benign definition, label semantics</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claim matches what was annotated</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Timing</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Training/evaluation boundaries, event completion, history availability</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intended earlier-to-later comparison is possible</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Dependence</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Capture/run/campaign definitions, duplicate overlap, derivative sources</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constitutes independent evidence</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outcomes</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Exact-stage and warning recall, wrong-stage and benign destinations</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stage improvement retains warnings</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Workload</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 false-alert count/rate, population, operating rule</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warning retention adds investigation burden</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Uncertainty</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Per-seed values, actual resampling units, unsupported draws</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How much variation the available evidence describes</w:t>
            </w:r>
          </w:p>
        </w:tc>
      </w:tr>
      <w:tr>
        <w:trPr>
          <w:cantSplit/>
        </w:trPr>
        <w:tc>
          <w:tcPr>
            <w:tcW w:w="26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Reproducibility</w:t>
            </w:r>
          </w:p>
        </w:tc>
        <w:tc>
          <w:tcPr>
            <w:tcW w:w="30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Protocol/source commits, input/output hashes, all declared results</w:t>
            </w:r>
          </w:p>
        </w:tc>
        <w:tc>
          <w:tcPr>
            <w:tcW w:w="292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another analyst can trace and recompute the claim</w:t>
            </w:r>
          </w:p>
        </w:tc>
      </w:tr>
    </w:tbl>
    <w:p>
      <w:pPr>
        <w:pStyle w:val="Normal"/>
        <w:spacing w:lineRule="auto" w:line="60" w:before="0" w:after="40"/>
        <w:rPr/>
      </w:pPr>
      <w:r>
        <w:rPr/>
      </w:r>
    </w:p>
    <w:p>
      <w:pPr>
        <w:pStyle w:val="PraxisList"/>
        <w:numPr>
          <w:ilvl w:val="0"/>
          <w:numId w:val="9"/>
        </w:numPr>
        <w:rPr/>
      </w:pPr>
      <w:r>
        <w:rPr>
          <w:b w:val="false"/>
          <w:i w:val="false"/>
        </w:rPr>
        <w:t>Define the operational decision and when its features become available. A full-flow detector should be evaluated as a completed-flow decision.</w:t>
      </w:r>
    </w:p>
    <w:p>
      <w:pPr>
        <w:pStyle w:val="PraxisList"/>
        <w:numPr>
          <w:ilvl w:val="0"/>
          <w:numId w:val="9"/>
        </w:numPr>
        <w:rPr/>
      </w:pPr>
      <w:r>
        <w:rPr>
          <w:b w:val="false"/>
          <w:i w:val="false"/>
        </w:rPr>
        <w:t>Inventory the actual release, target semantics, timestamps, and source relationships. Preserve uncertain fields explicitly.</w:t>
      </w:r>
    </w:p>
    <w:p>
      <w:pPr>
        <w:pStyle w:val="PraxisList"/>
        <w:numPr>
          <w:ilvl w:val="0"/>
          <w:numId w:val="9"/>
        </w:numPr>
        <w:rPr/>
      </w:pPr>
      <w:r>
        <w:rPr>
          <w:b w:val="false"/>
          <w:i w:val="false"/>
        </w:rPr>
        <w:t>Test native-class support and chronology before fitting. If the intended split is impossible, record that finding and register a different question separately.</w:t>
      </w:r>
    </w:p>
    <w:p>
      <w:pPr>
        <w:pStyle w:val="PraxisList"/>
        <w:numPr>
          <w:ilvl w:val="0"/>
          <w:numId w:val="9"/>
        </w:numPr>
        <w:rPr/>
      </w:pPr>
      <w:r>
        <w:rPr>
          <w:b w:val="false"/>
          <w:i w:val="false"/>
        </w:rPr>
        <w:t>Freeze the compared models, feature sets, operating rules, populations, and resource limits. Include simple controls.</w:t>
      </w:r>
    </w:p>
    <w:p>
      <w:pPr>
        <w:pStyle w:val="PraxisList"/>
        <w:numPr>
          <w:ilvl w:val="0"/>
          <w:numId w:val="9"/>
        </w:numPr>
        <w:rPr/>
      </w:pPr>
      <w:r>
        <w:rPr>
          <w:b w:val="false"/>
          <w:i w:val="false"/>
        </w:rPr>
        <w:t>Preserve row-linked predictions privately and calculate paired metrics from those same rows. Report all declared conditions.</w:t>
      </w:r>
    </w:p>
    <w:p>
      <w:pPr>
        <w:pStyle w:val="PraxisList"/>
        <w:numPr>
          <w:ilvl w:val="0"/>
          <w:numId w:val="9"/>
        </w:numPr>
        <w:rPr/>
      </w:pPr>
      <w:r>
        <w:rPr>
          <w:b w:val="false"/>
          <w:i w:val="false"/>
        </w:rPr>
        <w:t>Interpret stage accuracy, warning loss, and benign workload jointly. Use independent executions for a generalization claim and an appropriate calibration design for matched-workload claims.</w:t>
      </w:r>
    </w:p>
    <w:p>
      <w:pPr>
        <w:pStyle w:val="Normal"/>
        <w:rPr/>
      </w:pPr>
      <w:r>
        <w:rPr>
          <w:b w:val="false"/>
          <w:i w:val="false"/>
        </w:rPr>
        <w:t>The delivered planner, metric library, support diagnostic, and evidence receipts implement the corresponding parts of this workflow. They are a portable audit core, not a completed four-source fitting executor. The AIT adapter now implements a separate qualified three-class history contract; the original four-source contracts remain limited as reported. A generic tool cannot infer the meaning of a timestamp or turn a dataset name into an independent campaign.</w:t>
      </w:r>
    </w:p>
    <w:p>
      <w:pPr>
        <w:pStyle w:val="Heading2"/>
        <w:rPr/>
      </w:pPr>
      <w:bookmarkStart w:id="86" w:name="__RefHeading___Toc25767_2336213107"/>
      <w:bookmarkEnd w:id="86"/>
      <w:r>
        <w:rPr>
          <w:rFonts w:ascii="Times New Roman" w:hAnsi="Times New Roman"/>
          <w:b/>
          <w:i w:val="false"/>
        </w:rPr>
        <w:t>5.4 Construct, Internal and External Validity</w:t>
      </w:r>
    </w:p>
    <w:p>
      <w:pPr>
        <w:pStyle w:val="Heading3"/>
        <w:rPr/>
      </w:pPr>
      <w:r>
        <w:rPr>
          <w:rFonts w:ascii="Times New Roman" w:hAnsi="Times New Roman"/>
          <w:b/>
          <w:i w:val="false"/>
        </w:rPr>
        <w:t>5.4.1 Construct validity</w:t>
      </w:r>
    </w:p>
    <w:p>
      <w:pPr>
        <w:pStyle w:val="Normal"/>
        <w:rPr/>
      </w:pPr>
      <w:r>
        <w:rPr>
          <w:b w:val="false"/>
          <w:i w:val="false"/>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3"/>
        <w:rPr/>
      </w:pPr>
      <w:r>
        <w:rPr>
          <w:rFonts w:ascii="Times New Roman" w:hAnsi="Times New Roman"/>
          <w:b/>
          <w:i w:val="false"/>
        </w:rPr>
        <w:t>5.4.2 Internal validity</w:t>
      </w:r>
    </w:p>
    <w:p>
      <w:pPr>
        <w:pStyle w:val="Normal"/>
        <w:rPr/>
      </w:pPr>
      <w:r>
        <w:rPr>
          <w:b w:val="false"/>
          <w:i w:val="false"/>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pStyle w:val="Normal"/>
        <w:rPr/>
      </w:pPr>
      <w:r>
        <w:rPr>
          <w:b w:val="false"/>
          <w:i w:val="false"/>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3"/>
        <w:rPr/>
      </w:pPr>
      <w:r>
        <w:rPr>
          <w:rFonts w:ascii="Times New Roman" w:hAnsi="Times New Roman"/>
          <w:b/>
          <w:i w:val="false"/>
        </w:rPr>
        <w:t>5.4.3 Statistical and external validity</w:t>
      </w:r>
    </w:p>
    <w:p>
      <w:pPr>
        <w:pStyle w:val="Normal"/>
        <w:rPr/>
      </w:pPr>
      <w:r>
        <w:rPr>
          <w:b w:val="false"/>
          <w:i w:val="false"/>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pStyle w:val="Normal"/>
        <w:rPr/>
      </w:pPr>
      <w:r>
        <w:rPr>
          <w:b w:val="false"/>
          <w:i w:val="false"/>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3"/>
        <w:rPr/>
      </w:pPr>
      <w:r>
        <w:rPr>
          <w:rFonts w:ascii="Times New Roman" w:hAnsi="Times New Roman"/>
          <w:b/>
          <w:i w:val="false"/>
        </w:rPr>
        <w:t>5.4.4 Reproducibility and access limits</w:t>
      </w:r>
    </w:p>
    <w:p>
      <w:pPr>
        <w:pStyle w:val="Normal"/>
        <w:rPr/>
      </w:pPr>
      <w:r>
        <w:rPr>
          <w:b w:val="false"/>
          <w:i w:val="false"/>
        </w:rPr>
        <w:t>Public code, aggregate tables, support bounds, protocols, and hashes allow independent inspection of the analysis. Full recomputation requires the same qualified source artifacts and private row-linked prediction files, whose locations and hashes are recorded. The AIT reproduction archive additionally includes all eight unchanged publisher archives under CC BY 4.0 with attribution, prepared arrays, 42 model objects and every saved prediction. Source access, licensing, and authentication conditions can limit external reproduction. A hash establishes byte identity, not label correctness or authorization to redistribute data.</w:t>
      </w:r>
    </w:p>
    <w:p>
      <w:pPr>
        <w:pStyle w:val="Normal"/>
        <w:rPr/>
      </w:pPr>
      <w:r>
        <w:rPr>
          <w:b w:val="false"/>
          <w:i w:val="false"/>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Normal"/>
        <w:rPr/>
      </w:pPr>
      <w:r>
        <w:rPr>
          <w:b w:val="false"/>
          <w:i w:val="false"/>
        </w:rPr>
        <w:t>The full-release extension removes the original file-coverage and class-cap restrictions for its own role-feature comparison. It retains one exposed campaign, sensor dependence and author-stage semantics. Its fixed four-class macro-F1 penalizes unsupported classes; comparisons across sensors with different class support are descriptive. Calibration-only review tolerances are illustrative, and a missing stage cannot be protected by an unobserved calibration measurement.</w:t>
      </w:r>
    </w:p>
    <w:p>
      <w:pPr>
        <w:pStyle w:val="Heading3"/>
        <w:rPr/>
      </w:pPr>
      <w:r>
        <w:rPr>
          <w:rFonts w:ascii="Times New Roman" w:hAnsi="Times New Roman"/>
          <w:b/>
          <w:i w:val="false"/>
        </w:rPr>
        <w:t>5.4.5 Scope of the finished manuscript</w:t>
      </w:r>
    </w:p>
    <w:p>
      <w:pPr>
        <w:pStyle w:val="Normal"/>
        <w:rPr/>
      </w:pPr>
      <w:r>
        <w:rPr>
          <w:b w:val="false"/>
          <w:i w:val="false"/>
        </w:rPr>
        <w:t>The completed manuscript makes a measurement claim on the available evidence and provides the full supporting artifact record. It does not wait for every desirable future study to report the results already obtained. The AIT extension adds two held-out laboratory executions for an adapted configuration. Their mixed findings broaden the empirical record while leaving exact four-class replication, unrelated-campaign generalization and operational benefit unresolved.</w:t>
      </w:r>
    </w:p>
    <w:p>
      <w:pPr>
        <w:pStyle w:val="Heading3"/>
        <w:rPr/>
      </w:pPr>
      <w:r>
        <w:rPr>
          <w:rFonts w:ascii="Times New Roman" w:hAnsi="Times New Roman"/>
          <w:b/>
          <w:i w:val="false"/>
        </w:rPr>
        <w:t>5.4.6 Validity of the external-execution extension</w:t>
      </w:r>
    </w:p>
    <w:p>
      <w:pPr>
        <w:pStyle w:val="Normal"/>
        <w:rPr/>
      </w:pPr>
      <w:r>
        <w:rPr>
          <w:b w:val="false"/>
          <w:i w:val="false"/>
        </w:rPr>
        <w:t>Whole-execution separation, final calendar separation, all-row fitting and strict prior-history construction strengthen the AIT test. They do not make two generated scenarios representative of independent real APT families. Native exfiltration labels are verified against the publisher's port/topology rule, not payload contents. The release aggregates probes without retaining sensor identity, so repeated observations may persist. Source taxonomies and evidence groups differ from PX081. The original-direction outcome was frozen before fitting, whereas the opposite-order Wilson interpretation is explicitly secondary and descriptive. Three seeds assess fitting sensitivity; no flow-level significance test or universal effect claim is made.</w:t>
      </w:r>
    </w:p>
    <w:p>
      <w:pPr>
        <w:pStyle w:val="Heading2"/>
        <w:rPr/>
      </w:pPr>
      <w:bookmarkStart w:id="87" w:name="__RefHeading___Toc25769_2336213107"/>
      <w:bookmarkEnd w:id="87"/>
      <w:r>
        <w:rPr>
          <w:rFonts w:ascii="Times New Roman" w:hAnsi="Times New Roman"/>
          <w:b/>
          <w:i w:val="false"/>
        </w:rPr>
        <w:t>5.5 Recommendations for Future Research</w:t>
      </w:r>
    </w:p>
    <w:p>
      <w:pPr>
        <w:pStyle w:val="Normal"/>
        <w:rPr/>
      </w:pPr>
      <w:r>
        <w:rPr>
          <w:b w:val="false"/>
          <w:i w:val="false"/>
        </w:rPr>
        <w:t>The next empirical extension is an exact four-class, two-evidence-group replication on another qualified execution, followed by unrelated campaign families and measured collection constraints. The completed AIT test addresses disjoint laboratory executions for the adapted three-class history task. Its unreplicated primary direction and small secondary tradeoff make recurrence, effect size and source-label verification explicit research questions. Additional architectures are useful only if they answer a defined comparison question; they are not a prerequisite for stating the completed measurement contribution.</w:t>
      </w:r>
    </w:p>
    <w:p>
      <w:pPr>
        <w:pStyle w:val="Normal"/>
        <w:rPr/>
      </w:pPr>
      <w:r>
        <w:rPr>
          <w:b w:val="false"/>
          <w:i w:val="false"/>
        </w:rPr>
        <w:t>An operational study could subsequently test whether the proposed joint report changes an analyst's or model-review team's decisions. Such a study would need actual users or deployment outcomes, a declared decision task and an appropriate comparison design. The present computational results do not stand in for that evidence.</w:t>
      </w:r>
    </w:p>
    <w:p>
      <w:pPr>
        <w:pStyle w:val="Normal"/>
        <w:rPr/>
      </w:pPr>
      <w:r>
        <w:rPr>
          <w:b w:val="false"/>
          <w:i w:val="false"/>
        </w:rPr>
        <w:t>The source intake checked Sandworm and CAM-LDS as possible extensions. Sandworm was previously evaluated in this project and has no native exfiltration flow class; CAM-LDS lacks simulated normal-user activity. A log-first annotation-linkage intake may support a different technique task, but those facts do not supply the missing full warning-and-benign-workload replication.</w:t>
      </w:r>
    </w:p>
    <w:p>
      <w:pPr>
        <w:pStyle w:val="Normal"/>
        <w:rPr/>
      </w:pPr>
      <w:r>
        <w:rPr>
          <w:b w:val="false"/>
          <w:i w:val="false"/>
        </w:rPr>
        <w:t>The September 26 follow-up acquired eight CRC-verified CAM-LDS archive members from two previously inspected executions and checked 3,332 flow records against four T1041 actions. Tool output reported successful downloads, but each action had multiple candidate C2 flows and the streams lacked verified legitimate-user labels. The complete publisher archive checksum was not verified. These additional bytes improve source inspection, yet do not create untouched executions or defensible benign/exfiltration flow labels. No unsupported replication model was fitted. The acquisition and qualification receipts accompany the final evidence.</w:t>
      </w:r>
    </w:p>
    <w:p>
      <w:pPr>
        <w:pStyle w:val="Heading2"/>
        <w:rPr/>
      </w:pPr>
      <w:bookmarkStart w:id="88" w:name="__RefHeading___Toc25771_2336213107"/>
      <w:bookmarkEnd w:id="88"/>
      <w:r>
        <w:rPr>
          <w:rFonts w:ascii="Times New Roman" w:hAnsi="Times New Roman"/>
          <w:b/>
          <w:i w:val="false"/>
        </w:rPr>
        <w:t>5.6 Conclusions</w:t>
      </w:r>
    </w:p>
    <w:p>
      <w:pPr>
        <w:pStyle w:val="Normal"/>
        <w:rPr/>
      </w:pPr>
      <w:r>
        <w:rPr>
          <w:b w:val="false"/>
          <w:i w:val="false"/>
        </w:rPr>
        <w:t>This praxis provides an evidence-based evaluation method for exposing missed attack warnings that an improved APT classification score can conceal. In the observed acquisition comparison, mean macro-F1 increased from 0.7148 to 0.7379 while exfiltration warning recall fell from 85.18% to 76.25%. The direction of the specified mean tradeoff survived every single-seed and single-capture omission, while its size remained strongly seed-sensitive.</w:t>
      </w:r>
    </w:p>
    <w:p>
      <w:pPr>
        <w:pStyle w:val="Normal"/>
        <w:rPr/>
      </w:pPr>
      <w:r>
        <w:rPr>
          <w:b w:val="false"/>
          <w:i w:val="false"/>
        </w:rPr>
        <w:t>Supporting experiments show that training composition changes the reported score on a fixed anchor, and that chronological history can improve both F1 and benign workload while still losing some stage-specific warnings. The dataset audit establishes which proposed extensions support the intended comparison and why the others do not.</w:t>
      </w:r>
    </w:p>
    <w:p>
      <w:pPr>
        <w:pStyle w:val="Normal"/>
        <w:rPr/>
      </w:pPr>
      <w:r>
        <w:rPr>
          <w:b w:val="false"/>
          <w:i w:val="false"/>
        </w:rPr>
        <w:t>The full-release extension accounts for all 6,877,157 released rows and evaluates the declared role-feature comparison with uncapped training. It strengthens coverage while exposing sensor-specific support limits; it supplies no independent campaign or operational validation.</w:t>
      </w:r>
    </w:p>
    <w:p>
      <w:pPr>
        <w:pStyle w:val="Normal"/>
        <w:rPr/>
      </w:pPr>
      <w:r>
        <w:rPr>
          <w:b w:val="false"/>
          <w:i w:val="false"/>
        </w:rPr>
        <w:t>The completed contribution is the controlled evidence and reproducible procedure: qualify the source, justify the temporal design, compare the same population when estimating a paired effect, separate wrong-stage warnings from attacks called benign, and report false alerts alongside both. The resulting claims are specific to the inspected evidence and ready for substantive scholarly review.</w:t>
      </w:r>
    </w:p>
    <w:p>
      <w:pPr>
        <w:pStyle w:val="Normal"/>
        <w:rPr/>
      </w:pPr>
      <w:r>
        <w:rPr>
          <w:b w:val="false"/>
          <w:i w:val="false"/>
        </w:rPr>
        <w:t>The AIT extension adds 3,465,342 inspected source rows, two later held-out executions and 42 fits under a separate frozen contract. The original named-policy direction does not replicate. A small opposite-order warning loss occurs on Wilson, and Harrison improves both outcomes. The defensible synthesis is therefore bounded: aggregate stage scores and warning retention can diverge on inspected records, but neither the sign nor the size of a particular policy contrast is universal. A joint report makes these outcomes visible and preserves the adverse evidence.</w:t>
      </w:r>
      <w:r>
        <w:br w:type="page"/>
      </w:r>
    </w:p>
    <w:p>
      <w:pPr>
        <w:pStyle w:val="Heading1"/>
        <w:rPr/>
      </w:pPr>
      <w:bookmarkStart w:id="89" w:name="__RefHeading___Toc25773_2336213107"/>
      <w:bookmarkEnd w:id="89"/>
      <w:r>
        <w:rPr>
          <w:rFonts w:ascii="Times New Roman" w:hAnsi="Times New Roman"/>
          <w:b/>
          <w:i w:val="false"/>
        </w:rPr>
        <w:t>References</w:t>
      </w:r>
    </w:p>
    <w:p>
      <w:pPr>
        <w:pStyle w:val="PraxisReference"/>
        <w:rPr/>
      </w:pPr>
      <w:r>
        <w:rPr>
          <w:b w:val="false"/>
          <w:i w:val="false"/>
        </w:rPr>
        <w:t xml:space="preserve">Bilot, T., Jiang, B., Li, Z., El Madhoun, N., Al Agha, K., Zouaoui, A., &amp; Pasquier, T. (2025). Sometimes simpler is better: A comprehensive analysis of state-of-the-art provenance-based intrusion detection systems. In </w:t>
      </w:r>
      <w:r>
        <w:rPr>
          <w:b w:val="false"/>
          <w:i/>
        </w:rPr>
        <w:t>34th USENIX Security Symposium</w:t>
      </w:r>
      <w:r>
        <w:rPr>
          <w:b w:val="false"/>
          <w:i w:val="false"/>
        </w:rPr>
        <w:t xml:space="preserve"> (pp. 7193-7212). USENIX Association. https://www.usenix.org/conference/usenixsecurity25/presentation/bilot</w:t>
      </w:r>
    </w:p>
    <w:p>
      <w:pPr>
        <w:pStyle w:val="PraxisReference"/>
        <w:rPr/>
      </w:pPr>
      <w:r>
        <w:rPr>
          <w:b w:val="false"/>
          <w:i w:val="false"/>
        </w:rPr>
        <w:t xml:space="preserve">Efron, B. (1979). Bootstrap methods: Another look at the jackknife. </w:t>
      </w:r>
      <w:r>
        <w:rPr>
          <w:b w:val="false"/>
          <w:i/>
        </w:rPr>
        <w:t>The Annals of Statistics, 7</w:t>
      </w:r>
      <w:r>
        <w:rPr>
          <w:b w:val="false"/>
          <w:i w:val="false"/>
        </w:rPr>
        <w:t>(1), 1-26. https://doi.org/10.1214/aos/1176344552</w:t>
      </w:r>
    </w:p>
    <w:p>
      <w:pPr>
        <w:pStyle w:val="PraxisReference"/>
        <w:rPr/>
      </w:pPr>
      <w:r>
        <w:rPr>
          <w:b w:val="false"/>
          <w:i w:val="false"/>
        </w:rPr>
        <w:t xml:space="preserve">Guerra, L., Chapuis, T., Duc, G., Mozharovskyi, P., &amp; Nguyen, V.-T. (2026). </w:t>
      </w:r>
      <w:r>
        <w:rPr>
          <w:b w:val="false"/>
          <w:i/>
        </w:rPr>
        <w:t>How benchmarks and evaluation protocols shape conclusions in provenance-based intrusion detection</w:t>
      </w:r>
      <w:r>
        <w:rPr>
          <w:b w:val="false"/>
          <w:i w:val="false"/>
        </w:rPr>
        <w:t xml:space="preserve"> (Version 3) [Preprint]. arXiv. https://doi.org/10.48550/arXiv.2608.01454</w:t>
      </w:r>
    </w:p>
    <w:p>
      <w:pPr>
        <w:pStyle w:val="PraxisReference"/>
        <w:rPr/>
      </w:pPr>
      <w:r>
        <w:rPr>
          <w:b w:val="false"/>
          <w:i w:val="false"/>
        </w:rPr>
        <w:t xml:space="preserve">Ha Thanh, D. (2026). A transfer-aware, deployment-oriented evaluation framework for NetFlow-based intrusion detection systems (TAN-IDS). </w:t>
      </w:r>
      <w:r>
        <w:rPr>
          <w:b w:val="false"/>
          <w:i/>
        </w:rPr>
        <w:t>PLOS One, 21</w:t>
      </w:r>
      <w:r>
        <w:rPr>
          <w:b w:val="false"/>
          <w:i w:val="false"/>
        </w:rPr>
        <w:t>(4), e0346801. https://doi.org/10.1371/journal.pone.0346801</w:t>
      </w:r>
    </w:p>
    <w:p>
      <w:pPr>
        <w:pStyle w:val="PraxisReference"/>
        <w:rPr/>
      </w:pPr>
      <w:r>
        <w:rPr>
          <w:b w:val="false"/>
          <w:i w:val="false"/>
        </w:rPr>
        <w:t xml:space="preserve">Ibrahim, N., Rajalakshmi, N. R., Sivakumar, V., &amp; Sharmila, L. (2025). An optimized hybrid ensemble machine learning model combining multiple classifiers for detecting advanced persistent threats in networks. </w:t>
      </w:r>
      <w:r>
        <w:rPr>
          <w:b w:val="false"/>
          <w:i/>
        </w:rPr>
        <w:t>Journal of Big Data, 12</w:t>
      </w:r>
      <w:r>
        <w:rPr>
          <w:b w:val="false"/>
          <w:i w:val="false"/>
        </w:rPr>
        <w:t>, Article 212. https://doi.org/10.1186/s40537-025-01272-w</w:t>
      </w:r>
    </w:p>
    <w:p>
      <w:pPr>
        <w:pStyle w:val="PraxisReference"/>
        <w:rPr/>
      </w:pPr>
      <w:r>
        <w:rPr>
          <w:b w:val="false"/>
          <w:i w:val="false"/>
        </w:rPr>
        <w:t xml:space="preserve">Iturbe, E., Dalamagkas, C., Radoglou-Grammatikis, P., Rios, E., &amp; Toledo, N. (2026). A pattern-aware LSTM-based approach for APT detection leveraging a realistic dataset for critical infrastructure security. </w:t>
      </w:r>
      <w:r>
        <w:rPr>
          <w:b w:val="false"/>
          <w:i/>
        </w:rPr>
        <w:t>Future Generation Computer Systems, 178</w:t>
      </w:r>
      <w:r>
        <w:rPr>
          <w:b w:val="false"/>
          <w:i w:val="false"/>
        </w:rPr>
        <w:t>, Article 108308. https://doi.org/10.1016/j.future.2025.108308</w:t>
      </w:r>
    </w:p>
    <w:p>
      <w:pPr>
        <w:pStyle w:val="PraxisReference"/>
        <w:rPr/>
      </w:pPr>
      <w:r>
        <w:rPr>
          <w:b w:val="false"/>
          <w:i w:val="false"/>
        </w:rPr>
        <w:t xml:space="preserve">Ke, G., Meng, Q., Finley, T., Wang, T., Chen, W., Ma, W., Ye, Q., &amp; Liu, T.-Y. (2017). LightGBM: A highly efficient gradient boosting decision tree. In </w:t>
      </w:r>
      <w:r>
        <w:rPr>
          <w:b w:val="false"/>
          <w:i/>
        </w:rPr>
        <w:t>Advances in Neural Information Processing Systems</w:t>
      </w:r>
      <w:r>
        <w:rPr>
          <w:b w:val="false"/>
          <w:i w:val="false"/>
        </w:rPr>
        <w:t xml:space="preserve"> (Vol. 30). Curran Associates. https://proceedings.neurips.cc/paper/2017/hash/6449f44a102fde848669bdd9eb6b76fa-Abstract.html</w:t>
      </w:r>
    </w:p>
    <w:p>
      <w:pPr>
        <w:pStyle w:val="PraxisReference"/>
        <w:rPr/>
      </w:pPr>
      <w:r>
        <w:rPr>
          <w:b w:val="false"/>
          <w:i w:val="false"/>
        </w:rPr>
        <w:t xml:space="preserve">Kilian, S., Viet Triem Tong, V., Lalande, J.-F., Majorczyk, F., Sanchez, A., Talon, N., Besson, P.-V., Orsini, H., Lledo, P., &amp; Gimenez, P.-F. (2025). CasinoLimit: An offensive dataset labeled with MITRE ATT&amp;CK techniques. In </w:t>
      </w:r>
      <w:r>
        <w:rPr>
          <w:b w:val="false"/>
          <w:i/>
        </w:rPr>
        <w:t>2025 28th International Symposium on Research in Attacks, Intrusions and Defenses (RAID)</w:t>
      </w:r>
      <w:r>
        <w:rPr>
          <w:b w:val="false"/>
          <w:i w:val="false"/>
        </w:rPr>
        <w:t>. IEEE. https://doi.org/10.1109/RAID67961.2025.00039</w:t>
      </w:r>
    </w:p>
    <w:p>
      <w:pPr>
        <w:pStyle w:val="PraxisReference"/>
        <w:rPr/>
      </w:pPr>
      <w:r>
        <w:rPr>
          <w:b w:val="false"/>
          <w:i w:val="false"/>
        </w:rPr>
        <w:t xml:space="preserve">Landauer, M., Hotwagner, W., Boenke, T., Skopik, F., &amp; Wurzenberger, M. (2026). CAM-LDS: Cyber attack manifestations for automatic interpretation of system logs and security alerts. </w:t>
      </w:r>
      <w:r>
        <w:rPr>
          <w:b w:val="false"/>
          <w:i/>
        </w:rPr>
        <w:t>International Journal of Information Security, 25</w:t>
      </w:r>
      <w:r>
        <w:rPr>
          <w:b w:val="false"/>
          <w:i w:val="false"/>
        </w:rPr>
        <w:t>(5), Article 148. https://doi.org/10.1007/s10207-026-01318-x</w:t>
      </w:r>
    </w:p>
    <w:p>
      <w:pPr>
        <w:pStyle w:val="PraxisReference"/>
        <w:rPr/>
      </w:pPr>
      <w:r>
        <w:rPr>
          <w:b w:val="false"/>
          <w:i w:val="false"/>
        </w:rPr>
        <w:t xml:space="preserve">Landauer, M., Skopik, F., Frank, M., Hotwagner, W., Wurzenberger, M., &amp; Rauber, A. (2023). Maintainable log datasets for evaluation of intrusion detection systems. </w:t>
      </w:r>
      <w:r>
        <w:rPr>
          <w:b w:val="false"/>
          <w:i/>
        </w:rPr>
        <w:t>IEEE Transactions on Dependable and Secure Computing, 20</w:t>
      </w:r>
      <w:r>
        <w:rPr>
          <w:b w:val="false"/>
          <w:i w:val="false"/>
        </w:rPr>
        <w:t>(4), 3466-3482. https://arxiv.org/abs/2203.08580</w:t>
      </w:r>
    </w:p>
    <w:p>
      <w:pPr>
        <w:pStyle w:val="PraxisReference"/>
        <w:rPr/>
      </w:pPr>
      <w:r>
        <w:rPr>
          <w:b w:val="false"/>
          <w:i w:val="false"/>
        </w:rPr>
        <w:t xml:space="preserve">Landauer, M., Skopik, F., Wurzenberger, M., Hotwagner, W., &amp; Rauber, A. (2021). Have it your way: Generating customized log datasets with a model-driven simulation testbed. </w:t>
      </w:r>
      <w:r>
        <w:rPr>
          <w:b w:val="false"/>
          <w:i/>
        </w:rPr>
        <w:t>IEEE Transactions on Reliability, 70</w:t>
      </w:r>
      <w:r>
        <w:rPr>
          <w:b w:val="false"/>
          <w:i w:val="false"/>
        </w:rPr>
        <w:t>(1), 402-415. https://doi.org/10.1109/TR.2020.3031317</w:t>
      </w:r>
    </w:p>
    <w:p>
      <w:pPr>
        <w:pStyle w:val="PraxisReference"/>
        <w:rPr/>
      </w:pPr>
      <w:r>
        <w:rPr>
          <w:b w:val="false"/>
          <w:i w:val="false"/>
        </w:rPr>
        <w:t xml:space="preserve">LightGBM developers. (n.d.-a). </w:t>
      </w:r>
      <w:r>
        <w:rPr>
          <w:b w:val="false"/>
          <w:i/>
        </w:rPr>
        <w:t>Features</w:t>
      </w:r>
      <w:r>
        <w:rPr>
          <w:b w:val="false"/>
          <w:i w:val="false"/>
        </w:rPr>
        <w:t xml:space="preserve"> (Version 4.6.0 documentation). Retrieved September 24, 2026, from https://lightgbm.readthedocs.io/en/v4.6.0/Features.html</w:t>
      </w:r>
    </w:p>
    <w:p>
      <w:pPr>
        <w:pStyle w:val="PraxisReference"/>
        <w:rPr/>
      </w:pPr>
      <w:r>
        <w:rPr>
          <w:b w:val="false"/>
          <w:i w:val="false"/>
        </w:rPr>
        <w:t xml:space="preserve">LightGBM developers. (n.d.-b). </w:t>
      </w:r>
      <w:r>
        <w:rPr>
          <w:b w:val="false"/>
          <w:i/>
        </w:rPr>
        <w:t>lightgbm.LGBMClassifier</w:t>
      </w:r>
      <w:r>
        <w:rPr>
          <w:b w:val="false"/>
          <w:i w:val="false"/>
        </w:rPr>
        <w:t xml:space="preserve"> (Version 4.6.0 documentation). Retrieved September 24, 2026, from https://lightgbm.readthedocs.io/en/v4.6.0/pythonapi/lightgbm.LGBMClassifier.html</w:t>
      </w:r>
    </w:p>
    <w:p>
      <w:pPr>
        <w:pStyle w:val="PraxisReference"/>
        <w:rPr/>
      </w:pPr>
      <w:r>
        <w:rPr>
          <w:b w:val="false"/>
          <w:i w:val="false"/>
        </w:rPr>
        <w:t xml:space="preserve">LightGBM developers. (n.d.-c). </w:t>
      </w:r>
      <w:r>
        <w:rPr>
          <w:b w:val="false"/>
          <w:i/>
        </w:rPr>
        <w:t>lightgbm.LGBMRegressor</w:t>
      </w:r>
      <w:r>
        <w:rPr>
          <w:b w:val="false"/>
          <w:i w:val="false"/>
        </w:rPr>
        <w:t xml:space="preserve"> (Version 4.6.0 documentation). Retrieved September 24, 2026, from https://lightgbm.readthedocs.io/en/v4.6.0/pythonapi/lightgbm.LGBMRegressor.html</w:t>
      </w:r>
    </w:p>
    <w:p>
      <w:pPr>
        <w:pStyle w:val="PraxisReference"/>
        <w:rPr/>
      </w:pPr>
      <w:r>
        <w:rPr>
          <w:b w:val="false"/>
          <w:i w:val="false"/>
        </w:rPr>
        <w:t xml:space="preserve">LightGBM developers. (n.d.-d). </w:t>
      </w:r>
      <w:r>
        <w:rPr>
          <w:b w:val="false"/>
          <w:i/>
        </w:rPr>
        <w:t>Parameters</w:t>
      </w:r>
      <w:r>
        <w:rPr>
          <w:b w:val="false"/>
          <w:i w:val="false"/>
        </w:rPr>
        <w:t xml:space="preserve"> (Version 4.6.0 documentation). Retrieved September 24, 2026, from https://lightgbm.readthedocs.io/en/v4.6.0/Parameters.html</w:t>
      </w:r>
    </w:p>
    <w:p>
      <w:pPr>
        <w:pStyle w:val="PraxisReference"/>
        <w:rPr/>
      </w:pPr>
      <w:r>
        <w:rPr>
          <w:b w:val="false"/>
          <w:i w:val="false"/>
        </w:rPr>
        <w:t xml:space="preserve">Liu, J., Shen, Y., Simsek, M., Kantarci, B., Mouftah, H. T., Bagheri, M., &amp; Djukic, P. (2022a). A new realistic benchmark for advanced persistent threats in network traffic. </w:t>
      </w:r>
      <w:r>
        <w:rPr>
          <w:b w:val="false"/>
          <w:i/>
        </w:rPr>
        <w:t>IEEE Networking Letters, 4</w:t>
      </w:r>
      <w:r>
        <w:rPr>
          <w:b w:val="false"/>
          <w:i w:val="false"/>
        </w:rPr>
        <w:t>(3), 162-166. https://doi.org/10.1109/LNET.2022.3185553</w:t>
      </w:r>
    </w:p>
    <w:p>
      <w:pPr>
        <w:pStyle w:val="PraxisReference"/>
        <w:rPr/>
      </w:pPr>
      <w:r>
        <w:rPr>
          <w:b w:val="false"/>
          <w:i w:val="false"/>
        </w:rPr>
        <w:t xml:space="preserve">Liu, J., Shen, Y., Simsek, M., Kantarci, B., Mouftah, H. T., Bagheri, M., &amp; Djukic, P. (2022b). </w:t>
      </w:r>
      <w:r>
        <w:rPr>
          <w:b w:val="false"/>
          <w:i/>
        </w:rPr>
        <w:t>SCVIC-APT-2021</w:t>
      </w:r>
      <w:r>
        <w:rPr>
          <w:b w:val="false"/>
          <w:i w:val="false"/>
        </w:rPr>
        <w:t xml:space="preserve"> [Dataset]. IEEE DataPort. https://doi.org/10.21227/g2z5-ep97</w:t>
      </w:r>
    </w:p>
    <w:p>
      <w:pPr>
        <w:pStyle w:val="PraxisReference"/>
        <w:rPr/>
      </w:pPr>
      <w:r>
        <w:rPr>
          <w:b w:val="false"/>
          <w:i w:val="false"/>
        </w:rPr>
        <w:t xml:space="preserve">Luengo Viñuela, M., Román-Gallego, J.-Á., Pérez-Delgado, M.-L., Conde, M. A., Vega-Hernández, M.-C., &amp; Silva Varela, H. (2026). Detection of APTs by machine learning: A performance comparison. </w:t>
      </w:r>
      <w:r>
        <w:rPr>
          <w:b w:val="false"/>
          <w:i/>
        </w:rPr>
        <w:t>Expert Systems, 43</w:t>
      </w:r>
      <w:r>
        <w:rPr>
          <w:b w:val="false"/>
          <w:i w:val="false"/>
        </w:rPr>
        <w:t>(1), e70181. https://doi.org/10.1111/exsy.70181</w:t>
      </w:r>
    </w:p>
    <w:p>
      <w:pPr>
        <w:pStyle w:val="PraxisReference"/>
        <w:rPr/>
      </w:pPr>
      <w:r>
        <w:rPr>
          <w:b w:val="false"/>
          <w:i w:val="false"/>
        </w:rPr>
        <w:t xml:space="preserve">M K, V. P., S, S., H, A. G., Aggarwal, M., &amp; V S, S. S. (2026). Advanced persistent threat detection through sequential analysis of network patterns with graph based learning approach. </w:t>
      </w:r>
      <w:r>
        <w:rPr>
          <w:b w:val="false"/>
          <w:i/>
        </w:rPr>
        <w:t>Scientific Reports, 16</w:t>
      </w:r>
      <w:r>
        <w:rPr>
          <w:b w:val="false"/>
          <w:i w:val="false"/>
        </w:rPr>
        <w:t>, Article 19998. https://doi.org/10.1038/s41598-026-42756-w</w:t>
      </w:r>
    </w:p>
    <w:p>
      <w:pPr>
        <w:pStyle w:val="PraxisReference"/>
        <w:rPr/>
      </w:pPr>
      <w:r>
        <w:rPr>
          <w:b w:val="false"/>
          <w:i w:val="false"/>
        </w:rPr>
        <w:t>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https://doi.org/10.1007/978-3-030-59621-7_8</w:t>
      </w:r>
    </w:p>
    <w:p>
      <w:pPr>
        <w:pStyle w:val="PraxisReference"/>
        <w:rPr/>
      </w:pPr>
      <w:r>
        <w:rPr>
          <w:b w:val="false"/>
          <w:i w:val="false"/>
        </w:rPr>
        <w:t xml:space="preserve">Myneni, S., Jha, K., Sabur, A., Agrawal, G., Deng, Y., Chowdhary, A., &amp; Huang, D. (2023). Unraveled-A semi-synthetic dataset for advanced persistent threats. </w:t>
      </w:r>
      <w:r>
        <w:rPr>
          <w:b w:val="false"/>
          <w:i/>
        </w:rPr>
        <w:t>Computer Networks, 227</w:t>
      </w:r>
      <w:r>
        <w:rPr>
          <w:b w:val="false"/>
          <w:i w:val="false"/>
        </w:rPr>
        <w:t>, Article 109688. https://doi.org/10.1016/j.comnet.2023.109688</w:t>
      </w:r>
    </w:p>
    <w:p>
      <w:pPr>
        <w:pStyle w:val="PraxisReference"/>
        <w:rPr/>
      </w:pPr>
      <w:r>
        <w:rPr>
          <w:b w:val="false"/>
          <w:i w:val="false"/>
        </w:rPr>
        <w:t xml:space="preserve">Othman, F. M., Mejri, M., &amp; Alabdulatif, A. (2026). Temporal MITRE ATT&amp;CK modelling for residual time-to-compromise estimation in multi-stage attacks. </w:t>
      </w:r>
      <w:r>
        <w:rPr>
          <w:b w:val="false"/>
          <w:i/>
        </w:rPr>
        <w:t>Symmetry, 18</w:t>
      </w:r>
      <w:r>
        <w:rPr>
          <w:b w:val="false"/>
          <w:i w:val="false"/>
        </w:rPr>
        <w:t>(9), Article 1439. https://doi.org/10.3390/sym18091439</w:t>
      </w:r>
    </w:p>
    <w:p>
      <w:pPr>
        <w:pStyle w:val="PraxisReference"/>
        <w:rPr/>
      </w:pPr>
      <w:r>
        <w:rPr>
          <w:b w:val="false"/>
          <w:i w:val="false"/>
        </w:rPr>
        <w:t xml:space="preserve">Pagan, G. (2026). </w:t>
      </w:r>
      <w:r>
        <w:rPr>
          <w:b w:val="false"/>
          <w:i/>
        </w:rPr>
        <w:t>Advanced persistent threat event detection using graph machine learning</w:t>
      </w:r>
      <w:r>
        <w:rPr>
          <w:b w:val="false"/>
          <w:i w:val="false"/>
        </w:rPr>
        <w:t xml:space="preserve"> [Unpublished praxis manuscript]. The George Washington University.</w:t>
      </w:r>
    </w:p>
    <w:p>
      <w:pPr>
        <w:pStyle w:val="PraxisReference"/>
        <w:rPr/>
      </w:pPr>
      <w:r>
        <w:rPr>
          <w:b w:val="false"/>
          <w:i w:val="false"/>
        </w:rPr>
        <w:t xml:space="preserve">Pedregosa, F., Varoquaux, G., Gramfort, A., Michel, V., Thirion, B., Grisel, O., Blondel, M., Prettenhofer, P., Weiss, R., Dubourg, V., Vanderplas, J., Passos, A., Cournapeau, D., Brucher, M., Perrot, M., &amp; Duchesnay, É. (2011). Scikit-learn: Machine learning in Python. </w:t>
      </w:r>
      <w:r>
        <w:rPr>
          <w:b w:val="false"/>
          <w:i/>
        </w:rPr>
        <w:t>Journal of Machine Learning Research, 12</w:t>
      </w:r>
      <w:r>
        <w:rPr>
          <w:b w:val="false"/>
          <w:i w:val="false"/>
        </w:rPr>
        <w:t>(85), 2825-2830. https://jmlr.org/papers/v12/pedregosa11a.html</w:t>
      </w:r>
    </w:p>
    <w:p>
      <w:pPr>
        <w:pStyle w:val="PraxisReference"/>
        <w:rPr/>
      </w:pPr>
      <w:r>
        <w:rPr>
          <w:b w:val="false"/>
          <w:i w:val="false"/>
        </w:rPr>
        <w:t xml:space="preserve">Pendlebury, F., Pierazzi, F., Jordaney, R., Kinder, J., &amp; Cavallaro, L. (2019). TESSERACT: Eliminating experimental bias in malware classification across space and time. In </w:t>
      </w:r>
      <w:r>
        <w:rPr>
          <w:b w:val="false"/>
          <w:i/>
        </w:rPr>
        <w:t>28th USENIX Security Symposium</w:t>
      </w:r>
      <w:r>
        <w:rPr>
          <w:b w:val="false"/>
          <w:i w:val="false"/>
        </w:rPr>
        <w:t xml:space="preserve"> (pp. 729-746). USENIX Association. https://www.usenix.org/conference/usenixsecurity19/presentation/pendlebury</w:t>
      </w:r>
    </w:p>
    <w:p>
      <w:pPr>
        <w:pStyle w:val="PraxisReference"/>
        <w:rPr/>
      </w:pPr>
      <w:r>
        <w:rPr>
          <w:b w:val="false"/>
          <w:i w:val="false"/>
        </w:rPr>
        <w:t xml:space="preserve">Phan, T. V., &amp; Bauschert, T. (2026). </w:t>
      </w:r>
      <w:r>
        <w:rPr>
          <w:b w:val="false"/>
          <w:i/>
        </w:rPr>
        <w:t>Learning the APT kill chain: Temporal reasoning over provenance data for attack stage estimation</w:t>
      </w:r>
      <w:r>
        <w:rPr>
          <w:b w:val="false"/>
          <w:i w:val="false"/>
        </w:rPr>
        <w:t xml:space="preserve"> (Version 2) [Preprint]. arXiv. https://doi.org/10.48550/arXiv.2603.07560</w:t>
      </w:r>
    </w:p>
    <w:p>
      <w:pPr>
        <w:pStyle w:val="PraxisReference"/>
        <w:rPr/>
      </w:pPr>
      <w:r>
        <w:rPr>
          <w:b w:val="false"/>
          <w:i w:val="false"/>
        </w:rPr>
        <w:t xml:space="preserve">Scikit-learn developers. (n.d.-a). </w:t>
      </w:r>
      <w:r>
        <w:rPr>
          <w:b w:val="false"/>
          <w:i/>
        </w:rPr>
        <w:t>LogisticRegression</w:t>
      </w:r>
      <w:r>
        <w:rPr>
          <w:b w:val="false"/>
          <w:i w:val="false"/>
        </w:rPr>
        <w:t xml:space="preserve"> (Version 1.9 documentation, displayed as 1.9.1 at retrieval). Retrieved September 24, 2026, from https://scikit-learn.org/1.9/modules/generated/sklearn.linear_model.LogisticRegression.html</w:t>
      </w:r>
    </w:p>
    <w:p>
      <w:pPr>
        <w:pStyle w:val="PraxisReference"/>
        <w:rPr/>
      </w:pPr>
      <w:r>
        <w:rPr>
          <w:b w:val="false"/>
          <w:i w:val="false"/>
        </w:rPr>
        <w:t xml:space="preserve">Scikit-learn developers. (n.d.-b). </w:t>
      </w:r>
      <w:r>
        <w:rPr>
          <w:b w:val="false"/>
          <w:i/>
        </w:rPr>
        <w:t>Ridge</w:t>
      </w:r>
      <w:r>
        <w:rPr>
          <w:b w:val="false"/>
          <w:i w:val="false"/>
        </w:rPr>
        <w:t xml:space="preserve"> (Version 1.7.2 documentation). Retrieved September 24, 2026, from https://scikit-learn.org/1.7/modules/generated/sklearn.linear_model.Ridge.html</w:t>
      </w:r>
    </w:p>
    <w:p>
      <w:pPr>
        <w:pStyle w:val="PraxisReference"/>
        <w:rPr/>
      </w:pPr>
      <w:r>
        <w:rPr>
          <w:b w:val="false"/>
          <w:i w:val="false"/>
        </w:rPr>
        <w:t xml:space="preserve">Shadabfar, H., Dehghan, M., &amp; Sadeghian, B. (2025). DSRL-APT-2023: A new synthetic dataset for advanced persistent threats. </w:t>
      </w:r>
      <w:r>
        <w:rPr>
          <w:b w:val="false"/>
          <w:i/>
        </w:rPr>
        <w:t>ISeCure, 17</w:t>
      </w:r>
      <w:r>
        <w:rPr>
          <w:b w:val="false"/>
          <w:i w:val="false"/>
        </w:rPr>
        <w:t>(2), 107-116. https://doi.org/10.22042/isecure.2025.214212</w:t>
      </w:r>
    </w:p>
    <w:p>
      <w:pPr>
        <w:pStyle w:val="PraxisReference"/>
        <w:rPr/>
      </w:pPr>
      <w:r>
        <w:rPr>
          <w:b w:val="false"/>
          <w:i w:val="false"/>
        </w:rPr>
        <w:t xml:space="preserve">Soro, F., Landauer, M., Skopik, F., Hotwagner, W., &amp; Wurzenberger, M. (2024). </w:t>
      </w:r>
      <w:r>
        <w:rPr>
          <w:b w:val="false"/>
          <w:i/>
        </w:rPr>
        <w:t>AIT Netflow Data Set</w:t>
      </w:r>
      <w:r>
        <w:rPr>
          <w:b w:val="false"/>
          <w:i w:val="false"/>
        </w:rPr>
        <w:t xml:space="preserve"> (Version 2) [Dataset]. Zenodo. https://doi.org/10.5281/zenodo.13168643</w:t>
      </w:r>
    </w:p>
    <w:p>
      <w:pPr>
        <w:pStyle w:val="PraxisReference"/>
        <w:rPr/>
      </w:pPr>
      <w:r>
        <w:rPr>
          <w:b w:val="false"/>
          <w:i w:val="false"/>
        </w:rPr>
        <w:t xml:space="preserve">Tijjani, S. I., Ghita, B., Clarke, N., &amp; Craven, M. (2026). </w:t>
      </w:r>
      <w:r>
        <w:rPr>
          <w:b w:val="false"/>
          <w:i/>
        </w:rPr>
        <w:t>S-DAPT-2026: A stage-aware synthetic dataset for advanced persistent threat detection</w:t>
      </w:r>
      <w:r>
        <w:rPr>
          <w:b w:val="false"/>
          <w:i w:val="false"/>
        </w:rPr>
        <w:t xml:space="preserve"> (Version 2) [Withdrawn preprint]. arXiv. https://doi.org/10.48550/arXiv.2601.06690</w:t>
      </w:r>
    </w:p>
    <w:p>
      <w:pPr>
        <w:pStyle w:val="PraxisReference"/>
        <w:rPr/>
      </w:pPr>
      <w:r>
        <w:rPr>
          <w:b w:val="false"/>
          <w:i w:val="false"/>
        </w:rPr>
        <w:t xml:space="preserve">Uddin, M. A., Aryal, S., Bouadjenek, M. R., Al-Hawawreh, M., &amp; Talukder, M. A. (2024). </w:t>
      </w:r>
      <w:r>
        <w:rPr>
          <w:b w:val="false"/>
          <w:i/>
        </w:rPr>
        <w:t>Hierarchical classification for intrusion detection system: Effective design and empirical analysis</w:t>
      </w:r>
      <w:r>
        <w:rPr>
          <w:b w:val="false"/>
          <w:i w:val="false"/>
        </w:rPr>
        <w:t xml:space="preserve"> [Preprint]. arXiv. https://doi.org/10.48550/arXiv.2403.13013</w:t>
      </w:r>
    </w:p>
    <w:p>
      <w:pPr>
        <w:pStyle w:val="PraxisReference"/>
        <w:rPr/>
      </w:pPr>
      <w:r>
        <w:rPr>
          <w:b w:val="false"/>
          <w:i w:val="false"/>
        </w:rPr>
        <w:t xml:space="preserve">Uddin, M. A., Aryal, S., Bouadjenek, M. R., Al-Hawawreh, M., &amp; Talukder, M. A. (2025). Hierarchical classification for intrusion detection system: Effective design and empirical analysis. </w:t>
      </w:r>
      <w:r>
        <w:rPr>
          <w:b w:val="false"/>
          <w:i/>
        </w:rPr>
        <w:t>Ad Hoc Networks, 178</w:t>
      </w:r>
      <w:r>
        <w:rPr>
          <w:b w:val="false"/>
          <w:i w:val="false"/>
        </w:rPr>
        <w:t>, Article 103982. https://doi.org/10.1016/j.adhoc.2025.103982</w:t>
      </w:r>
      <w:r>
        <w:br w:type="page"/>
      </w:r>
    </w:p>
    <w:p>
      <w:pPr>
        <w:pStyle w:val="Heading1"/>
        <w:rPr/>
      </w:pPr>
      <w:bookmarkStart w:id="90" w:name="__RefHeading___Toc25775_2336213107"/>
      <w:bookmarkEnd w:id="90"/>
      <w:r>
        <w:rPr>
          <w:rFonts w:ascii="Times New Roman" w:hAnsi="Times New Roman"/>
          <w:b/>
          <w:i w:val="false"/>
        </w:rPr>
        <w:t>Appendix A: Complete Results and Dataset Reporting</w:t>
      </w:r>
    </w:p>
    <w:p>
      <w:pPr>
        <w:pStyle w:val="Heading2"/>
        <w:rPr/>
      </w:pPr>
      <w:bookmarkStart w:id="91" w:name="__RefHeading___Toc25777_2336213107"/>
      <w:bookmarkEnd w:id="91"/>
      <w:r>
        <w:rPr>
          <w:rFonts w:ascii="Times New Roman" w:hAnsi="Times New Roman"/>
          <w:b/>
          <w:i w:val="false"/>
        </w:rPr>
        <w:t>A.1 Complete Evaluation Inventory</w:t>
      </w:r>
    </w:p>
    <w:p>
      <w:pPr>
        <w:pStyle w:val="Normal"/>
        <w:rPr/>
      </w:pPr>
      <w:r>
        <w:rPr>
          <w:b w:val="false"/>
          <w:i w:val="false"/>
        </w:rPr>
        <w:t>The completed experiments support an applied measurement contribution: a higher aggregate APT-stage score does not necessarily preserve warnings for a particular attack stage. This result is reported alongside improvements, unsuccessful method comparisons, false-alert costs, and the limits of the source labels. This chapter adds a complete publication inventory to the main paired-results narrative; it introduces no new model fit, inference run, threshold, or favorable-condition selection.</w:t>
      </w:r>
    </w:p>
    <w:p>
      <w:pPr>
        <w:pStyle w:val="GWUTableCaption"/>
        <w:rPr/>
      </w:pPr>
      <w:bookmarkStart w:id="92" w:name="__RefHeading___Toc25907_2336213107"/>
      <w:bookmarkEnd w:id="92"/>
      <w:r>
        <w:rPr>
          <w:b w:val="false"/>
          <w:i w:val="false"/>
        </w:rPr>
        <w:t>Table A-1. Complete evaluation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4"/>
        <w:gridCol w:w="1927"/>
        <w:gridCol w:w="2326"/>
        <w:gridCol w:w="2213"/>
      </w:tblGrid>
      <w:tr>
        <w:trPr>
          <w:tblHeader w:val="true"/>
          <w:cantSplit/>
        </w:trPr>
        <w:tc>
          <w:tcPr>
            <w:tcW w:w="21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study</w:t>
            </w:r>
          </w:p>
        </w:tc>
        <w:tc>
          <w:tcPr>
            <w:tcW w:w="19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Saved evaluations</w:t>
            </w:r>
          </w:p>
        </w:tc>
        <w:tc>
          <w:tcPr>
            <w:tcW w:w="23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Comparison coverage</w:t>
            </w:r>
          </w:p>
        </w:tc>
        <w:tc>
          <w:tcPr>
            <w:tcW w:w="22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Evaluation population</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selection (PX080)</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105</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five conditions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208,094 UNRAVELED flows</w:t>
            </w:r>
          </w:p>
        </w:tc>
      </w:tr>
      <w:tr>
        <w:trPr>
          <w:cantSplit/>
        </w:trPr>
        <w:tc>
          <w:tcPr>
            <w:tcW w:w="21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 (PX081)</w:t>
            </w:r>
          </w:p>
        </w:tc>
        <w:tc>
          <w:tcPr>
            <w:tcW w:w="19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171</w:t>
            </w:r>
          </w:p>
        </w:tc>
        <w:tc>
          <w:tcPr>
            <w:tcW w:w="232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Six policies × three budgets × three conditions × three fits, plus nine unrestricted references</w:t>
            </w:r>
          </w:p>
        </w:tc>
        <w:tc>
          <w:tcPr>
            <w:tcW w:w="22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208,094 flows</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composition (PX082)</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feature views × three fitting protocols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anchor 104,051 flows; random comparison 210,226 flows</w:t>
            </w:r>
          </w:p>
        </w:tc>
      </w:tr>
      <w:tr>
        <w:trPr>
          <w:cantSplit/>
        </w:trPr>
        <w:tc>
          <w:tcPr>
            <w:tcW w:w="21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technique-policy transfer (PX083)</w:t>
            </w:r>
          </w:p>
        </w:tc>
        <w:tc>
          <w:tcPr>
            <w:tcW w:w="192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w:t>
            </w:r>
          </w:p>
        </w:tc>
        <w:tc>
          <w:tcPr>
            <w:tcW w:w="232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21 views × two datasets</w:t>
            </w:r>
          </w:p>
        </w:tc>
        <w:tc>
          <w:tcPr>
            <w:tcW w:w="22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 920 targets; CAM-LDS: 4,209 targets</w:t>
            </w:r>
          </w:p>
        </w:tc>
      </w:tr>
    </w:tbl>
    <w:p>
      <w:pPr>
        <w:pStyle w:val="Normal"/>
        <w:spacing w:lineRule="auto" w:line="60" w:before="0" w:after="40"/>
        <w:rPr/>
      </w:pPr>
      <w:r>
        <w:rPr/>
      </w:r>
    </w:p>
    <w:p>
      <w:pPr>
        <w:pStyle w:val="Normal"/>
        <w:rPr/>
      </w:pPr>
      <w:r>
        <w:rPr>
          <w:b w:val="false"/>
          <w:i w:val="false"/>
        </w:rPr>
        <w:t>An evaluation record is one saved arm/condition/seed result, not a new dataset or independent attack. Primary fitting seeds reuse the same events. In the supplement, the 21 views represent 15 condition names: each of three random-loss conditions has three perturbations, and the remaining twelve conditions have one deterministic view. The supplement's underlying classifiers were previously trained on their respective sources; only the two score selectors were fitted on CasinoLimit calibration predictions and applied unchanged to CAM-LDS.</w:t>
      </w:r>
    </w:p>
    <w:p>
      <w:pPr>
        <w:pStyle w:val="Normal"/>
        <w:rPr/>
      </w:pPr>
      <w:r>
        <w:rPr>
          <w:b w:val="false"/>
          <w:i w:val="false"/>
        </w:rPr>
        <w:t xml:space="preserve">The complete printable mean tables retain all </w:t>
      </w:r>
      <w:r>
        <w:rPr>
          <w:b/>
          <w:i w:val="false"/>
        </w:rPr>
        <w:t>308 group means</w:t>
      </w:r>
      <w:r>
        <w:rPr>
          <w:b w:val="false"/>
          <w:i w:val="false"/>
        </w:rPr>
        <w:t xml:space="preserve">. Machine-readable supplements contain all </w:t>
      </w:r>
      <w:r>
        <w:rPr>
          <w:b/>
          <w:i w:val="false"/>
        </w:rPr>
        <w:t>588 evaluation records</w:t>
      </w:r>
      <w:r>
        <w:rPr>
          <w:b w:val="false"/>
          <w:i w:val="false"/>
        </w:rPr>
        <w:t xml:space="preserve">, </w:t>
      </w:r>
      <w:r>
        <w:rPr>
          <w:b/>
          <w:i w:val="false"/>
        </w:rPr>
        <w:t>1,764 class-metric records</w:t>
      </w:r>
      <w:r>
        <w:rPr>
          <w:b w:val="false"/>
          <w:i w:val="false"/>
        </w:rPr>
        <w:t xml:space="preserve">, and </w:t>
      </w:r>
      <w:r>
        <w:rPr>
          <w:b/>
          <w:i w:val="false"/>
        </w:rPr>
        <w:t>5,880 confusion cells</w:t>
      </w:r>
      <w:r>
        <w:rPr>
          <w:b w:val="false"/>
          <w:i w:val="false"/>
        </w:rPr>
        <w:t xml:space="preserve">, plus </w:t>
      </w:r>
      <w:r>
        <w:rPr>
          <w:b/>
          <w:i w:val="false"/>
        </w:rPr>
        <w:t>6,732 subgroup records</w:t>
      </w:r>
      <w:r>
        <w:rPr>
          <w:b w:val="false"/>
          <w:i w:val="false"/>
        </w:rPr>
        <w:t xml:space="preserve"> and </w:t>
      </w:r>
      <w:r>
        <w:rPr>
          <w:b/>
          <w:i w:val="false"/>
        </w:rPr>
        <w:t>16,344 subgroup-class records</w:t>
      </w:r>
      <w:r>
        <w:rPr>
          <w:b w:val="false"/>
          <w:i w:val="false"/>
        </w:rPr>
        <w:t xml:space="preserve"> where the original experiments supplied them. Full source JSON preserves fields beyond the normalized tables. The acquisition reference-only arms have no matched acquisition budget and cannot support same-budget superiority claims.</w:t>
      </w:r>
    </w:p>
    <w:p>
      <w:pPr>
        <w:pStyle w:val="Heading2"/>
        <w:rPr/>
      </w:pPr>
      <w:bookmarkStart w:id="93" w:name="__RefHeading___Toc25779_2336213107"/>
      <w:bookmarkEnd w:id="93"/>
      <w:r>
        <w:rPr>
          <w:rFonts w:ascii="Times New Roman" w:hAnsi="Times New Roman"/>
          <w:b/>
          <w:i w:val="false"/>
        </w:rPr>
        <w:t>A.2 All Reported Group Means</w:t>
      </w:r>
    </w:p>
    <w:p>
      <w:pPr>
        <w:pStyle w:val="Normal"/>
        <w:rPr/>
      </w:pPr>
      <w:r>
        <w:rPr>
          <w:b w:val="false"/>
          <w:i w:val="false"/>
        </w:rPr>
        <w:t>All 308 arm/condition/budget group means are retained. PX080-082 means use three fits on the same records. PX083 uses three perturbations for random-loss conditions and one deterministic view otherwise. Counts may therefore be fractional. No displayed group is an independent campaign.</w:t>
      </w:r>
    </w:p>
    <w:p>
      <w:pPr>
        <w:pStyle w:val="Normal"/>
        <w:rPr/>
      </w:pPr>
      <w:r>
        <w:rPr>
          <w:b w:val="false"/>
          <w:i w:val="false"/>
        </w:rPr>
        <w:t>Full per-fit precision, recall, F1, average precision, ROC-AUC, class supports, warning destinations and confusion counts are in the CSV tables. Blank ranking metrics mean unavailable; they are not replaced with invented estimates.</w:t>
      </w:r>
    </w:p>
    <w:p>
      <w:pPr>
        <w:pStyle w:val="Heading3"/>
        <w:rPr/>
      </w:pPr>
      <w:r>
        <w:rPr>
          <w:rFonts w:ascii="Times New Roman" w:hAnsi="Times New Roman"/>
          <w:b/>
          <w:i w:val="false"/>
        </w:rPr>
        <w:t>A.2.1 PX080</w:t>
      </w:r>
    </w:p>
    <w:p>
      <w:pPr>
        <w:pStyle w:val="GWUTableCaption"/>
        <w:rPr/>
      </w:pPr>
      <w:bookmarkStart w:id="94" w:name="__RefHeading___Toc25905_2336213107"/>
      <w:bookmarkEnd w:id="94"/>
      <w:r>
        <w:rPr>
          <w:b w:val="false"/>
          <w:i w:val="false"/>
        </w:rPr>
        <w:t>Table A-2. History-selection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2"/>
        <w:gridCol w:w="1482"/>
        <w:gridCol w:w="1372"/>
        <w:gridCol w:w="1501"/>
        <w:gridCol w:w="1371"/>
        <w:gridCol w:w="1372"/>
      </w:tblGrid>
      <w:tr>
        <w:trPr>
          <w:tblHeader w:val="true"/>
          <w:cantSplit/>
        </w:trPr>
        <w:tc>
          <w:tcPr>
            <w:tcW w:w="154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67.21%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64.76% / 67.36%</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67.28%</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109.00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51.43% / 67.41%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0.6626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29.52% / 66.99%</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0.7602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60.95% / 67.17%</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62.86% / 67.43%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66.75%</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67.30%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67.29%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0.7419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36.19% / 67.23%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42.86% / 67.02%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0.7587</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21.90% / 67.22%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0.7491</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0.7456</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49.52%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0.7472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113.33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0.7514</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48.57% / 67.39%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0.4559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66.80%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0.7267</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0.7406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35.24% / 67.24%</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0.7430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67.03%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114.67</w:t>
            </w:r>
          </w:p>
        </w:tc>
      </w:tr>
    </w:tbl>
    <w:p>
      <w:pPr>
        <w:pStyle w:val="Normal"/>
        <w:spacing w:lineRule="auto" w:line="60" w:before="0" w:after="40"/>
        <w:rPr/>
      </w:pPr>
      <w:r>
        <w:rPr/>
      </w:r>
    </w:p>
    <w:p>
      <w:pPr>
        <w:pStyle w:val="Heading3"/>
        <w:rPr/>
      </w:pPr>
      <w:r>
        <w:rPr>
          <w:rFonts w:ascii="Times New Roman" w:hAnsi="Times New Roman"/>
          <w:b/>
          <w:i w:val="false"/>
        </w:rPr>
        <w:t>A.2.2 PX081</w:t>
      </w:r>
    </w:p>
    <w:p>
      <w:pPr>
        <w:pStyle w:val="GWUTableCaption"/>
        <w:rPr/>
      </w:pPr>
      <w:bookmarkStart w:id="95" w:name="__RefHeading___Toc25903_2336213107"/>
      <w:bookmarkEnd w:id="95"/>
      <w:r>
        <w:rPr>
          <w:b w:val="false"/>
          <w:i w:val="false"/>
        </w:rPr>
        <w:t>Table A-3. Evidence-acquisition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9"/>
        <w:gridCol w:w="1456"/>
        <w:gridCol w:w="1376"/>
        <w:gridCol w:w="1508"/>
        <w:gridCol w:w="1375"/>
        <w:gridCol w:w="1376"/>
      </w:tblGrid>
      <w:tr>
        <w:trPr>
          <w:tblHeader w:val="true"/>
          <w:cantSplit/>
        </w:trPr>
        <w:tc>
          <w:tcPr>
            <w:tcW w:w="15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67.13%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67.17%</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0.7213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67.34%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77.75%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0.7181</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87.58%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0.7551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61.90% / 67.25%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65.71%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67.18%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0.7168</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81.54%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167.67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71.43% / 67.39%</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77.14% / 67.46%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67.44%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74.29% / 67.42%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80.00% / 67.48%</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81.28%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0.7273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72.90%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141.67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0.7202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67.44%</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0.5449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23.81% / 66.89%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66.89%</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0.6577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67.22%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0.5687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67.20%</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0.6921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40.95% / 67.08%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67.01%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bl>
    <w:p>
      <w:pPr>
        <w:pStyle w:val="Normal"/>
        <w:spacing w:lineRule="auto" w:line="60" w:before="0" w:after="40"/>
        <w:rPr/>
      </w:pPr>
      <w:r>
        <w:rPr/>
      </w:r>
    </w:p>
    <w:p>
      <w:pPr>
        <w:pStyle w:val="Heading3"/>
        <w:rPr/>
      </w:pPr>
      <w:r>
        <w:rPr>
          <w:rFonts w:ascii="Times New Roman" w:hAnsi="Times New Roman"/>
          <w:b/>
          <w:i w:val="false"/>
        </w:rPr>
        <w:t>A.2.3 PX082</w:t>
      </w:r>
    </w:p>
    <w:p>
      <w:pPr>
        <w:pStyle w:val="GWUTableCaption"/>
        <w:rPr/>
      </w:pPr>
      <w:bookmarkStart w:id="96" w:name="__RefHeading___Toc25901_2336213107"/>
      <w:bookmarkEnd w:id="96"/>
      <w:r>
        <w:rPr>
          <w:b w:val="false"/>
          <w:i w:val="false"/>
        </w:rPr>
        <w:t>Table A-4. Temporal-comparison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33"/>
        <w:gridCol w:w="1515"/>
        <w:gridCol w:w="1366"/>
        <w:gridCol w:w="1494"/>
        <w:gridCol w:w="1366"/>
        <w:gridCol w:w="1366"/>
      </w:tblGrid>
      <w:tr>
        <w:trPr>
          <w:tblHeader w:val="true"/>
          <w:cantSplit/>
        </w:trPr>
        <w:tc>
          <w:tcPr>
            <w:tcW w:w="153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51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25.93% / 67.25%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61.11% / 98.72%</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99.28%</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88.67</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57.84% / 92.15%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99.74%</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29.63% / 66.40%</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66.86%</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57.41% / 84.59%</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84.71%</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47.67</w:t>
            </w:r>
          </w:p>
        </w:tc>
      </w:tr>
      <w:tr>
        <w:trPr>
          <w:cantSplit/>
        </w:trPr>
        <w:tc>
          <w:tcPr>
            <w:tcW w:w="153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49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64.71% / 97.48%</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r>
    </w:tbl>
    <w:p>
      <w:pPr>
        <w:pStyle w:val="Normal"/>
        <w:spacing w:lineRule="auto" w:line="60" w:before="0" w:after="40"/>
        <w:rPr/>
      </w:pPr>
      <w:r>
        <w:rPr/>
      </w:r>
    </w:p>
    <w:p>
      <w:pPr>
        <w:pStyle w:val="Heading3"/>
        <w:rPr/>
      </w:pPr>
      <w:r>
        <w:rPr>
          <w:rFonts w:ascii="Times New Roman" w:hAnsi="Times New Roman"/>
          <w:b/>
          <w:i w:val="false"/>
        </w:rPr>
        <w:t>A.2.4 PX083</w:t>
      </w:r>
    </w:p>
    <w:p>
      <w:pPr>
        <w:pStyle w:val="Heading3"/>
        <w:rPr/>
      </w:pPr>
      <w:r>
        <w:rPr>
          <w:rFonts w:ascii="Times New Roman" w:hAnsi="Times New Roman"/>
          <w:b/>
          <w:i w:val="false"/>
        </w:rPr>
        <w:t>A.2.5 casino</w:t>
      </w:r>
    </w:p>
    <w:p>
      <w:pPr>
        <w:pStyle w:val="GWUTableCaption"/>
        <w:rPr/>
      </w:pPr>
      <w:bookmarkStart w:id="97" w:name="__RefHeading___Toc25899_2336213107"/>
      <w:bookmarkEnd w:id="97"/>
      <w:r>
        <w:rPr>
          <w:b w:val="false"/>
          <w:i w:val="false"/>
        </w:rPr>
        <w:t>Table A-5. CasinoLimit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0.7923 / 0.9622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0.8028 / 0.9714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0.8057 / 0.9678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0.8109 / 0.9623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0.7988 / 0.9652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0.8025 / 0.9651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0.8055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0.6548 / 0.9468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0.7210 / 0.9545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0.6934 / 0.9511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0.3649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78.43%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0.7728 / 0.9556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0.6700 / 0.9494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0.7181 / 0.9520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0.7211 / 0.9512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0.5075 / 0.8203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0.5781 / 0.8252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0.5482 / 0.8238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62.75%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0.5962 / 0.8339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0.5257 / 0.8217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0.5753 / 0.8255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0.5783 / 0.8256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0.8500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0.8644 / 0.9650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0.8161 / 0.9565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0.8581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0.8630 / 0.9618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0.8518 / 0.9591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0.6224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0.6427 / 0.9525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0.2205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0.6919 / 0.9426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0.6499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0.6369 / 0.9511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0.6241 / 0.9492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0.6335 / 0.9495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0.6428 / 0.9522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0.2105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0.6958 / 0.9423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0.6732 / 0.9500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0.6349 / 0.9484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0.8508 / 0.9724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0.8408 / 0.9836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0.8556 / 0.9785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0.5091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0.8138 / 0.9653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0.8526 / 0.9780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0.8530 / 0.9774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0.8388 / 0.9775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0.8081 / 0.9476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0.7788 / 0.9666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0.7816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0.7978 / 0.9542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0.8230 / 0.9597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0.7840 / 0.9592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0.7852 / 0.9575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0.8738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0.8762 / 0.9488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0.8760 / 0.9495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0.8748 / 0.9543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0.8695 / 0.9487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0.8701 / 0.9487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0.8765 / 0.9486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0.8712 / 0.9558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0.8698 / 0.9761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0.8665 / 0.9696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0.4918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0.8559 / 0.9764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0.8626 / 0.9566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0.8548 / 0.9563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0.8685 / 0.9570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bl>
    <w:p>
      <w:pPr>
        <w:pStyle w:val="Normal"/>
        <w:spacing w:lineRule="auto" w:line="60" w:before="0" w:after="40"/>
        <w:rPr/>
      </w:pPr>
      <w:r>
        <w:rPr/>
      </w:r>
    </w:p>
    <w:p>
      <w:pPr>
        <w:pStyle w:val="Heading3"/>
        <w:rPr/>
      </w:pPr>
      <w:r>
        <w:rPr>
          <w:rFonts w:ascii="Times New Roman" w:hAnsi="Times New Roman"/>
          <w:b/>
          <w:i w:val="false"/>
        </w:rPr>
        <w:t>A.2.6 camlds</w:t>
      </w:r>
    </w:p>
    <w:p>
      <w:pPr>
        <w:pStyle w:val="GWUTableCaption"/>
        <w:rPr/>
      </w:pPr>
      <w:bookmarkStart w:id="98" w:name="__RefHeading___Toc25897_2336213107"/>
      <w:bookmarkEnd w:id="98"/>
      <w:r>
        <w:rPr>
          <w:b w:val="false"/>
          <w:i w:val="false"/>
        </w:rPr>
        <w:t>Table A-6. CAM-LDS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2023.33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0.5159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0.5317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0.0286 / 0.5209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0.5101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0.0296 / 0.5277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0.0300 / 0.5214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0.0262 / 0.5279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2724.00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0.5246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0.5175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0.0295 / 0.5257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0.5040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0.4999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0.4964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1920.33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0.4980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0.5053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0.4956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0.0216 / 0.4811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3541.00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0.5191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0.0289 / 0.5706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2870.00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0.5241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0.5269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0.5280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0.5443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3063.00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0.5241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0.5096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0.0257 / 0.5388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0.5227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0.0294 / 0.5795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0.0235 / 0.5023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0.5343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0.0237 / 0.5038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0.0255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0.5366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0.5308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0.0251 / 0.5275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0.5144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0.5172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0.0246 / 0.5189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0.0279 / 0.5247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0.5224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0.5179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0.0275 / 0.5628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3692.00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0.0306 / 0.5783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0.5488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0.0288 / 0.5666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0.5661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bl>
    <w:p>
      <w:pPr>
        <w:pStyle w:val="Normal"/>
        <w:spacing w:lineRule="auto" w:line="60" w:before="0" w:after="40"/>
        <w:rPr/>
      </w:pPr>
      <w:r>
        <w:rPr/>
      </w:r>
    </w:p>
    <w:p>
      <w:pPr>
        <w:pStyle w:val="Heading2"/>
        <w:rPr/>
      </w:pPr>
      <w:bookmarkStart w:id="99" w:name="__RefHeading___Toc25781_2336213107"/>
      <w:bookmarkEnd w:id="99"/>
      <w:r>
        <w:rPr>
          <w:rFonts w:ascii="Times New Roman" w:hAnsi="Times New Roman"/>
          <w:b/>
          <w:i w:val="false"/>
        </w:rPr>
        <w:t>A.3 Stage Metrics and Source-Record Access</w:t>
      </w:r>
    </w:p>
    <w:p>
      <w:pPr>
        <w:pStyle w:val="Normal"/>
        <w:rPr/>
      </w:pPr>
      <w:r>
        <w:rPr>
          <w:b w:val="false"/>
          <w:i w:val="false"/>
        </w:rPr>
        <w:t>The complete supplement retains the per-class precision, recall, F1, ROC-AUC and average precision fields reported by each source, with confusion matrices and subgroup records. Blank normalized CSV fields represent metrics not supplied by the original experiment; they are not zeros or reconstructed ranking scores. Every group mean printed above is backed by its component evaluation records. The source JSON preserves additional nested fields and original null values.</w:t>
      </w:r>
    </w:p>
    <w:p>
      <w:pPr>
        <w:pStyle w:val="Normal"/>
        <w:rPr/>
      </w:pPr>
      <w:r>
        <w:rPr>
          <w:b w:val="false"/>
          <w:i w:val="false"/>
        </w:rPr>
        <w:t>Readers should compare only compatible populations, targets and operating decisions. Primary stage comparisons and secondary T1105 policy views have different units and denominators. The saved tables provide the full inventory without converting related views into independent empirical replications.</w:t>
      </w:r>
      <w:r>
        <w:br w:type="page"/>
      </w:r>
    </w:p>
    <w:p>
      <w:pPr>
        <w:pStyle w:val="Heading1"/>
        <w:rPr/>
      </w:pPr>
      <w:bookmarkStart w:id="100" w:name="__RefHeading___Toc25783_2336213107"/>
      <w:bookmarkEnd w:id="100"/>
      <w:r>
        <w:rPr>
          <w:rFonts w:ascii="Times New Roman" w:hAnsi="Times New Roman"/>
          <w:b/>
          <w:i w:val="false"/>
        </w:rPr>
        <w:t>Appendix B: Reproducibility, Provenance and Evidence Access</w:t>
      </w:r>
    </w:p>
    <w:p>
      <w:pPr>
        <w:pStyle w:val="Heading2"/>
        <w:rPr/>
      </w:pPr>
      <w:bookmarkStart w:id="101" w:name="__RefHeading___Toc25785_2336213107"/>
      <w:bookmarkEnd w:id="101"/>
      <w:r>
        <w:rPr>
          <w:rFonts w:ascii="Times New Roman" w:hAnsi="Times New Roman"/>
          <w:b/>
          <w:i w:val="false"/>
        </w:rPr>
        <w:t>B.1 Experimental Parameters and Source Provenance</w:t>
      </w:r>
    </w:p>
    <w:p>
      <w:pPr>
        <w:pStyle w:val="GWUTableCaption"/>
        <w:rPr/>
      </w:pPr>
      <w:bookmarkStart w:id="102" w:name="__RefHeading___Toc25895_2336213107"/>
      <w:bookmarkEnd w:id="102"/>
      <w:r>
        <w:rPr>
          <w:b w:val="false"/>
          <w:i w:val="false"/>
        </w:rPr>
        <w:t>Table B-1. Experimental settings and fitting seeds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3"/>
        <w:gridCol w:w="2046"/>
        <w:gridCol w:w="1976"/>
        <w:gridCol w:w="2445"/>
      </w:tblGrid>
      <w:tr>
        <w:trPr>
          <w:tblHeader w:val="true"/>
          <w:cantSplit/>
        </w:trPr>
        <w:tc>
          <w:tcPr>
            <w:tcW w:w="21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Study</w:t>
            </w:r>
          </w:p>
        </w:tc>
        <w:tc>
          <w:tcPr>
            <w:tcW w:w="20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 / leaves</w:t>
            </w:r>
          </w:p>
        </w:tc>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seeds</w:t>
            </w:r>
          </w:p>
        </w:tc>
        <w:tc>
          <w:tcPr>
            <w:tcW w:w="244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Key fixed choices</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20260924-20260926</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forward folds; target weights 1/1/4/4 for weighted selector</w:t>
            </w:r>
          </w:p>
        </w:tc>
      </w:tr>
      <w:tr>
        <w:trPr>
          <w:cantSplit/>
        </w:trPr>
        <w:tc>
          <w:tcPr>
            <w:tcW w:w="21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0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150 / 15</w:t>
            </w:r>
          </w:p>
        </w:tc>
        <w:tc>
          <w:tcPr>
            <w:tcW w:w="19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8101-8103</w:t>
            </w:r>
          </w:p>
        </w:tc>
        <w:tc>
          <w:tcPr>
            <w:tcW w:w="244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optional groups; costs 1/2; budgets 1/2/3; deadline 1</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20260923-20260925</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anchor and class budgets; earlier/mixed/random arms</w:t>
            </w:r>
          </w:p>
        </w:tc>
      </w:tr>
      <w:tr>
        <w:trPr>
          <w:cantSplit/>
        </w:trPr>
        <w:tc>
          <w:tcPr>
            <w:tcW w:w="217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04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fits</w:t>
            </w:r>
          </w:p>
        </w:tc>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Bootstrap 20260923</w:t>
            </w:r>
          </w:p>
        </w:tc>
        <w:tc>
          <w:tcPr>
            <w:tcW w:w="244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2,000 whole-capture draws shared across fitting seeds</w:t>
            </w:r>
          </w:p>
        </w:tc>
      </w:tr>
    </w:tbl>
    <w:p>
      <w:pPr>
        <w:pStyle w:val="Normal"/>
        <w:spacing w:lineRule="auto" w:line="60" w:before="0" w:after="40"/>
        <w:rPr/>
      </w:pPr>
      <w:r>
        <w:rPr/>
      </w:r>
    </w:p>
    <w:p>
      <w:pPr>
        <w:pStyle w:val="Normal"/>
        <w:rPr/>
      </w:pPr>
      <w:r>
        <w:rPr>
          <w:b w:val="false"/>
          <w:i w:val="false"/>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p>
      <w:pPr>
        <w:pStyle w:val="GWUTableCaption"/>
        <w:rPr/>
      </w:pPr>
      <w:bookmarkStart w:id="103" w:name="__RefHeading___Toc25893_2336213107"/>
      <w:bookmarkEnd w:id="103"/>
      <w:r>
        <w:rPr>
          <w:b w:val="false"/>
          <w:i w:val="false"/>
        </w:rPr>
        <w:t>Table B-2. Source freezes and evidence bindings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3012"/>
        <w:gridCol w:w="2658"/>
        <w:gridCol w:w="2970"/>
      </w:tblGrid>
      <w:tr>
        <w:trPr>
          <w:tblHeader w:val="true"/>
          <w:cantSplit/>
        </w:trPr>
        <w:tc>
          <w:tcPr>
            <w:tcW w:w="30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Artifact</w:t>
            </w:r>
          </w:p>
        </w:tc>
        <w:tc>
          <w:tcPr>
            <w:tcW w:w="2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Before-execution commit</w:t>
            </w:r>
          </w:p>
        </w:tc>
        <w:tc>
          <w:tcPr>
            <w:tcW w:w="297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History-selection protocol/source</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06c5037</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Acquisition and temporal protocol/source</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2da1a1c</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audits</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D1 support diagnostic</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ea9956c</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necessary interval</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source-count verifier</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e6b5799</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Direct timestamp-block sweep</w:t>
            </w:r>
          </w:p>
        </w:tc>
      </w:tr>
      <w:tr>
        <w:trPr>
          <w:cantSplit/>
        </w:trPr>
        <w:tc>
          <w:tcPr>
            <w:tcW w:w="30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paired reanalysis</w:t>
            </w:r>
          </w:p>
        </w:tc>
        <w:tc>
          <w:tcPr>
            <w:tcW w:w="26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c0d884e</w:t>
            </w:r>
          </w:p>
        </w:tc>
        <w:tc>
          <w:tcPr>
            <w:tcW w:w="297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Saved-prediction comparison; exploratory</w:t>
            </w:r>
          </w:p>
        </w:tc>
      </w:tr>
    </w:tbl>
    <w:p>
      <w:pPr>
        <w:pStyle w:val="Normal"/>
        <w:spacing w:lineRule="auto" w:line="60" w:before="0" w:after="40"/>
        <w:rPr/>
      </w:pPr>
      <w:r>
        <w:rPr/>
      </w:r>
    </w:p>
    <w:p>
      <w:pPr>
        <w:pStyle w:val="Normal"/>
        <w:rPr/>
      </w:pPr>
      <w:r>
        <w:rPr>
          <w:b w:val="false"/>
          <w:i w:val="false"/>
        </w:rPr>
        <w:t xml:space="preserve">The prepared UNRAVELED SHA-256 is </w:t>
      </w:r>
      <w:r>
        <w:rPr>
          <w:rFonts w:ascii="Consolas" w:hAnsi="Consolas"/>
          <w:b w:val="false"/>
          <w:i w:val="false"/>
          <w:sz w:val="20"/>
        </w:rPr>
        <w:t>b2a491474e722f4dabcd4c419c83a4a6b49f08dfc3bc059aa42ef2aaa4c3de14</w:t>
      </w:r>
      <w:r>
        <w:rPr>
          <w:b w:val="false"/>
          <w:i w:val="false"/>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2"/>
        <w:rPr/>
      </w:pPr>
      <w:bookmarkStart w:id="104" w:name="__RefHeading___Toc25787_2336213107"/>
      <w:bookmarkEnd w:id="104"/>
      <w:r>
        <w:rPr>
          <w:rFonts w:ascii="Times New Roman" w:hAnsi="Times New Roman"/>
          <w:b/>
          <w:i w:val="false"/>
        </w:rPr>
        <w:t>B.2 Claim Traceability</w:t>
      </w:r>
    </w:p>
    <w:p>
      <w:pPr>
        <w:pStyle w:val="GWUTableCaption"/>
        <w:rPr/>
      </w:pPr>
      <w:bookmarkStart w:id="105" w:name="__RefHeading___Toc25891_2336213107"/>
      <w:bookmarkEnd w:id="105"/>
      <w:r>
        <w:rPr>
          <w:b w:val="false"/>
          <w:i w:val="false"/>
        </w:rPr>
        <w:t>Table B-3. Claim traceability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839"/>
        <w:gridCol w:w="3062"/>
        <w:gridCol w:w="2739"/>
      </w:tblGrid>
      <w:tr>
        <w:trPr>
          <w:tblHeader w:val="true"/>
          <w:cantSplit/>
        </w:trPr>
        <w:tc>
          <w:tcPr>
            <w:tcW w:w="28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Claim</w:t>
            </w:r>
          </w:p>
        </w:tc>
        <w:tc>
          <w:tcPr>
            <w:tcW w:w="306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Measured support</w:t>
            </w:r>
          </w:p>
        </w:tc>
        <w:tc>
          <w:tcPr>
            <w:tcW w:w="27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location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score sensitivity</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+0.0632 macro-F1; +35.19 pp movement recall</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report</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Metric/warning tradeoff</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budget 3: +0.0231 macro-F1; -8.93 pp warning recall</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report</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Chronological history gains</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Macro-F1 .7365 to .7582; alerts 24.0 to 14.3</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means</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cutoff limitation</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lower bound exceeds upper bound</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verification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qualification</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 uncertainty; DSRL dependency; S-DAPT unavailable</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Qualification report</w:t>
            </w:r>
          </w:p>
        </w:tc>
      </w:tr>
      <w:tr>
        <w:trPr>
          <w:cantSplit/>
        </w:trPr>
        <w:tc>
          <w:tcPr>
            <w:tcW w:w="28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differentiation</w:t>
            </w:r>
          </w:p>
        </w:tc>
        <w:tc>
          <w:tcPr>
            <w:tcW w:w="30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Existing metrics; controlled measurement contribution</w:t>
            </w:r>
          </w:p>
        </w:tc>
        <w:tc>
          <w:tcPr>
            <w:tcW w:w="27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audit</w:t>
            </w:r>
          </w:p>
        </w:tc>
      </w:tr>
    </w:tbl>
    <w:p>
      <w:pPr>
        <w:pStyle w:val="Normal"/>
        <w:spacing w:lineRule="auto" w:line="60" w:before="0" w:after="40"/>
        <w:rPr/>
      </w:pPr>
      <w:r>
        <w:rPr/>
      </w:r>
    </w:p>
    <w:p>
      <w:pPr>
        <w:pStyle w:val="Normal"/>
        <w:rPr/>
      </w:pPr>
      <w:r>
        <w:rPr>
          <w:b w:val="false"/>
          <w:i w:val="false"/>
        </w:rPr>
        <w:t>The machine-readable result tables preserve all reported fitting seeds, budgets, conditions, stages, and bootstrap support counts. The paper's compact tables summarize these records. Zero-change and unfavorable results remain available. The evidence index maps each artifact to the calculation it supports and distinguishes public aggregates from private row-level inputs.</w:t>
      </w:r>
    </w:p>
    <w:p>
      <w:pPr>
        <w:pStyle w:val="Heading2"/>
        <w:rPr/>
      </w:pPr>
      <w:bookmarkStart w:id="106" w:name="__RefHeading___Toc25789_2336213107"/>
      <w:bookmarkEnd w:id="106"/>
      <w:r>
        <w:rPr>
          <w:rFonts w:ascii="Times New Roman" w:hAnsi="Times New Roman"/>
          <w:b/>
          <w:i w:val="false"/>
        </w:rPr>
        <w:t>B.3 Public Reproduction and Access Limits</w:t>
      </w:r>
    </w:p>
    <w:p>
      <w:pPr>
        <w:pStyle w:val="Normal"/>
        <w:rPr/>
      </w:pPr>
      <w:r>
        <w:rPr>
          <w:b w:val="false"/>
          <w:i w:val="false"/>
        </w:rPr>
        <w:t>The original evidence archive was extracted into a new directory and its public arithmetic verifier was run with Python 3.11.9 and NumPy 2.2.6 in a fresh virtual environment. All 36 paired comparisons and 720 reported metric intervals were reproduced from 66 public aggregate tables and the 2,000-draw resampling plan. All 206 original manifest hashes matched. Python file-open auditing recorded no access outside the allowed extracted files, new output/runtime directories and base Python runtime. This is a fresh local-runtime check, not an operating-system sandbox, another laboratory's replication or a refit from raw traces.</w:t>
      </w:r>
    </w:p>
    <w:p>
      <w:pPr>
        <w:pStyle w:val="Normal"/>
        <w:rPr/>
      </w:pPr>
      <w:r>
        <w:rPr>
          <w:b w:val="false"/>
          <w:i w:val="false"/>
        </w:rPr>
        <w:t>The initial package check exposed one missing relative link: the original README linked to the archive itself, which was not inside that archive. Adding the byte-identical downloaded archive at the linked location allowed the unchanged package verifier to pass all 74 local links. No original extracted member changed. Both the initial failure and repaired pass are retained in the clean-extraction report. The complete review bundle includes the original archive alongside its extracted contents, so the original verification commands work after extraction.</w:t>
      </w:r>
    </w:p>
    <w:p>
      <w:pPr>
        <w:pStyle w:val="Normal"/>
        <w:rPr/>
      </w:pPr>
      <w:r>
        <w:rPr>
          <w:b w:val="false"/>
          <w:i w:val="false"/>
        </w:rPr>
        <w:t>These checks verify aggregate arithmetic and artifact bindings. They cannot independently reconstruct row identities, validate attack labels, establish successful exfiltration or reproduce private-source model fitting. The original access and inference limits remain applicable.</w:t>
      </w:r>
    </w:p>
    <w:p>
      <w:pPr>
        <w:pStyle w:val="Heading2"/>
        <w:rPr/>
      </w:pPr>
      <w:bookmarkStart w:id="107" w:name="__RefHeading___Toc25791_2336213107"/>
      <w:bookmarkEnd w:id="107"/>
      <w:r>
        <w:rPr>
          <w:rFonts w:ascii="Times New Roman" w:hAnsi="Times New Roman"/>
          <w:b/>
          <w:i w:val="false"/>
        </w:rPr>
        <w:t>B.4 Document and Reference Provenance</w:t>
      </w:r>
    </w:p>
    <w:p>
      <w:pPr>
        <w:pStyle w:val="Normal"/>
        <w:rPr/>
      </w:pPr>
      <w:r>
        <w:rPr>
          <w:b w:val="false"/>
          <w:i w:val="false"/>
        </w:rPr>
        <w:t>The five-chapter organization, title-page author information and What/Why/How GMR convention follow the author's original GWU GML praxis. The current GWU online-program 2026 template and official formatting requirements were also inspected. The reference record identifies the source files and hashes. The original document's certification and dates are historical text; they are not carried forward as approval of this study.</w:t>
      </w:r>
    </w:p>
    <w:p>
      <w:pPr>
        <w:pStyle w:val="Normal"/>
        <w:rPr/>
      </w:pPr>
      <w:r>
        <w:rPr>
          <w:b w:val="false"/>
          <w:i w:val="false"/>
        </w:rPr>
        <w:t>The reference review is targeted and uses primary sources, author manuscripts and publisher metadata where available. Some final publisher full texts were inaccessible; the cited version and access limits are recorded in the literature audit. Bibliographic entries identify inspected preprints separately from final publications. The dataset papers establish provenance, while the local source inspections establish what the acquired artifacts support.</w:t>
      </w:r>
    </w:p>
    <w:p>
      <w:pPr>
        <w:pStyle w:val="Normal"/>
        <w:rPr/>
      </w:pPr>
      <w:r>
        <w:rPr>
          <w:b w:val="false"/>
          <w:i w:val="false"/>
        </w:rPr>
        <w:t>AI-assisted agents were used for code development, computational checks, literature triage, document assembly and layout review. Computational agreement and same-team review do not substitute for the author's responsibility to inspect the research, for independent label validation or for adviser and institutional review. No external peer review or institutional approval is represented as completed.</w:t>
      </w:r>
      <w:r>
        <w:br w:type="page"/>
      </w:r>
    </w:p>
    <w:p>
      <w:pPr>
        <w:pStyle w:val="Heading1"/>
        <w:rPr/>
      </w:pPr>
      <w:bookmarkStart w:id="108" w:name="__RefHeading___Toc25793_2336213107"/>
      <w:bookmarkEnd w:id="108"/>
      <w:r>
        <w:rPr>
          <w:rFonts w:ascii="Times New Roman" w:hAnsi="Times New Roman"/>
          <w:b/>
          <w:i w:val="false"/>
        </w:rPr>
        <w:t>Appendix C: Original GWU GML GMR Reference</w:t>
      </w:r>
    </w:p>
    <w:p>
      <w:pPr>
        <w:pStyle w:val="Normal"/>
        <w:spacing w:before="0" w:after="0"/>
        <w:rPr/>
        <w:sectPr>
          <w:headerReference w:type="default" r:id="rId97"/>
          <w:headerReference w:type="first" r:id="rId98"/>
          <w:footerReference w:type="default" r:id="rId99"/>
          <w:footerReference w:type="first" r:id="rId10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following image is the exact Graphical Model of Research extracted from the author's earlier manuscript, </w:t>
      </w:r>
      <w:r>
        <w:rPr>
          <w:b w:val="false"/>
          <w:i/>
        </w:rPr>
        <w:t>Advanced Persistent Threat Event Detection Using Graph Machine Learning</w:t>
      </w:r>
      <w:r>
        <w:rPr>
          <w:b w:val="false"/>
          <w:i w:val="false"/>
        </w:rPr>
        <w:t xml:space="preserve"> (Pagan, 2026). It is reproduced as a historical formatting and research-structure reference. Its graph models, Optuna tuning, AWS acquisition and evaluation statements describe that earlier document and are not the methods or results of this praxis. The adapted current-study GMR appears in Chapter 3.</w:t>
      </w:r>
    </w:p>
    <w:p>
      <w:pPr>
        <w:pStyle w:val="GWUEquation"/>
        <w:keepNext w:val="true"/>
        <w:spacing w:before="0" w:after="80"/>
        <w:jc w:val="center"/>
        <w:rPr/>
      </w:pPr>
      <w:r>
        <w:rPr/>
        <w:drawing>
          <wp:inline distT="0" distB="0" distL="0" distR="0">
            <wp:extent cx="7772400" cy="3650615"/>
            <wp:effectExtent l="0" t="0" r="0" b="0"/>
            <wp:docPr id="35" name="Picture 35" descr="Historical Graphical Model of Research from the original GWU GML praxis. Reproduced unchanged from the author-provided reference; it is not the current study's methodology. The full-resolution image is included with the 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istorical Graphical Model of Research from the original GWU GML praxis. Reproduced unchanged from the author-provided reference; it is not the current study's methodology. The full-resolution image is included with the supplement."/>
                    <pic:cNvPicPr>
                      <a:picLocks noChangeAspect="1" noChangeArrowheads="1"/>
                    </pic:cNvPicPr>
                  </pic:nvPicPr>
                  <pic:blipFill>
                    <a:blip r:embed="rId101"/>
                    <a:stretch>
                      <a:fillRect/>
                    </a:stretch>
                  </pic:blipFill>
                  <pic:spPr bwMode="auto">
                    <a:xfrm>
                      <a:off x="0" y="0"/>
                      <a:ext cx="7772400" cy="3650615"/>
                    </a:xfrm>
                    <a:prstGeom prst="rect">
                      <a:avLst/>
                    </a:prstGeom>
                    <a:noFill/>
                  </pic:spPr>
                </pic:pic>
              </a:graphicData>
            </a:graphic>
          </wp:inline>
        </w:drawing>
      </w:r>
    </w:p>
    <w:p>
      <w:pPr>
        <w:pStyle w:val="GWUFigureCaption"/>
        <w:spacing w:before="0" w:after="0"/>
        <w:rPr/>
        <w:sectPr>
          <w:headerReference w:type="default" r:id="rId102"/>
          <w:headerReference w:type="first" r:id="rId103"/>
          <w:footerReference w:type="default" r:id="rId104"/>
          <w:footerReference w:type="first" r:id="rId10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109" w:name="__RefHeading___Toc25826_2336213107"/>
      <w:bookmarkEnd w:id="109"/>
      <w:r>
        <w:rPr>
          <w:b w:val="false"/>
          <w:i w:val="false"/>
        </w:rPr>
        <w:t>Figure C-1. Historical Graphical Model of Research from the original GWU GML praxis. Reproduced unchanged from the author-provided reference; it is not the current study's methodology. The full-resolution image is included with the supplement.</w:t>
      </w:r>
    </w:p>
    <w:p>
      <w:pPr>
        <w:pStyle w:val="Normal"/>
        <w:rPr/>
      </w:pPr>
      <w:r>
        <w:rPr>
          <w:b w:val="false"/>
          <w:i w:val="false"/>
        </w:rPr>
        <w:t>The new study retains the original convention of answering What, Why and How for each research stage. It replaces the old graph-training sequence with source qualification, matched evaluation, implemented comparison models, error-destination accounting, sensitivity analysis and verified reporting. This preserves the explanatory purpose of a GMR while keeping the current methodology faithful to the completed evidence.</w:t>
      </w:r>
      <w:r>
        <w:br w:type="page"/>
      </w:r>
    </w:p>
    <w:p>
      <w:pPr>
        <w:pStyle w:val="Heading1"/>
        <w:rPr/>
      </w:pPr>
      <w:bookmarkStart w:id="110" w:name="__RefHeading___Toc25795_2336213107"/>
      <w:bookmarkEnd w:id="110"/>
      <w:r>
        <w:rPr>
          <w:rFonts w:ascii="Times New Roman" w:hAnsi="Times New Roman"/>
          <w:b/>
          <w:i w:val="false"/>
        </w:rPr>
        <w:t>Appendix D: Full-Release Evidence and Reproduction</w:t>
      </w:r>
    </w:p>
    <w:p>
      <w:pPr>
        <w:pStyle w:val="Normal"/>
        <w:rPr/>
      </w:pPr>
      <w:r>
        <w:rPr>
          <w:b w:val="false"/>
          <w:i w:val="false"/>
        </w:rPr>
        <w:t>This appendix reports the new uncapped extension separately from Appendix A's historical experiment inventory. The fixed class order is Benign, OtherAttackStage, MovementAuthorLabel and ExfiltrationAuthorLabel. All counts below are after duplicate handling and temporal-boundary exclusions.</w:t>
      </w:r>
    </w:p>
    <w:p>
      <w:pPr>
        <w:pStyle w:val="Heading2"/>
        <w:rPr/>
      </w:pPr>
      <w:bookmarkStart w:id="111" w:name="__RefHeading___Toc25797_2336213107"/>
      <w:bookmarkEnd w:id="111"/>
      <w:r>
        <w:rPr>
          <w:rFonts w:ascii="Times New Roman" w:hAnsi="Times New Roman"/>
          <w:b/>
          <w:i w:val="false"/>
        </w:rPr>
        <w:t>D.1 net1011x</w:t>
      </w:r>
    </w:p>
    <w:p>
      <w:pPr>
        <w:pStyle w:val="GWUTableCaption"/>
        <w:rPr/>
      </w:pPr>
      <w:bookmarkStart w:id="112" w:name="__RefHeading___Toc25889_2336213107"/>
      <w:bookmarkEnd w:id="112"/>
      <w:r>
        <w:rPr>
          <w:b w:val="false"/>
          <w:i w:val="false"/>
        </w:rPr>
        <w:t>Table D-1. net1011x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1466865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5527</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13" w:name="__RefHeading___Toc25887_2336213107"/>
      <w:bookmarkEnd w:id="113"/>
      <w:r>
        <w:rPr>
          <w:b w:val="false"/>
          <w:i w:val="false"/>
        </w:rPr>
        <w:t>Table D-2. net1011x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14" w:name="__RefHeading___Toc25885_2336213107"/>
      <w:bookmarkEnd w:id="114"/>
      <w:r>
        <w:rPr>
          <w:b w:val="false"/>
          <w:i w:val="false"/>
        </w:rPr>
        <w:t>Table D-3. net1011x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320359</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15" w:name="__RefHeading___Toc25799_2336213107"/>
      <w:bookmarkEnd w:id="115"/>
      <w:r>
        <w:rPr>
          <w:rFonts w:ascii="Times New Roman" w:hAnsi="Times New Roman"/>
          <w:b/>
          <w:i w:val="false"/>
        </w:rPr>
        <w:t>D.2 net1012x</w:t>
      </w:r>
    </w:p>
    <w:p>
      <w:pPr>
        <w:pStyle w:val="GWUTableCaption"/>
        <w:rPr/>
      </w:pPr>
      <w:bookmarkStart w:id="116" w:name="__RefHeading___Toc25883_2336213107"/>
      <w:bookmarkEnd w:id="116"/>
      <w:r>
        <w:rPr>
          <w:b w:val="false"/>
          <w:i w:val="false"/>
        </w:rPr>
        <w:t>Table D-4. net1012x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597531</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5132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17" w:name="__RefHeading___Toc25881_2336213107"/>
      <w:bookmarkEnd w:id="117"/>
      <w:r>
        <w:rPr>
          <w:b w:val="false"/>
          <w:i w:val="false"/>
        </w:rPr>
        <w:t>Table D-5. net1012x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18" w:name="__RefHeading___Toc25879_2336213107"/>
      <w:bookmarkEnd w:id="118"/>
      <w:r>
        <w:rPr>
          <w:b w:val="false"/>
          <w:i w:val="false"/>
        </w:rPr>
        <w:t>Table D-6. net1012x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13"/>
        <w:gridCol w:w="1600"/>
        <w:gridCol w:w="1754"/>
        <w:gridCol w:w="1772"/>
        <w:gridCol w:w="1601"/>
      </w:tblGrid>
      <w:tr>
        <w:trPr>
          <w:tblHeader w:val="true"/>
          <w:cantSplit/>
        </w:trPr>
        <w:tc>
          <w:tcPr>
            <w:tcW w:w="19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5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131664</w:t>
            </w:r>
          </w:p>
        </w:tc>
        <w:tc>
          <w:tcPr>
            <w:tcW w:w="1754"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5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7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19" w:name="__RefHeading___Toc25801_2336213107"/>
      <w:bookmarkEnd w:id="119"/>
      <w:r>
        <w:rPr>
          <w:rFonts w:ascii="Times New Roman" w:hAnsi="Times New Roman"/>
          <w:b/>
          <w:i w:val="false"/>
        </w:rPr>
        <w:t>D.3 net1013x</w:t>
      </w:r>
    </w:p>
    <w:p>
      <w:pPr>
        <w:pStyle w:val="GWUTableCaption"/>
        <w:rPr/>
      </w:pPr>
      <w:bookmarkStart w:id="120" w:name="__RefHeading___Toc25877_2336213107"/>
      <w:bookmarkEnd w:id="120"/>
      <w:r>
        <w:rPr>
          <w:b w:val="false"/>
          <w:i w:val="false"/>
        </w:rPr>
        <w:t>Table D-7. net1013x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837124</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5966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1811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906</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0.01%.</w:t>
      </w:r>
    </w:p>
    <w:p>
      <w:pPr>
        <w:pStyle w:val="GWUTableCaption"/>
        <w:rPr/>
      </w:pPr>
      <w:bookmarkStart w:id="121" w:name="__RefHeading___Toc25875_2336213107"/>
      <w:bookmarkEnd w:id="121"/>
      <w:r>
        <w:rPr>
          <w:b w:val="false"/>
          <w:i w:val="false"/>
        </w:rPr>
        <w:t>Table D-8. net1013x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97.23%</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1120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0.01%.</w:t>
      </w:r>
    </w:p>
    <w:p>
      <w:pPr>
        <w:pStyle w:val="GWUTableCaption"/>
        <w:rPr/>
      </w:pPr>
      <w:bookmarkStart w:id="122" w:name="__RefHeading___Toc25873_2336213107"/>
      <w:bookmarkEnd w:id="122"/>
      <w:r>
        <w:rPr>
          <w:b w:val="false"/>
          <w:i w:val="false"/>
        </w:rPr>
        <w:t>Table D-9. net1013x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195152</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99.99%</w:t>
            </w:r>
          </w:p>
        </w:tc>
        <w:tc>
          <w:tcPr>
            <w:tcW w:w="1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5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13270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97.22%</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99.63%</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w:t>
            </w:r>
          </w:p>
        </w:tc>
      </w:tr>
      <w:tr>
        <w:trPr>
          <w:cantSplit/>
        </w:trPr>
        <w:tc>
          <w:tcPr>
            <w:tcW w:w="200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3866</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71.03%</w:t>
            </w:r>
          </w:p>
        </w:tc>
        <w:tc>
          <w:tcPr>
            <w:tcW w:w="165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71.06%</w:t>
            </w:r>
          </w:p>
        </w:tc>
        <w:tc>
          <w:tcPr>
            <w:tcW w:w="165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1119</w:t>
            </w:r>
          </w:p>
        </w:tc>
      </w:tr>
    </w:tbl>
    <w:p>
      <w:pPr>
        <w:pStyle w:val="Normal"/>
        <w:spacing w:lineRule="auto" w:line="60" w:before="0" w:after="40"/>
        <w:rPr/>
      </w:pPr>
      <w:r>
        <w:rPr/>
      </w:r>
    </w:p>
    <w:p>
      <w:pPr>
        <w:pStyle w:val="Heading2"/>
        <w:rPr/>
      </w:pPr>
      <w:bookmarkStart w:id="123" w:name="__RefHeading___Toc25803_2336213107"/>
      <w:bookmarkEnd w:id="123"/>
      <w:r>
        <w:rPr>
          <w:rFonts w:ascii="Times New Roman" w:hAnsi="Times New Roman"/>
          <w:b/>
          <w:i w:val="false"/>
        </w:rPr>
        <w:t>D.4 net1014x</w:t>
      </w:r>
    </w:p>
    <w:p>
      <w:pPr>
        <w:pStyle w:val="GWUTableCaption"/>
        <w:rPr/>
      </w:pPr>
      <w:bookmarkStart w:id="124" w:name="__RefHeading___Toc25871_2336213107"/>
      <w:bookmarkEnd w:id="124"/>
      <w:r>
        <w:rPr>
          <w:b w:val="false"/>
          <w:i w:val="false"/>
        </w:rPr>
        <w:t>Table D-10. net1014x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163270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0.00%.</w:t>
      </w:r>
    </w:p>
    <w:p>
      <w:pPr>
        <w:pStyle w:val="GWUTableCaption"/>
        <w:rPr/>
      </w:pPr>
      <w:bookmarkStart w:id="125" w:name="__RefHeading___Toc25869_2336213107"/>
      <w:bookmarkEnd w:id="125"/>
      <w:r>
        <w:rPr>
          <w:b w:val="false"/>
          <w:i w:val="false"/>
        </w:rPr>
        <w:t>Table D-11. net1014x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0.00%.</w:t>
      </w:r>
    </w:p>
    <w:p>
      <w:pPr>
        <w:pStyle w:val="GWUTableCaption"/>
        <w:rPr/>
      </w:pPr>
      <w:bookmarkStart w:id="126" w:name="__RefHeading___Toc25867_2336213107"/>
      <w:bookmarkEnd w:id="126"/>
      <w:r>
        <w:rPr>
          <w:b w:val="false"/>
          <w:i w:val="false"/>
        </w:rPr>
        <w:t>Table D-12. net1014x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28"/>
        <w:gridCol w:w="1609"/>
        <w:gridCol w:w="1737"/>
        <w:gridCol w:w="1757"/>
        <w:gridCol w:w="1609"/>
      </w:tblGrid>
      <w:tr>
        <w:trPr>
          <w:tblHeader w:val="true"/>
          <w:cantSplit/>
        </w:trPr>
        <w:tc>
          <w:tcPr>
            <w:tcW w:w="1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73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0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41193</w:t>
            </w:r>
          </w:p>
        </w:tc>
        <w:tc>
          <w:tcPr>
            <w:tcW w:w="173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c>
          <w:tcPr>
            <w:tcW w:w="173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0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2942</w:t>
            </w:r>
          </w:p>
        </w:tc>
      </w:tr>
      <w:tr>
        <w:trPr>
          <w:cantSplit/>
        </w:trPr>
        <w:tc>
          <w:tcPr>
            <w:tcW w:w="1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2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73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0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27" w:name="__RefHeading___Toc25805_2336213107"/>
      <w:bookmarkEnd w:id="127"/>
      <w:r>
        <w:rPr>
          <w:rFonts w:ascii="Times New Roman" w:hAnsi="Times New Roman"/>
          <w:b/>
          <w:i w:val="false"/>
        </w:rPr>
        <w:t>D.5 net1015x</w:t>
      </w:r>
    </w:p>
    <w:p>
      <w:pPr>
        <w:pStyle w:val="GWUTableCaption"/>
        <w:rPr/>
      </w:pPr>
      <w:bookmarkStart w:id="128" w:name="__RefHeading___Toc25865_2336213107"/>
      <w:bookmarkEnd w:id="128"/>
      <w:r>
        <w:rPr>
          <w:b w:val="false"/>
          <w:i w:val="false"/>
        </w:rPr>
        <w:t>Table D-13. net1015x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144089</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2790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0.04%.</w:t>
      </w:r>
    </w:p>
    <w:p>
      <w:pPr>
        <w:pStyle w:val="GWUTableCaption"/>
        <w:rPr/>
      </w:pPr>
      <w:bookmarkStart w:id="129" w:name="__RefHeading___Toc25863_2336213107"/>
      <w:bookmarkEnd w:id="129"/>
      <w:r>
        <w:rPr>
          <w:b w:val="false"/>
          <w:i w:val="false"/>
        </w:rPr>
        <w:t>Table D-14. net1015x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0.05%.</w:t>
      </w:r>
    </w:p>
    <w:p>
      <w:pPr>
        <w:pStyle w:val="GWUTableCaption"/>
        <w:rPr/>
      </w:pPr>
      <w:bookmarkStart w:id="130" w:name="__RefHeading___Toc25861_2336213107"/>
      <w:bookmarkEnd w:id="130"/>
      <w:r>
        <w:rPr>
          <w:b w:val="false"/>
          <w:i w:val="false"/>
        </w:rPr>
        <w:t>Table D-15. net1015x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27619</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99.95%</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29.17%</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76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1003</w:t>
            </w:r>
          </w:p>
        </w:tc>
      </w:tr>
    </w:tbl>
    <w:p>
      <w:pPr>
        <w:pStyle w:val="Normal"/>
        <w:spacing w:lineRule="auto" w:line="60" w:before="0" w:after="40"/>
        <w:rPr/>
      </w:pPr>
      <w:r>
        <w:rPr/>
      </w:r>
    </w:p>
    <w:p>
      <w:pPr>
        <w:pStyle w:val="Heading2"/>
        <w:rPr/>
      </w:pPr>
      <w:bookmarkStart w:id="131" w:name="__RefHeading___Toc25807_2336213107"/>
      <w:bookmarkEnd w:id="131"/>
      <w:r>
        <w:rPr>
          <w:rFonts w:ascii="Times New Roman" w:hAnsi="Times New Roman"/>
          <w:b/>
          <w:i w:val="false"/>
        </w:rPr>
        <w:t>D.6 netgw</w:t>
      </w:r>
    </w:p>
    <w:p>
      <w:pPr>
        <w:pStyle w:val="GWUTableCaption"/>
        <w:rPr/>
      </w:pPr>
      <w:bookmarkStart w:id="132" w:name="__RefHeading___Toc25859_2336213107"/>
      <w:bookmarkEnd w:id="132"/>
      <w:r>
        <w:rPr>
          <w:b w:val="false"/>
          <w:i w:val="false"/>
        </w:rPr>
        <w:t>Table D-16. netgw class support by split.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07"/>
        <w:gridCol w:w="1658"/>
        <w:gridCol w:w="1658"/>
        <w:gridCol w:w="1658"/>
        <w:gridCol w:w="1659"/>
      </w:tblGrid>
      <w:tr>
        <w:trPr>
          <w:tblHeader w:val="true"/>
          <w:cantSplit/>
        </w:trPr>
        <w:tc>
          <w:tcPr>
            <w:tcW w:w="20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Split</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w:t>
            </w:r>
          </w:p>
        </w:tc>
        <w:tc>
          <w:tcPr>
            <w:tcW w:w="1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w:t>
            </w:r>
          </w:p>
        </w:tc>
        <w:tc>
          <w:tcPr>
            <w:tcW w:w="165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200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2116400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w:t>
            </w:r>
          </w:p>
        </w:tc>
        <w:tc>
          <w:tcPr>
            <w:tcW w:w="165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13333</w:t>
            </w:r>
          </w:p>
        </w:tc>
        <w:tc>
          <w:tcPr>
            <w:tcW w:w="165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200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calibration</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8954</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4461</w:t>
            </w:r>
          </w:p>
        </w:tc>
        <w:tc>
          <w:tcPr>
            <w:tcW w:w="165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w:t>
            </w:r>
          </w:p>
        </w:tc>
        <w:tc>
          <w:tcPr>
            <w:tcW w:w="165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r>
        <w:trPr>
          <w:cantSplit/>
        </w:trPr>
        <w:tc>
          <w:tcPr>
            <w:tcW w:w="200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5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5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test results.</w:t>
      </w:r>
      <w:r>
        <w:rPr>
          <w:b w:val="false"/>
          <w:i w:val="false"/>
        </w:rPr>
        <w:t xml:space="preserve"> Benign false-alert rate: 0.30%.</w:t>
      </w:r>
    </w:p>
    <w:p>
      <w:pPr>
        <w:pStyle w:val="GWUTableCaption"/>
        <w:rPr/>
      </w:pPr>
      <w:bookmarkStart w:id="133" w:name="__RefHeading___Toc25857_2336213107"/>
      <w:bookmarkEnd w:id="133"/>
      <w:r>
        <w:rPr>
          <w:b w:val="false"/>
          <w:i w:val="false"/>
        </w:rPr>
        <w:t>Table D-17. netgw current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25429</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Normal"/>
        <w:rPr/>
      </w:pPr>
      <w:r>
        <w:rPr>
          <w:b/>
          <w:i w:val="false"/>
        </w:rPr>
        <w:t>current roles test results.</w:t>
      </w:r>
      <w:r>
        <w:rPr>
          <w:b w:val="false"/>
          <w:i w:val="false"/>
        </w:rPr>
        <w:t xml:space="preserve"> Benign false-alert rate: 0.30%.</w:t>
      </w:r>
    </w:p>
    <w:p>
      <w:pPr>
        <w:pStyle w:val="GWUTableCaption"/>
        <w:rPr/>
      </w:pPr>
      <w:bookmarkStart w:id="134" w:name="__RefHeading___Toc25855_2336213107"/>
      <w:bookmarkEnd w:id="134"/>
      <w:r>
        <w:rPr>
          <w:b w:val="false"/>
          <w:i w:val="false"/>
        </w:rPr>
        <w:t>Table D-18. netgw current roles test outcomes.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69"/>
        <w:gridCol w:w="1636"/>
        <w:gridCol w:w="1636"/>
        <w:gridCol w:w="1763"/>
        <w:gridCol w:w="1636"/>
      </w:tblGrid>
      <w:tr>
        <w:trPr>
          <w:tblHeader w:val="true"/>
          <w:cantSplit/>
        </w:trPr>
        <w:tc>
          <w:tcPr>
            <w:tcW w:w="1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Author-stage group</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Support</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76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 recall</w:t>
            </w:r>
          </w:p>
        </w:tc>
        <w:tc>
          <w:tcPr>
            <w:tcW w:w="16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warnings</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707291</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w:t>
            </w:r>
          </w:p>
        </w:tc>
        <w:tc>
          <w:tcPr>
            <w:tcW w:w="176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w:t>
            </w:r>
          </w:p>
        </w:tc>
      </w:tr>
      <w:tr>
        <w:trPr>
          <w:cantSplit/>
        </w:trPr>
        <w:tc>
          <w:tcPr>
            <w:tcW w:w="1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Other</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26712</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4.78%</w:t>
            </w:r>
          </w:p>
        </w:tc>
        <w:tc>
          <w:tcPr>
            <w:tcW w:w="176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w:t>
            </w:r>
          </w:p>
        </w:tc>
        <w:tc>
          <w:tcPr>
            <w:tcW w:w="163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25430</w:t>
            </w:r>
          </w:p>
        </w:tc>
      </w:tr>
      <w:tr>
        <w:trPr>
          <w:cantSplit/>
        </w:trPr>
        <w:tc>
          <w:tcPr>
            <w:tcW w:w="1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12906</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76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99.94%</w:t>
            </w:r>
          </w:p>
        </w:tc>
        <w:tc>
          <w:tcPr>
            <w:tcW w:w="163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r>
      <w:tr>
        <w:trPr>
          <w:cantSplit/>
        </w:trPr>
        <w:tc>
          <w:tcPr>
            <w:tcW w:w="19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Exfiltration</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76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Unsupported</w:t>
            </w:r>
          </w:p>
        </w:tc>
        <w:tc>
          <w:tcPr>
            <w:tcW w:w="163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r>
    </w:tbl>
    <w:p>
      <w:pPr>
        <w:pStyle w:val="Normal"/>
        <w:spacing w:lineRule="auto" w:line="60" w:before="0" w:after="40"/>
        <w:rPr/>
      </w:pPr>
      <w:r>
        <w:rPr/>
      </w:r>
    </w:p>
    <w:p>
      <w:pPr>
        <w:pStyle w:val="Heading2"/>
        <w:rPr/>
      </w:pPr>
      <w:bookmarkStart w:id="135" w:name="__RefHeading___Toc25809_2336213107"/>
      <w:bookmarkEnd w:id="135"/>
      <w:r>
        <w:rPr>
          <w:rFonts w:ascii="Times New Roman" w:hAnsi="Times New Roman"/>
          <w:b/>
          <w:i w:val="false"/>
        </w:rPr>
        <w:t>D.7 Artifact Layout and Execution</w:t>
      </w:r>
    </w:p>
    <w:p>
      <w:pPr>
        <w:pStyle w:val="Normal"/>
        <w:rPr/>
      </w:pPr>
      <w:r>
        <w:rPr>
          <w:b w:val="false"/>
          <w:i w:val="false"/>
        </w:rPr>
        <w:t>The evidence package contains FULL_RELEASE_PROTOCOL.json, FULL_RELEASE_RESULTS.json, FULL_RELEASE_AUDIT.json, per-sensor PREPARATION.json and RESULTS.json, full_release.py, audit_full_release.py, the revised manuscript source and figure assets, and the original evidence archive. The local reproducibility bundle additionally contains saved models and every new calibration/test probability vector, target and row key. The source inventory records the original released flow-file hashes and acquisition provenance. Raw flow CSVs remain in the pinned local source directory and are not duplicated into the manuscript bundle.</w:t>
      </w:r>
    </w:p>
    <w:p>
      <w:pPr>
        <w:pStyle w:val="Normal"/>
        <w:rPr/>
      </w:pPr>
      <w:r>
        <w:rPr>
          <w:b w:val="false"/>
          <w:i w:val="false"/>
        </w:rPr>
        <w:t>Run full_release.py with Python, NumPy, scikit-learn, LightGBM and joblib using the recorded environment. The script's ROOT and PRIVATE paths locate public outputs and local prepared arrays. It requires the inventory at the recorded path and the matching raw source directory. Run audit_full_release.py after fitting to recompute count-based metrics independently from saved predictions. Dependencies and environment versions are captured in the final manifest. Repointing paths for another machine does not change the frozen analytical choices; verify source hashes before fitting.</w:t>
      </w:r>
    </w:p>
    <w:p>
      <w:pPr>
        <w:pStyle w:val="Normal"/>
        <w:rPr/>
      </w:pPr>
      <w:r>
        <w:rPr>
          <w:b w:val="false"/>
          <w:i w:val="false"/>
        </w:rPr>
        <w:t>The original 143-fit inventory and the extension's 12 fitting jobs are kept separate. A one-class LightGBM fitting job is identified as such and supplies a constant-class control; it is not counted as a successfully learned multiclass detector. The evidence is computationally reviewable and remains subject to source-label, campaign-dependence and institutional-review limitations.</w:t>
      </w:r>
      <w:r>
        <w:br w:type="page"/>
      </w:r>
    </w:p>
    <w:p>
      <w:pPr>
        <w:pStyle w:val="Heading1"/>
        <w:rPr/>
      </w:pPr>
      <w:bookmarkStart w:id="136" w:name="__RefHeading___Toc25811_2336213107"/>
      <w:bookmarkEnd w:id="136"/>
      <w:r>
        <w:rPr>
          <w:rFonts w:ascii="Times New Roman" w:hAnsi="Times New Roman"/>
          <w:b/>
          <w:i w:val="false"/>
        </w:rPr>
        <w:t>Appendix E: Complete AIT Validation and Reproduction</w:t>
      </w:r>
    </w:p>
    <w:p>
      <w:pPr>
        <w:pStyle w:val="Heading2"/>
        <w:rPr/>
      </w:pPr>
      <w:bookmarkStart w:id="137" w:name="__RefHeading___Toc25813_2336213107"/>
      <w:bookmarkEnd w:id="137"/>
      <w:r>
        <w:rPr>
          <w:rFonts w:ascii="Times New Roman" w:hAnsi="Times New Roman"/>
          <w:b/>
          <w:i w:val="false"/>
        </w:rPr>
        <w:t>E.1 Population, contract and audit</w:t>
      </w:r>
    </w:p>
    <w:p>
      <w:pPr>
        <w:pStyle w:val="Normal"/>
        <w:rPr/>
      </w:pPr>
      <w:r>
        <w:rPr>
          <w:b w:val="false"/>
          <w:i w:val="false"/>
        </w:rPr>
        <w:t>This appendix preserves the separate AIT experiment described in Sections 3.12 and 4.11. All eight archives are included in the reproduction package, with publisher MD5 verification, local SHA256 hashes, ZIP CRC checks and CC BY 4.0 attribution. Every eligible row enters its assigned final partition. Class support is shown below; the complete source accounting is in Table 3-10. Seeds share these same populations.</w:t>
      </w:r>
    </w:p>
    <w:p>
      <w:pPr>
        <w:pStyle w:val="GWUTableCaption"/>
        <w:rPr/>
      </w:pPr>
      <w:bookmarkStart w:id="138" w:name="__RefHeading___Toc25853_2336213107"/>
      <w:bookmarkEnd w:id="138"/>
      <w:r>
        <w:rPr>
          <w:b w:val="false"/>
          <w:i w:val="false"/>
        </w:rPr>
        <w:t>Table E-1. AIT eligible class support by execution.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76"/>
        <w:gridCol w:w="1744"/>
        <w:gridCol w:w="1640"/>
        <w:gridCol w:w="1640"/>
        <w:gridCol w:w="1640"/>
      </w:tblGrid>
      <w:tr>
        <w:trPr>
          <w:tblHeader w:val="true"/>
          <w:cantSplit/>
        </w:trPr>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w:t>
            </w:r>
          </w:p>
        </w:tc>
        <w:tc>
          <w:tcPr>
            <w:tcW w:w="17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Use</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santos</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269,751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5,937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12,848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fox</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280,729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56,505</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14,668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wardbeck</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370,045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5,099</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15,076</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russellmitchell</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206,674</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155,250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15,778</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shaw</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389,343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2,357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60,898</w:t>
            </w:r>
          </w:p>
        </w:tc>
      </w:tr>
      <w:tr>
        <w:trPr>
          <w:cantSplit/>
        </w:trPr>
        <w:tc>
          <w:tcPr>
            <w:tcW w:w="197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wheeler</w:t>
            </w:r>
          </w:p>
        </w:tc>
        <w:tc>
          <w:tcPr>
            <w:tcW w:w="17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423,630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93,393</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19,177</w:t>
            </w:r>
          </w:p>
        </w:tc>
      </w:tr>
      <w:tr>
        <w:trPr>
          <w:cantSplit/>
        </w:trPr>
        <w:tc>
          <w:tcPr>
            <w:tcW w:w="197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w:t>
            </w:r>
          </w:p>
        </w:tc>
        <w:tc>
          <w:tcPr>
            <w:tcW w:w="17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568,013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40,321</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21,219</w:t>
            </w:r>
          </w:p>
        </w:tc>
      </w:tr>
      <w:tr>
        <w:trPr>
          <w:cantSplit/>
        </w:trPr>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w:t>
            </w:r>
          </w:p>
        </w:tc>
        <w:tc>
          <w:tcPr>
            <w:tcW w:w="17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Test</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337,306</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76,895</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23,457</w:t>
            </w:r>
          </w:p>
        </w:tc>
      </w:tr>
    </w:tbl>
    <w:p>
      <w:pPr>
        <w:pStyle w:val="Normal"/>
        <w:spacing w:lineRule="auto" w:line="60" w:before="0" w:after="40"/>
        <w:rPr/>
      </w:pPr>
      <w:r>
        <w:rPr/>
      </w:r>
    </w:p>
    <w:p>
      <w:pPr>
        <w:pStyle w:val="Heading2"/>
        <w:rPr/>
      </w:pPr>
      <w:bookmarkStart w:id="139" w:name="__RefHeading___Toc25815_2336213107"/>
      <w:bookmarkEnd w:id="139"/>
      <w:r>
        <w:rPr>
          <w:rFonts w:ascii="Times New Roman" w:hAnsi="Times New Roman"/>
          <w:b/>
          <w:i w:val="false"/>
        </w:rPr>
        <w:t>E.2 Seed 8101: Every Policy and Execution</w:t>
      </w:r>
    </w:p>
    <w:p>
      <w:pPr>
        <w:pStyle w:val="GWUTableCaption"/>
        <w:rPr/>
      </w:pPr>
      <w:bookmarkStart w:id="140" w:name="__RefHeading___Toc25851_2336213107"/>
      <w:bookmarkEnd w:id="140"/>
      <w:r>
        <w:rPr>
          <w:b w:val="false"/>
          <w:i w:val="false"/>
        </w:rPr>
        <w:t>Table E-2. Complete AIT outcomes for seed 8101.</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0.993388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0.994904</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0.993765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0.059%</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0.913033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99.437%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0.993611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0.993542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60.727%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0.913152</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13744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1.454%</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0.947968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99.689%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0.994640</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64.809%</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0.948175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13792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0.631%</w:t>
            </w:r>
          </w:p>
        </w:tc>
      </w:tr>
    </w:tbl>
    <w:p>
      <w:pPr>
        <w:pStyle w:val="Normal"/>
        <w:spacing w:lineRule="auto" w:line="60" w:before="0" w:after="40"/>
        <w:rPr/>
      </w:pPr>
      <w:r>
        <w:rPr/>
      </w:r>
    </w:p>
    <w:p>
      <w:pPr>
        <w:pStyle w:val="Heading2"/>
        <w:rPr/>
      </w:pPr>
      <w:bookmarkStart w:id="141" w:name="__RefHeading___Toc25817_2336213107"/>
      <w:bookmarkEnd w:id="141"/>
      <w:r>
        <w:rPr>
          <w:rFonts w:ascii="Times New Roman" w:hAnsi="Times New Roman"/>
          <w:b/>
          <w:i w:val="false"/>
        </w:rPr>
        <w:t>E.3 Seed 8102: Every Policy and Execution</w:t>
      </w:r>
    </w:p>
    <w:p>
      <w:pPr>
        <w:pStyle w:val="GWUTableCaption"/>
        <w:rPr/>
      </w:pPr>
      <w:bookmarkStart w:id="142" w:name="__RefHeading___Toc25849_2336213107"/>
      <w:bookmarkEnd w:id="142"/>
      <w:r>
        <w:rPr>
          <w:b w:val="false"/>
          <w:i w:val="false"/>
        </w:rPr>
        <w:t>Table E-3. Complete AIT outcomes for seed 8102.</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0.993433</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0.994895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0.994772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99.986%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84.861%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0.993790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3.195%</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0.907972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99.442%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0.989431</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0.989368</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1282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77.170%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0.908027</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99.531%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7.457%</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0.944796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99.707%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14860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0.992528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0.992445</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99.774%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1365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81.707%</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0.944940</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99.754%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14913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4.943%</w:t>
            </w:r>
          </w:p>
        </w:tc>
      </w:tr>
    </w:tbl>
    <w:p>
      <w:pPr>
        <w:pStyle w:val="Normal"/>
        <w:spacing w:lineRule="auto" w:line="60" w:before="0" w:after="40"/>
        <w:rPr/>
      </w:pPr>
      <w:r>
        <w:rPr/>
      </w:r>
    </w:p>
    <w:p>
      <w:pPr>
        <w:pStyle w:val="Heading2"/>
        <w:rPr/>
      </w:pPr>
      <w:bookmarkStart w:id="143" w:name="__RefHeading___Toc25819_2336213107"/>
      <w:bookmarkEnd w:id="143"/>
      <w:r>
        <w:rPr>
          <w:rFonts w:ascii="Times New Roman" w:hAnsi="Times New Roman"/>
          <w:b/>
          <w:i w:val="false"/>
        </w:rPr>
        <w:t>E.4 Seed 8103: Every Policy and Execution</w:t>
      </w:r>
    </w:p>
    <w:p>
      <w:pPr>
        <w:pStyle w:val="GWUTableCaption"/>
        <w:rPr/>
      </w:pPr>
      <w:bookmarkStart w:id="144" w:name="__RefHeading___Toc25847_2336213107"/>
      <w:bookmarkEnd w:id="144"/>
      <w:r>
        <w:rPr>
          <w:b w:val="false"/>
          <w:i w:val="false"/>
        </w:rPr>
        <w:t>Table E-4. Complete AIT outcomes for seed 8103.</w:t>
      </w:r>
    </w:p>
    <w:p>
      <w:pPr>
        <w:pStyle w:val="Normal"/>
        <w:keepNext w:val="true"/>
        <w:ind w:hanging="0"/>
        <w:rPr/>
      </w:pPr>
      <w:r>
        <w:rPr>
          <w:b w:val="false"/>
          <w:i w:val="false"/>
        </w:rPr>
        <w:t>Rows within each execution are paired across policies. Pooled rows combine Wilson and Harrison for the same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3"/>
        <w:gridCol w:w="1408"/>
        <w:gridCol w:w="1406"/>
        <w:gridCol w:w="1408"/>
        <w:gridCol w:w="1407"/>
        <w:gridCol w:w="1408"/>
      </w:tblGrid>
      <w:tr>
        <w:trPr>
          <w:tblHeader w:val="true"/>
          <w:cantSplit/>
        </w:trPr>
        <w:tc>
          <w:tcPr>
            <w:tcW w:w="160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Execution / policy</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0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Missed exfil</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Acquire</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0.993449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0.994918</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0.994817</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99.962%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78.991%</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wilson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0.993479</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0.908889</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99.424%</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14618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0.993993</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0.993902</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99.595%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73.368%</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harrison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0.909205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99.497%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14577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4.282%</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Current</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0.945386</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99.698%</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14676</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Always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0.994915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100.000%</w:t>
            </w:r>
          </w:p>
        </w:tc>
      </w:tr>
      <w:tr>
        <w:trPr>
          <w:cantSplit/>
        </w:trPr>
        <w:tc>
          <w:tcPr>
            <w:tcW w:w="160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Entropy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0.994824</w:t>
            </w:r>
          </w:p>
        </w:tc>
        <w:tc>
          <w:tcPr>
            <w:tcW w:w="140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99.769%</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76.685%</w:t>
            </w:r>
          </w:p>
        </w:tc>
      </w:tr>
      <w:tr>
        <w:trPr>
          <w:cantSplit/>
        </w:trPr>
        <w:tc>
          <w:tcPr>
            <w:tcW w:w="160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pooled / Error-focused</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0.945585</w:t>
            </w:r>
          </w:p>
        </w:tc>
        <w:tc>
          <w:tcPr>
            <w:tcW w:w="140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99.736%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14625</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1.775%</w:t>
            </w:r>
          </w:p>
        </w:tc>
      </w:tr>
    </w:tbl>
    <w:p>
      <w:pPr>
        <w:pStyle w:val="Normal"/>
        <w:spacing w:lineRule="auto" w:line="60" w:before="0" w:after="40"/>
        <w:rPr/>
      </w:pPr>
      <w:r>
        <w:rPr/>
      </w:r>
    </w:p>
    <w:p>
      <w:pPr>
        <w:pStyle w:val="Heading2"/>
        <w:rPr/>
      </w:pPr>
      <w:bookmarkStart w:id="145" w:name="__RefHeading___Toc25821_2336213107"/>
      <w:bookmarkEnd w:id="145"/>
      <w:r>
        <w:rPr>
          <w:rFonts w:ascii="Times New Roman" w:hAnsi="Times New Roman"/>
          <w:b/>
          <w:i w:val="false"/>
        </w:rPr>
        <w:t>E.5 Reproduction Materials</w:t>
      </w:r>
    </w:p>
    <w:p>
      <w:pPr>
        <w:pStyle w:val="Normal"/>
        <w:rPr/>
      </w:pPr>
      <w:r>
        <w:rPr>
          <w:b w:val="false"/>
          <w:i w:val="false"/>
        </w:rPr>
        <w:t>Campaign_Validation_Full_Evidence.zip contains the full eight-archive release, eight prepared arrays, 36 classifier objects, six selector objects, all development out-of-fold predictions and every held-out probability/action array. Reports include ACQUISITION.json, QUALIFICATION.json, PREPARATION.json, PROTOCOL.md, FREEZE.json, FIT_LOG.json, RESULTS.json, RESULTS.csv, SUMMARY.json, AUDIT.json, ARTIFACTS.json, NATIVE_LABEL_DIAGNOSTIC.json and SELECTOR_DIAGNOSTIC.json. The latter diagnostic is descriptive after fitting and does not alter the frozen policies. Code and pinned compute dependencies are included. The computational audit passes 1,245 checks.</w:t>
      </w:r>
    </w:p>
    <w:p>
      <w:pPr>
        <w:pStyle w:val="Normal"/>
        <w:rPr/>
      </w:pPr>
      <w:r>
        <w:rPr>
          <w:b w:val="false"/>
          <w:i w:val="false"/>
        </w:rPr>
        <w:t>The local data root is C:/w/campaign_validation_20260928. Run acquire_qualify.py, validate.py prepare, validate.py run, and audit.py with the recorded environment. Repoint documented absolute paths when moving machines and record the path amendment. The complete output bundle accompanies the integrated paper and defense. Historical and full-release UNRAVELED evidence retain their own source bindings and experimental contracts; their metrics are not pooled with this different task.</w:t>
      </w:r>
    </w:p>
    <w:sectPr>
      <w:headerReference w:type="default" r:id="rId106"/>
      <w:headerReference w:type="first" r:id="rId107"/>
      <w:footerReference w:type="default" r:id="rId108"/>
      <w:footerReference w:type="first" r:id="rId109"/>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57</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58</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59</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63</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64</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65</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66</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68</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69</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70</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73</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74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75</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76</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126</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127</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141</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30" w:hanging="23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240"/>
      <w:ind w:hanging="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0"/>
      <w:ind w:hanging="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0"/>
      <w:ind w:hanging="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spacing w:lineRule="auto" w:line="240" w:before="0" w:after="60"/>
      <w:ind w:hanging="0"/>
    </w:pPr>
    <w:rPr>
      <w:rFonts w:ascii="Times New Roman" w:hAnsi="Times New Roman" w:cs="Lucida 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WUFrontHeading" w:customStyle="1">
    <w:name w:val="GWU Front Heading"/>
    <w:basedOn w:val="Normal"/>
    <w:qFormat/>
    <w:pPr>
      <w:keepNext w:val="true"/>
      <w:widowControl/>
      <w:spacing w:lineRule="auto" w:line="240" w:before="0" w:after="480"/>
      <w:ind w:hanging="0"/>
      <w:jc w:val="center"/>
    </w:pPr>
    <w:rPr>
      <w:rFonts w:ascii="Times New Roman" w:hAnsi="Times New Roman"/>
      <w:b/>
      <w:sz w:val="24"/>
    </w:rPr>
  </w:style>
  <w:style w:type="paragraph" w:styleId="GWUFront" w:customStyle="1">
    <w:name w:val="GWU Front"/>
    <w:basedOn w:val="Normal"/>
    <w:qFormat/>
    <w:pPr>
      <w:widowControl/>
      <w:spacing w:lineRule="auto" w:line="240" w:before="0" w:after="120"/>
      <w:ind w:hanging="0"/>
    </w:pPr>
    <w:rPr>
      <w:rFonts w:ascii="Times New Roman" w:hAnsi="Times New Roman"/>
      <w:sz w:val="24"/>
    </w:rPr>
  </w:style>
  <w:style w:type="paragraph" w:styleId="GWUFigureCaption" w:customStyle="1">
    <w:name w:val="GWU Figure Caption"/>
    <w:basedOn w:val="Normal"/>
    <w:qFormat/>
    <w:pPr>
      <w:keepLines/>
      <w:widowControl/>
      <w:spacing w:lineRule="auto" w:line="240" w:before="0" w:after="120"/>
      <w:ind w:hanging="0"/>
      <w:jc w:val="center"/>
    </w:pPr>
    <w:rPr>
      <w:rFonts w:ascii="Times New Roman" w:hAnsi="Times New Roman"/>
      <w:sz w:val="20"/>
    </w:rPr>
  </w:style>
  <w:style w:type="paragraph" w:styleId="GWUTableCaption" w:customStyle="1">
    <w:name w:val="GWU Table Caption"/>
    <w:basedOn w:val="Normal"/>
    <w:qFormat/>
    <w:pPr>
      <w:keepNext w:val="true"/>
      <w:keepLines/>
      <w:widowControl/>
      <w:spacing w:lineRule="auto" w:line="240" w:before="0" w:after="120"/>
      <w:ind w:hanging="0"/>
      <w:jc w:val="center"/>
    </w:pPr>
    <w:rPr>
      <w:rFonts w:ascii="Times New Roman" w:hAnsi="Times New Roman"/>
      <w:sz w:val="20"/>
    </w:rPr>
  </w:style>
  <w:style w:type="paragraph" w:styleId="PraxisTable" w:customStyle="1">
    <w:name w:val="Praxis Table"/>
    <w:basedOn w:val="Normal"/>
    <w:qFormat/>
    <w:pPr>
      <w:widowControl/>
      <w:spacing w:lineRule="auto" w:line="240" w:before="0" w:after="120"/>
      <w:ind w:hanging="0"/>
    </w:pPr>
    <w:rPr>
      <w:rFonts w:ascii="Times New Roman" w:hAnsi="Times New Roman"/>
      <w:sz w:val="20"/>
    </w:rPr>
  </w:style>
  <w:style w:type="paragraph" w:styleId="PraxisCode" w:customStyle="1">
    <w:name w:val="Praxis Code"/>
    <w:basedOn w:val="Normal"/>
    <w:qFormat/>
    <w:pPr>
      <w:widowControl/>
      <w:spacing w:lineRule="auto" w:line="240" w:before="0" w:after="120"/>
      <w:ind w:hanging="0"/>
    </w:pPr>
    <w:rPr>
      <w:rFonts w:ascii="Consolas" w:hAnsi="Consolas"/>
      <w:sz w:val="20"/>
    </w:rPr>
  </w:style>
  <w:style w:type="paragraph" w:styleId="PraxisReference" w:customStyle="1">
    <w:name w:val="Praxis Reference"/>
    <w:basedOn w:val="Normal"/>
    <w:qFormat/>
    <w:pPr>
      <w:keepLines/>
      <w:widowControl/>
      <w:spacing w:lineRule="auto" w:line="240" w:before="0" w:after="240"/>
      <w:ind w:hanging="720" w:start="720"/>
    </w:pPr>
    <w:rPr>
      <w:rFonts w:ascii="Times New Roman" w:hAnsi="Times New Roman"/>
      <w:sz w:val="24"/>
    </w:rPr>
  </w:style>
  <w:style w:type="paragraph" w:styleId="PraxisList" w:customStyle="1">
    <w:name w:val="Praxis List"/>
    <w:basedOn w:val="Normal"/>
    <w:qFormat/>
    <w:pPr>
      <w:widowControl/>
      <w:spacing w:lineRule="auto" w:line="480" w:before="0" w:after="120"/>
      <w:ind w:hanging="0"/>
    </w:pPr>
    <w:rPr>
      <w:rFonts w:ascii="Times New Roman" w:hAnsi="Times New Roman"/>
      <w:sz w:val="24"/>
    </w:rPr>
  </w:style>
  <w:style w:type="paragraph" w:styleId="GWUEquation" w:customStyle="1">
    <w:name w:val="GWU Equation"/>
    <w:basedOn w:val="Normal"/>
    <w:qFormat/>
    <w:pPr>
      <w:widowControl/>
      <w:spacing w:lineRule="auto" w:line="240" w:before="0" w:after="120"/>
      <w:ind w:hanging="0"/>
    </w:pPr>
    <w:rPr>
      <w:rFonts w:ascii="Times New Roman" w:hAnsi="Times New Roman"/>
      <w:sz w:val="24"/>
    </w:rPr>
  </w:style>
  <w:style w:type="paragraph" w:styleId="GWUIndexHeading" w:customStyle="1">
    <w:name w:val="GWU Index Heading"/>
    <w:basedOn w:val="GWUFrontHeading"/>
    <w:qFormat/>
    <w:pPr>
      <w:pageBreakBefore/>
    </w:pPr>
    <w:rPr/>
  </w:style>
  <w:style w:type="paragraph" w:styleId="TOC1" w:customStyle="1">
    <w:name w:val="toc 1"/>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name w:val="table of figures"/>
    <w:basedOn w:val="Index"/>
    <w:pPr>
      <w:tabs>
        <w:tab w:val="clear" w:pos="720"/>
        <w:tab w:val="right" w:pos="8640" w:leader="dot"/>
      </w:tabs>
      <w:spacing w:lineRule="auto" w:line="240" w:before="0" w:after="60"/>
      <w:ind w:hanging="0" w:start="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27.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image" Target="media/image28.png"/><Relationship Id="rId43" Type="http://schemas.openxmlformats.org/officeDocument/2006/relationships/header" Target="header6.xml"/><Relationship Id="rId44" Type="http://schemas.openxmlformats.org/officeDocument/2006/relationships/header" Target="header7.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header" Target="header8.xml"/><Relationship Id="rId48" Type="http://schemas.openxmlformats.org/officeDocument/2006/relationships/header" Target="header9.xml"/><Relationship Id="rId49" Type="http://schemas.openxmlformats.org/officeDocument/2006/relationships/footer" Target="footer11.xml"/><Relationship Id="rId50" Type="http://schemas.openxmlformats.org/officeDocument/2006/relationships/footer" Target="footer12.xml"/><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header" Target="header12.xml"/><Relationship Id="rId57" Type="http://schemas.openxmlformats.org/officeDocument/2006/relationships/header" Target="header13.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image" Target="media/image30.png"/><Relationship Id="rId61" Type="http://schemas.openxmlformats.org/officeDocument/2006/relationships/header" Target="header14.xml"/><Relationship Id="rId62" Type="http://schemas.openxmlformats.org/officeDocument/2006/relationships/header" Target="header15.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header" Target="header16.xml"/><Relationship Id="rId66" Type="http://schemas.openxmlformats.org/officeDocument/2006/relationships/header" Target="header17.xml"/><Relationship Id="rId67" Type="http://schemas.openxmlformats.org/officeDocument/2006/relationships/footer" Target="footer19.xml"/><Relationship Id="rId68" Type="http://schemas.openxmlformats.org/officeDocument/2006/relationships/footer" Target="footer20.xml"/><Relationship Id="rId69" Type="http://schemas.openxmlformats.org/officeDocument/2006/relationships/image" Target="media/image31.png"/><Relationship Id="rId70" Type="http://schemas.openxmlformats.org/officeDocument/2006/relationships/header" Target="header18.xml"/><Relationship Id="rId71" Type="http://schemas.openxmlformats.org/officeDocument/2006/relationships/header" Target="header19.xml"/><Relationship Id="rId72" Type="http://schemas.openxmlformats.org/officeDocument/2006/relationships/footer" Target="footer21.xml"/><Relationship Id="rId73" Type="http://schemas.openxmlformats.org/officeDocument/2006/relationships/footer" Target="footer22.xml"/><Relationship Id="rId74" Type="http://schemas.openxmlformats.org/officeDocument/2006/relationships/image" Target="media/image32.png"/><Relationship Id="rId75" Type="http://schemas.openxmlformats.org/officeDocument/2006/relationships/header" Target="header20.xml"/><Relationship Id="rId76" Type="http://schemas.openxmlformats.org/officeDocument/2006/relationships/header" Target="header21.xml"/><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header" Target="header22.xml"/><Relationship Id="rId80" Type="http://schemas.openxmlformats.org/officeDocument/2006/relationships/header" Target="header23.xml"/><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33.png"/><Relationship Id="rId84" Type="http://schemas.openxmlformats.org/officeDocument/2006/relationships/header" Target="header24.xml"/><Relationship Id="rId85" Type="http://schemas.openxmlformats.org/officeDocument/2006/relationships/header" Target="header25.xml"/><Relationship Id="rId86" Type="http://schemas.openxmlformats.org/officeDocument/2006/relationships/footer" Target="footer27.xml"/><Relationship Id="rId87" Type="http://schemas.openxmlformats.org/officeDocument/2006/relationships/footer" Target="footer28.xml"/><Relationship Id="rId88" Type="http://schemas.openxmlformats.org/officeDocument/2006/relationships/header" Target="header26.xml"/><Relationship Id="rId89" Type="http://schemas.openxmlformats.org/officeDocument/2006/relationships/header" Target="header27.xml"/><Relationship Id="rId90" Type="http://schemas.openxmlformats.org/officeDocument/2006/relationships/footer" Target="footer29.xml"/><Relationship Id="rId91" Type="http://schemas.openxmlformats.org/officeDocument/2006/relationships/footer" Target="footer30.xml"/><Relationship Id="rId92" Type="http://schemas.openxmlformats.org/officeDocument/2006/relationships/image" Target="media/image34.png"/><Relationship Id="rId93" Type="http://schemas.openxmlformats.org/officeDocument/2006/relationships/header" Target="header28.xml"/><Relationship Id="rId94" Type="http://schemas.openxmlformats.org/officeDocument/2006/relationships/header" Target="header29.xml"/><Relationship Id="rId95" Type="http://schemas.openxmlformats.org/officeDocument/2006/relationships/footer" Target="footer31.xml"/><Relationship Id="rId96" Type="http://schemas.openxmlformats.org/officeDocument/2006/relationships/footer" Target="footer32.xml"/><Relationship Id="rId97" Type="http://schemas.openxmlformats.org/officeDocument/2006/relationships/header" Target="header30.xml"/><Relationship Id="rId98" Type="http://schemas.openxmlformats.org/officeDocument/2006/relationships/header" Target="header31.xml"/><Relationship Id="rId99" Type="http://schemas.openxmlformats.org/officeDocument/2006/relationships/footer" Target="footer33.xml"/><Relationship Id="rId100" Type="http://schemas.openxmlformats.org/officeDocument/2006/relationships/footer" Target="footer34.xml"/><Relationship Id="rId101" Type="http://schemas.openxmlformats.org/officeDocument/2006/relationships/image" Target="media/image35.png"/><Relationship Id="rId102" Type="http://schemas.openxmlformats.org/officeDocument/2006/relationships/header" Target="header32.xml"/><Relationship Id="rId103" Type="http://schemas.openxmlformats.org/officeDocument/2006/relationships/header" Target="header33.xml"/><Relationship Id="rId104" Type="http://schemas.openxmlformats.org/officeDocument/2006/relationships/footer" Target="footer35.xml"/><Relationship Id="rId105" Type="http://schemas.openxmlformats.org/officeDocument/2006/relationships/footer" Target="footer36.xml"/><Relationship Id="rId106" Type="http://schemas.openxmlformats.org/officeDocument/2006/relationships/header" Target="header34.xml"/><Relationship Id="rId107" Type="http://schemas.openxmlformats.org/officeDocument/2006/relationships/header" Target="header35.xml"/><Relationship Id="rId108" Type="http://schemas.openxmlformats.org/officeDocument/2006/relationships/footer" Target="footer37.xml"/><Relationship Id="rId109" Type="http://schemas.openxmlformats.org/officeDocument/2006/relationships/footer" Target="footer38.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Relationship Id="rId1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153</Pages>
  <Words>26092</Words>
  <Characters>165013</Characters>
  <CharactersWithSpaces>186838</CharactersWithSpaces>
  <Paragraphs>4284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Gary Pagan</dc:creator>
  <dc:description>generated by python-docx</dc:description>
  <dc:language>en-US</dc:language>
  <cp:lastModifiedBy/>
  <dcterms:modified xsi:type="dcterms:W3CDTF">2026-09-28T09:18:28Z</dcterms:modified>
  <cp:revision>2</cp:revision>
  <dc:subject>Doctor of Engineering praxis; APT evaluation and attack warnings</dc:subject>
  <dc:title>When Better APT Scores Hide Missed Attack Warnings</dc:title>
</cp:coreProperties>
</file>

<file path=docProps/custom.xml><?xml version="1.0" encoding="utf-8"?>
<Properties xmlns="http://schemas.openxmlformats.org/officeDocument/2006/custom-properties" xmlns:vt="http://schemas.openxmlformats.org/officeDocument/2006/docPropsVTypes"/>
</file>