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C14BE0" w:rsidP="002C6616">
      <w:proofErr w:type="spellStart"/>
      <w:r>
        <w:t>Workpaper</w:t>
      </w:r>
      <w:proofErr w:type="spellEnd"/>
      <w:r>
        <w:t xml:space="preserve"> REST </w:t>
      </w:r>
      <w:r w:rsidR="002C6616">
        <w:t>Endpoints:</w:t>
      </w:r>
    </w:p>
    <w:p w:rsidR="00C14BE0" w:rsidRDefault="00C14BE0"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463F41" w:rsidRDefault="00463F41" w:rsidP="00F3315D">
            <w:pPr>
              <w:pStyle w:val="ListParagraph"/>
            </w:pPr>
          </w:p>
          <w:p w:rsidR="00F3315D" w:rsidRDefault="00463F41" w:rsidP="00F3315D">
            <w:pPr>
              <w:pStyle w:val="ListParagraph"/>
              <w:numPr>
                <w:ilvl w:val="0"/>
                <w:numId w:val="30"/>
              </w:numPr>
            </w:pPr>
            <w:r>
              <w:t>PUT</w:t>
            </w:r>
            <w:r w:rsidR="00F3315D">
              <w:t xml:space="preserve"> – pending</w:t>
            </w:r>
          </w:p>
          <w:p w:rsidR="00A36177" w:rsidRDefault="00A36177" w:rsidP="00A36177">
            <w:pPr>
              <w:pStyle w:val="ListParagraph"/>
            </w:pP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Default="00585A92" w:rsidP="00585A92">
            <w:bookmarkStart w:id="0" w:name="_GoBack"/>
            <w:bookmarkEnd w:id="0"/>
          </w:p>
          <w:p w:rsidR="003B7A44" w:rsidRPr="00C14BE0" w:rsidRDefault="003B7A44" w:rsidP="00585A92"/>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GET List (list of template files by client)</w:t>
            </w:r>
          </w:p>
          <w:p w:rsidR="00012447" w:rsidRDefault="00012447" w:rsidP="00012447">
            <w:pPr>
              <w:pStyle w:val="ListParagraph"/>
              <w:numPr>
                <w:ilvl w:val="0"/>
                <w:numId w:val="30"/>
              </w:numPr>
            </w:pPr>
            <w:r>
              <w:t>DELETE (binary template file and associated metadata)</w:t>
            </w:r>
          </w:p>
          <w:p w:rsidR="00012447" w:rsidRDefault="00012447" w:rsidP="009614DC"/>
          <w:p w:rsidR="003B7A44" w:rsidRPr="00C14BE0" w:rsidRDefault="003B7A44"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 (data request JSON docs)</w:t>
            </w:r>
          </w:p>
          <w:p w:rsidR="00212B0A" w:rsidRDefault="00212B0A" w:rsidP="00212B0A">
            <w:pPr>
              <w:pStyle w:val="ListParagraph"/>
              <w:numPr>
                <w:ilvl w:val="0"/>
                <w:numId w:val="30"/>
              </w:numPr>
            </w:pPr>
            <w:r>
              <w:t>GET Doc (data request JSON doc)</w:t>
            </w:r>
          </w:p>
          <w:p w:rsidR="00212B0A" w:rsidRDefault="00212B0A" w:rsidP="00212B0A">
            <w:pPr>
              <w:pStyle w:val="ListParagraph"/>
              <w:numPr>
                <w:ilvl w:val="0"/>
                <w:numId w:val="30"/>
              </w:numPr>
            </w:pPr>
            <w:r>
              <w:t>GET List (list of data request JSON docs by client)</w:t>
            </w:r>
          </w:p>
          <w:p w:rsidR="00212B0A" w:rsidRDefault="00212B0A" w:rsidP="00212B0A">
            <w:pPr>
              <w:pStyle w:val="ListParagraph"/>
              <w:numPr>
                <w:ilvl w:val="0"/>
                <w:numId w:val="30"/>
              </w:numPr>
            </w:pPr>
            <w:r>
              <w:t>DELETE (data request JSON doc)</w:t>
            </w:r>
          </w:p>
          <w:p w:rsidR="005D0873" w:rsidRDefault="005D0873" w:rsidP="009614DC"/>
          <w:p w:rsidR="002F27FB" w:rsidRDefault="002F27FB" w:rsidP="009614DC"/>
          <w:p w:rsidR="002F27FB" w:rsidRDefault="002F27FB" w:rsidP="009614DC">
            <w:r>
              <w:t>New APIs</w:t>
            </w:r>
          </w:p>
          <w:p w:rsidR="002F27FB" w:rsidRDefault="002F27FB" w:rsidP="002F27FB">
            <w:pPr>
              <w:pStyle w:val="ListParagraph"/>
              <w:numPr>
                <w:ilvl w:val="0"/>
                <w:numId w:val="31"/>
              </w:numPr>
            </w:pPr>
            <w:r>
              <w:t xml:space="preserve">GET </w:t>
            </w:r>
            <w:proofErr w:type="spellStart"/>
            <w:r>
              <w:t>dname</w:t>
            </w:r>
            <w:proofErr w:type="spellEnd"/>
            <w:r>
              <w:t xml:space="preserve"> elements by request id and </w:t>
            </w:r>
            <w:proofErr w:type="spellStart"/>
            <w:r>
              <w:t>dname</w:t>
            </w:r>
            <w:proofErr w:type="spellEnd"/>
            <w:r>
              <w:t xml:space="preserve"> (optional)</w:t>
            </w:r>
          </w:p>
          <w:p w:rsidR="002F27FB" w:rsidRDefault="002F27FB" w:rsidP="002F27FB">
            <w:pPr>
              <w:pStyle w:val="ListParagraph"/>
              <w:numPr>
                <w:ilvl w:val="0"/>
                <w:numId w:val="31"/>
              </w:numPr>
            </w:pPr>
            <w:r>
              <w:t xml:space="preserve">GET list of </w:t>
            </w:r>
            <w:proofErr w:type="spellStart"/>
            <w:r>
              <w:t>dnames</w:t>
            </w:r>
            <w:proofErr w:type="spellEnd"/>
          </w:p>
          <w:p w:rsidR="002F27FB" w:rsidRDefault="002F27FB" w:rsidP="009614DC"/>
          <w:p w:rsidR="002F27FB" w:rsidRDefault="002F27FB" w:rsidP="009614DC"/>
          <w:p w:rsidR="002F27FB" w:rsidRDefault="002F27FB" w:rsidP="009614DC"/>
        </w:tc>
      </w:tr>
      <w:tr w:rsidR="00B30237" w:rsidTr="005D0873">
        <w:tc>
          <w:tcPr>
            <w:tcW w:w="1980" w:type="dxa"/>
          </w:tcPr>
          <w:p w:rsidR="00B30237" w:rsidRDefault="00B30237" w:rsidP="009614DC">
            <w:r>
              <w:t>/suggest</w:t>
            </w:r>
          </w:p>
          <w:p w:rsidR="00B30237" w:rsidRPr="00C14BE0" w:rsidRDefault="00B30237" w:rsidP="009614DC"/>
        </w:tc>
        <w:tc>
          <w:tcPr>
            <w:tcW w:w="11520" w:type="dxa"/>
          </w:tcPr>
          <w:p w:rsidR="00B30237" w:rsidRDefault="00B30237" w:rsidP="009614DC">
            <w:r>
              <w:t>Type Ahead</w:t>
            </w:r>
          </w:p>
          <w:p w:rsidR="00D94B10" w:rsidRDefault="00D94B10" w:rsidP="009614DC"/>
          <w:p w:rsidR="00D94B10" w:rsidRPr="00C14BE0" w:rsidRDefault="00D94B10" w:rsidP="009614DC"/>
        </w:tc>
      </w:tr>
    </w:tbl>
    <w:p w:rsidR="00C14BE0" w:rsidRDefault="00C14BE0" w:rsidP="002C6616"/>
    <w:p w:rsidR="005D0873" w:rsidRDefault="005D0873"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6D0E87" w:rsidRDefault="006D0E87" w:rsidP="006D0E87">
      <w:pPr>
        <w:rPr>
          <w:b/>
          <w:bCs/>
        </w:rPr>
      </w:pPr>
      <w:r>
        <w:rPr>
          <w:b/>
          <w:bCs/>
        </w:rPr>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lastRenderedPageBreak/>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2FF" w:rsidRDefault="00AC22FF" w:rsidP="008475A3">
      <w:r>
        <w:separator/>
      </w:r>
    </w:p>
  </w:endnote>
  <w:endnote w:type="continuationSeparator" w:id="0">
    <w:p w:rsidR="00AC22FF" w:rsidRDefault="00AC22FF"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A36177">
      <w:rPr>
        <w:noProof/>
      </w:rPr>
      <w:t>1</w:t>
    </w:r>
    <w:r>
      <w:fldChar w:fldCharType="end"/>
    </w:r>
    <w:r>
      <w:t xml:space="preserve"> of </w:t>
    </w:r>
    <w:fldSimple w:instr=" NUMPAGES   \* MERGEFORMAT ">
      <w:r w:rsidR="00A36177">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2FF" w:rsidRDefault="00AC22FF" w:rsidP="008475A3">
      <w:r>
        <w:separator/>
      </w:r>
    </w:p>
  </w:footnote>
  <w:footnote w:type="continuationSeparator" w:id="0">
    <w:p w:rsidR="00AC22FF" w:rsidRDefault="00AC22FF"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4568CE"/>
    <w:multiLevelType w:val="hybridMultilevel"/>
    <w:tmpl w:val="CECE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12"/>
  </w:num>
  <w:num w:numId="6">
    <w:abstractNumId w:val="15"/>
  </w:num>
  <w:num w:numId="7">
    <w:abstractNumId w:val="23"/>
  </w:num>
  <w:num w:numId="8">
    <w:abstractNumId w:val="9"/>
  </w:num>
  <w:num w:numId="9">
    <w:abstractNumId w:val="20"/>
  </w:num>
  <w:num w:numId="10">
    <w:abstractNumId w:val="6"/>
  </w:num>
  <w:num w:numId="11">
    <w:abstractNumId w:val="1"/>
  </w:num>
  <w:num w:numId="12">
    <w:abstractNumId w:val="5"/>
  </w:num>
  <w:num w:numId="13">
    <w:abstractNumId w:val="13"/>
  </w:num>
  <w:num w:numId="14">
    <w:abstractNumId w:val="3"/>
  </w:num>
  <w:num w:numId="15">
    <w:abstractNumId w:val="4"/>
  </w:num>
  <w:num w:numId="16">
    <w:abstractNumId w:val="14"/>
  </w:num>
  <w:num w:numId="17">
    <w:abstractNumId w:val="16"/>
  </w:num>
  <w:num w:numId="18">
    <w:abstractNumId w:val="0"/>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0"/>
  </w:num>
  <w:num w:numId="28">
    <w:abstractNumId w:val="8"/>
  </w:num>
  <w:num w:numId="29">
    <w:abstractNumId w:val="19"/>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7553C"/>
    <w:rsid w:val="00284D0A"/>
    <w:rsid w:val="0029011B"/>
    <w:rsid w:val="002C6616"/>
    <w:rsid w:val="002D6CB8"/>
    <w:rsid w:val="002E33F8"/>
    <w:rsid w:val="002E4165"/>
    <w:rsid w:val="002E57FC"/>
    <w:rsid w:val="002F24D4"/>
    <w:rsid w:val="002F27FB"/>
    <w:rsid w:val="003000D5"/>
    <w:rsid w:val="0032442E"/>
    <w:rsid w:val="003B7A44"/>
    <w:rsid w:val="003C77DF"/>
    <w:rsid w:val="003C7B32"/>
    <w:rsid w:val="003D2307"/>
    <w:rsid w:val="003E3A0A"/>
    <w:rsid w:val="003F0590"/>
    <w:rsid w:val="004175B3"/>
    <w:rsid w:val="004625EF"/>
    <w:rsid w:val="00463F41"/>
    <w:rsid w:val="0046598C"/>
    <w:rsid w:val="0049057B"/>
    <w:rsid w:val="00522160"/>
    <w:rsid w:val="005246DA"/>
    <w:rsid w:val="00545F83"/>
    <w:rsid w:val="00550320"/>
    <w:rsid w:val="00581F99"/>
    <w:rsid w:val="00585A92"/>
    <w:rsid w:val="005C1CFC"/>
    <w:rsid w:val="005D0873"/>
    <w:rsid w:val="0062284E"/>
    <w:rsid w:val="006849C6"/>
    <w:rsid w:val="00694613"/>
    <w:rsid w:val="006B530D"/>
    <w:rsid w:val="006B5C02"/>
    <w:rsid w:val="006C0E83"/>
    <w:rsid w:val="006D0E87"/>
    <w:rsid w:val="006F2478"/>
    <w:rsid w:val="00712B93"/>
    <w:rsid w:val="00756EAE"/>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21FE7"/>
    <w:rsid w:val="00964572"/>
    <w:rsid w:val="00964582"/>
    <w:rsid w:val="00965258"/>
    <w:rsid w:val="00971E96"/>
    <w:rsid w:val="009911E9"/>
    <w:rsid w:val="00995F6C"/>
    <w:rsid w:val="00A30D31"/>
    <w:rsid w:val="00A31B46"/>
    <w:rsid w:val="00A36177"/>
    <w:rsid w:val="00A45BD6"/>
    <w:rsid w:val="00A73F1C"/>
    <w:rsid w:val="00AB0072"/>
    <w:rsid w:val="00AC22FF"/>
    <w:rsid w:val="00AC4713"/>
    <w:rsid w:val="00AC668B"/>
    <w:rsid w:val="00B30237"/>
    <w:rsid w:val="00B502CB"/>
    <w:rsid w:val="00B55929"/>
    <w:rsid w:val="00B635A5"/>
    <w:rsid w:val="00B71DA1"/>
    <w:rsid w:val="00B752BE"/>
    <w:rsid w:val="00B854C7"/>
    <w:rsid w:val="00BA620E"/>
    <w:rsid w:val="00BB4173"/>
    <w:rsid w:val="00BC6850"/>
    <w:rsid w:val="00C14BE0"/>
    <w:rsid w:val="00C200B1"/>
    <w:rsid w:val="00C367E9"/>
    <w:rsid w:val="00C470D9"/>
    <w:rsid w:val="00C522B0"/>
    <w:rsid w:val="00CE65FB"/>
    <w:rsid w:val="00D278BE"/>
    <w:rsid w:val="00D34A29"/>
    <w:rsid w:val="00D56B46"/>
    <w:rsid w:val="00D5771D"/>
    <w:rsid w:val="00D80D95"/>
    <w:rsid w:val="00D945FF"/>
    <w:rsid w:val="00D94B10"/>
    <w:rsid w:val="00DA4669"/>
    <w:rsid w:val="00DE64B4"/>
    <w:rsid w:val="00E019B9"/>
    <w:rsid w:val="00E03DA0"/>
    <w:rsid w:val="00E06BBB"/>
    <w:rsid w:val="00E13039"/>
    <w:rsid w:val="00E44651"/>
    <w:rsid w:val="00E52C5D"/>
    <w:rsid w:val="00E66AEF"/>
    <w:rsid w:val="00E743F4"/>
    <w:rsid w:val="00EA6B94"/>
    <w:rsid w:val="00ED0504"/>
    <w:rsid w:val="00ED41DA"/>
    <w:rsid w:val="00F3315D"/>
    <w:rsid w:val="00F4097F"/>
    <w:rsid w:val="00F602FB"/>
    <w:rsid w:val="00F6181B"/>
    <w:rsid w:val="00F63453"/>
    <w:rsid w:val="00F73043"/>
    <w:rsid w:val="00F943D6"/>
    <w:rsid w:val="00F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5492</TotalTime>
  <Pages>9</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92</cp:revision>
  <dcterms:created xsi:type="dcterms:W3CDTF">2015-02-24T19:32:00Z</dcterms:created>
  <dcterms:modified xsi:type="dcterms:W3CDTF">2015-05-14T16:41:00Z</dcterms:modified>
</cp:coreProperties>
</file>