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80424D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80424D">
        <w:rPr>
          <w:i/>
          <w:smallCaps w:val="0"/>
          <w:noProof/>
        </w:rPr>
        <w:t xml:space="preserve">LIBRO 1°, TÍTULO </w:t>
      </w:r>
      <w:r w:rsidR="00B8273E" w:rsidRPr="0080424D">
        <w:rPr>
          <w:i/>
          <w:smallCaps w:val="0"/>
          <w:noProof/>
        </w:rPr>
        <w:t>I</w:t>
      </w:r>
      <w:r w:rsidRPr="0080424D">
        <w:rPr>
          <w:i/>
          <w:smallCaps w:val="0"/>
          <w:noProof/>
        </w:rPr>
        <w:t>, C</w:t>
      </w:r>
      <w:bookmarkStart w:id="0" w:name="_GoBack"/>
      <w:bookmarkEnd w:id="0"/>
      <w:r w:rsidRPr="0080424D">
        <w:rPr>
          <w:i/>
          <w:smallCaps w:val="0"/>
          <w:noProof/>
        </w:rPr>
        <w:t>APÍTULO I</w:t>
      </w:r>
      <w:r w:rsidR="00FD467C" w:rsidRPr="0080424D">
        <w:rPr>
          <w:i/>
          <w:smallCaps w:val="0"/>
          <w:noProof/>
        </w:rPr>
        <w:t>II</w:t>
      </w:r>
    </w:p>
    <w:p w:rsidR="00FA1F21" w:rsidRPr="0080424D" w:rsidRDefault="00F54B85" w:rsidP="00F54B85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80424D">
        <w:rPr>
          <w:noProof/>
        </w:rPr>
        <w:t xml:space="preserve">ANEXO </w:t>
      </w:r>
      <w:r w:rsidR="004C5061" w:rsidRPr="0080424D">
        <w:rPr>
          <w:noProof/>
        </w:rPr>
        <w:t>4</w:t>
      </w:r>
      <w:r w:rsidRPr="0080424D">
        <w:rPr>
          <w:noProof/>
        </w:rPr>
        <w:t>:</w:t>
      </w:r>
      <w:r w:rsidRPr="0080424D">
        <w:rPr>
          <w:noProof/>
        </w:rPr>
        <w:tab/>
      </w:r>
      <w:r w:rsidR="004C5061" w:rsidRPr="0080424D">
        <w:rPr>
          <w:i/>
          <w:noProof/>
        </w:rPr>
        <w:t>Límites y Prohibiciones</w:t>
      </w:r>
    </w:p>
    <w:p w:rsidR="005968F0" w:rsidRPr="0080424D" w:rsidRDefault="005968F0" w:rsidP="005968F0">
      <w:pPr>
        <w:rPr>
          <w:noProof/>
        </w:rPr>
      </w:pPr>
    </w:p>
    <w:p w:rsidR="00F54B85" w:rsidRPr="0080424D" w:rsidRDefault="00F54B85" w:rsidP="00F54B85">
      <w:pPr>
        <w:rPr>
          <w:noProof/>
        </w:rPr>
      </w:pPr>
    </w:p>
    <w:p w:rsidR="004C5061" w:rsidRPr="0080424D" w:rsidRDefault="004C5061" w:rsidP="004C5061">
      <w:pPr>
        <w:pStyle w:val="Artculo"/>
        <w:numPr>
          <w:ilvl w:val="0"/>
          <w:numId w:val="0"/>
        </w:numPr>
        <w:spacing w:before="0"/>
        <w:rPr>
          <w:szCs w:val="22"/>
        </w:rPr>
      </w:pPr>
      <w:r w:rsidRPr="0080424D">
        <w:rPr>
          <w:szCs w:val="22"/>
        </w:rPr>
        <w:t>Las CAC Societarias deberán implementar políticas para que las nuevas operaciones no incumplan y acaten los siguientes límites y prohibiciones:</w:t>
      </w:r>
    </w:p>
    <w:p w:rsidR="004C5061" w:rsidRDefault="004C5061" w:rsidP="004C5061">
      <w:pPr>
        <w:pStyle w:val="Incisos"/>
        <w:numPr>
          <w:ilvl w:val="0"/>
          <w:numId w:val="28"/>
        </w:numPr>
        <w:tabs>
          <w:tab w:val="clear" w:pos="432"/>
          <w:tab w:val="clear" w:pos="864"/>
        </w:tabs>
        <w:ind w:left="851"/>
        <w:rPr>
          <w:szCs w:val="22"/>
        </w:rPr>
      </w:pPr>
      <w:r w:rsidRPr="0080424D">
        <w:rPr>
          <w:szCs w:val="22"/>
        </w:rPr>
        <w:t>Recibir en garantía de créditos en todo o en parte certificados de aportación de la propia CAC Societaria</w:t>
      </w:r>
      <w:r w:rsidR="00B3479A">
        <w:rPr>
          <w:szCs w:val="22"/>
        </w:rPr>
        <w:t>;</w:t>
      </w:r>
    </w:p>
    <w:p w:rsidR="003B3755" w:rsidRPr="0080424D" w:rsidRDefault="003B3755" w:rsidP="00733AB5">
      <w:pPr>
        <w:pStyle w:val="Incisos"/>
        <w:numPr>
          <w:ilvl w:val="0"/>
          <w:numId w:val="28"/>
        </w:numPr>
        <w:tabs>
          <w:tab w:val="clear" w:pos="432"/>
          <w:tab w:val="clear" w:pos="864"/>
          <w:tab w:val="num" w:pos="851"/>
        </w:tabs>
        <w:ind w:left="851" w:hanging="425"/>
        <w:rPr>
          <w:szCs w:val="22"/>
        </w:rPr>
      </w:pPr>
      <w:r>
        <w:rPr>
          <w:szCs w:val="22"/>
        </w:rPr>
        <w:t>C</w:t>
      </w:r>
      <w:r w:rsidRPr="003B3755">
        <w:rPr>
          <w:szCs w:val="22"/>
        </w:rPr>
        <w:t>onceder créditos que no se encuentren debidamente garantizados a un prestatario o grupo prestatario hasta el cinco por ciento (5%) del capital regulatorio de la entidad de intermediación financiera</w:t>
      </w:r>
      <w:r w:rsidR="00B3479A">
        <w:rPr>
          <w:szCs w:val="22"/>
        </w:rPr>
        <w:t>;</w:t>
      </w:r>
    </w:p>
    <w:p w:rsidR="004C5061" w:rsidRDefault="004C5061" w:rsidP="004C5061">
      <w:pPr>
        <w:pStyle w:val="Incisos"/>
        <w:numPr>
          <w:ilvl w:val="0"/>
          <w:numId w:val="28"/>
        </w:numPr>
        <w:tabs>
          <w:tab w:val="clear" w:pos="432"/>
          <w:tab w:val="clear" w:pos="864"/>
        </w:tabs>
        <w:ind w:left="851"/>
        <w:rPr>
          <w:szCs w:val="22"/>
        </w:rPr>
      </w:pPr>
      <w:r w:rsidRPr="0080424D">
        <w:rPr>
          <w:szCs w:val="22"/>
        </w:rPr>
        <w:t xml:space="preserve">Conceder </w:t>
      </w:r>
      <w:r w:rsidR="00C301B0">
        <w:rPr>
          <w:szCs w:val="22"/>
        </w:rPr>
        <w:t xml:space="preserve">o mantener </w:t>
      </w:r>
      <w:r w:rsidRPr="0080424D">
        <w:rPr>
          <w:szCs w:val="22"/>
        </w:rPr>
        <w:t xml:space="preserve">créditos </w:t>
      </w:r>
      <w:r w:rsidR="00C301B0">
        <w:rPr>
          <w:szCs w:val="22"/>
        </w:rPr>
        <w:t>con un solo prestatario o grupo prestatario que, en su conjunto, excedan el veinte por ciento (20%) del capital regulatorio de la entidad de intermediaci</w:t>
      </w:r>
      <w:r w:rsidR="00B3479A">
        <w:rPr>
          <w:szCs w:val="22"/>
        </w:rPr>
        <w:t>ón financiera;</w:t>
      </w:r>
    </w:p>
    <w:p w:rsidR="00F805BE" w:rsidRPr="00E90BC6" w:rsidRDefault="00F805BE" w:rsidP="004C5061">
      <w:pPr>
        <w:pStyle w:val="Incisos"/>
        <w:numPr>
          <w:ilvl w:val="0"/>
          <w:numId w:val="28"/>
        </w:numPr>
        <w:tabs>
          <w:tab w:val="clear" w:pos="432"/>
          <w:tab w:val="clear" w:pos="864"/>
        </w:tabs>
        <w:ind w:left="851"/>
        <w:rPr>
          <w:szCs w:val="22"/>
        </w:rPr>
      </w:pPr>
      <w:r w:rsidRPr="00733AB5">
        <w:rPr>
          <w:szCs w:val="22"/>
        </w:rPr>
        <w:t xml:space="preserve">Otorgar financiamientos a otra entidad de intermediación financiera nacional o extranjera </w:t>
      </w:r>
      <w:r w:rsidR="00AD649A" w:rsidRPr="00733AB5">
        <w:rPr>
          <w:szCs w:val="22"/>
        </w:rPr>
        <w:t>que excedan</w:t>
      </w:r>
      <w:r w:rsidRPr="00733AB5">
        <w:rPr>
          <w:szCs w:val="22"/>
        </w:rPr>
        <w:t xml:space="preserve"> el veinte por ciento </w:t>
      </w:r>
      <w:r w:rsidR="00B3479A" w:rsidRPr="00733AB5">
        <w:rPr>
          <w:szCs w:val="22"/>
        </w:rPr>
        <w:t>(20%) de su capital regulatorio;</w:t>
      </w:r>
    </w:p>
    <w:p w:rsidR="006F0DD8" w:rsidRPr="0080424D" w:rsidRDefault="006F0DD8" w:rsidP="004C5061">
      <w:pPr>
        <w:pStyle w:val="Incisos"/>
        <w:numPr>
          <w:ilvl w:val="0"/>
          <w:numId w:val="28"/>
        </w:numPr>
        <w:tabs>
          <w:tab w:val="clear" w:pos="432"/>
          <w:tab w:val="clear" w:pos="864"/>
        </w:tabs>
        <w:ind w:left="851"/>
        <w:rPr>
          <w:szCs w:val="22"/>
        </w:rPr>
      </w:pPr>
      <w:r>
        <w:rPr>
          <w:szCs w:val="22"/>
        </w:rPr>
        <w:t>Otorgar financiamientos a negocios inmobiliarios o corporaciones empresariales cuyo destino final sea la venta o comercialización de bienes y servicios con propósitos estrictamente comerciales, para segmentos distintos de la población objetivo de las actividades de las cooperativas de ahorro y crédito</w:t>
      </w:r>
      <w:r w:rsidR="00B3479A">
        <w:rPr>
          <w:szCs w:val="22"/>
        </w:rPr>
        <w:t>;</w:t>
      </w:r>
    </w:p>
    <w:p w:rsidR="004C5061" w:rsidRPr="0080424D" w:rsidRDefault="004C5061" w:rsidP="004C5061">
      <w:pPr>
        <w:pStyle w:val="Incisos"/>
        <w:numPr>
          <w:ilvl w:val="0"/>
          <w:numId w:val="28"/>
        </w:numPr>
        <w:tabs>
          <w:tab w:val="clear" w:pos="432"/>
          <w:tab w:val="clear" w:pos="864"/>
        </w:tabs>
        <w:ind w:left="851"/>
        <w:rPr>
          <w:szCs w:val="22"/>
        </w:rPr>
      </w:pPr>
      <w:r w:rsidRPr="0080424D">
        <w:rPr>
          <w:szCs w:val="22"/>
        </w:rPr>
        <w:t xml:space="preserve">Asimismo, las CAC Societarias no podrán redimir certificados de aportación, ni distribuir excedentes si existen pérdidas acumuladas, deficiencias en la constitución de previsiones y reservas o si con dicha distribución, se incumplen los límites técnicos y legales establecidos en la </w:t>
      </w:r>
      <w:r w:rsidR="003B3755" w:rsidRPr="0080424D">
        <w:rPr>
          <w:color w:val="0000FF"/>
          <w:szCs w:val="22"/>
        </w:rPr>
        <w:t>L</w:t>
      </w:r>
      <w:r w:rsidR="003B3755">
        <w:rPr>
          <w:color w:val="0000FF"/>
          <w:szCs w:val="22"/>
        </w:rPr>
        <w:t>S</w:t>
      </w:r>
      <w:r w:rsidR="003B3755" w:rsidRPr="0080424D">
        <w:rPr>
          <w:color w:val="0000FF"/>
          <w:szCs w:val="22"/>
        </w:rPr>
        <w:t>F</w:t>
      </w:r>
      <w:r w:rsidRPr="0080424D">
        <w:rPr>
          <w:szCs w:val="22"/>
        </w:rPr>
        <w:t>.</w:t>
      </w:r>
    </w:p>
    <w:p w:rsidR="004C5061" w:rsidRPr="0080424D" w:rsidRDefault="004C5061" w:rsidP="004C5061">
      <w:pPr>
        <w:rPr>
          <w:szCs w:val="22"/>
        </w:rPr>
      </w:pPr>
      <w:r w:rsidRPr="0080424D">
        <w:rPr>
          <w:szCs w:val="22"/>
        </w:rPr>
        <w:t>Para el control de los límites anteriormente señalados se realizará un cómputo transitorio del Patrimonio Neto, el cual considerará el capital primario más el capital secundario, constituidos por:</w:t>
      </w:r>
    </w:p>
    <w:p w:rsidR="004C5061" w:rsidRPr="0080424D" w:rsidRDefault="004C5061" w:rsidP="00733AB5">
      <w:pPr>
        <w:pStyle w:val="Incisos"/>
        <w:numPr>
          <w:ilvl w:val="0"/>
          <w:numId w:val="28"/>
        </w:numPr>
        <w:tabs>
          <w:tab w:val="clear" w:pos="432"/>
          <w:tab w:val="clear" w:pos="864"/>
        </w:tabs>
        <w:ind w:left="851"/>
        <w:rPr>
          <w:b/>
          <w:szCs w:val="22"/>
        </w:rPr>
      </w:pPr>
      <w:r w:rsidRPr="0080424D">
        <w:rPr>
          <w:b/>
          <w:szCs w:val="22"/>
        </w:rPr>
        <w:t>Capital primario:</w:t>
      </w:r>
    </w:p>
    <w:p w:rsidR="004C5061" w:rsidRPr="0080424D" w:rsidRDefault="004C5061" w:rsidP="00733AB5">
      <w:pPr>
        <w:widowControl/>
        <w:numPr>
          <w:ilvl w:val="0"/>
          <w:numId w:val="29"/>
        </w:numPr>
        <w:tabs>
          <w:tab w:val="clear" w:pos="945"/>
        </w:tabs>
        <w:spacing w:before="120" w:after="120"/>
        <w:ind w:left="1418" w:hanging="425"/>
        <w:rPr>
          <w:szCs w:val="22"/>
        </w:rPr>
      </w:pPr>
      <w:r w:rsidRPr="0080424D">
        <w:rPr>
          <w:szCs w:val="22"/>
        </w:rPr>
        <w:t>Aportes de los socios cooperativistas,</w:t>
      </w:r>
      <w:r w:rsidRPr="0080424D">
        <w:rPr>
          <w:color w:val="000000"/>
          <w:szCs w:val="22"/>
          <w:lang w:val="es-MX"/>
        </w:rPr>
        <w:t xml:space="preserve"> representados por certificados de aportación.;</w:t>
      </w:r>
    </w:p>
    <w:p w:rsidR="004C5061" w:rsidRPr="0080424D" w:rsidRDefault="004C5061" w:rsidP="00733AB5">
      <w:pPr>
        <w:widowControl/>
        <w:numPr>
          <w:ilvl w:val="0"/>
          <w:numId w:val="29"/>
        </w:numPr>
        <w:tabs>
          <w:tab w:val="clear" w:pos="945"/>
        </w:tabs>
        <w:spacing w:before="120" w:after="120"/>
        <w:ind w:left="1418" w:hanging="425"/>
        <w:rPr>
          <w:szCs w:val="22"/>
        </w:rPr>
      </w:pPr>
      <w:r w:rsidRPr="0080424D">
        <w:rPr>
          <w:szCs w:val="22"/>
        </w:rPr>
        <w:lastRenderedPageBreak/>
        <w:t>Fondo de reserva,</w:t>
      </w:r>
      <w:r w:rsidRPr="0080424D">
        <w:rPr>
          <w:color w:val="000000"/>
          <w:szCs w:val="22"/>
          <w:lang w:val="es-MX"/>
        </w:rPr>
        <w:t xml:space="preserve"> constituido por los excedentes de percepción que exponga el balance;</w:t>
      </w:r>
    </w:p>
    <w:p w:rsidR="004C5061" w:rsidRPr="0080424D" w:rsidRDefault="004C5061" w:rsidP="00733AB5">
      <w:pPr>
        <w:widowControl/>
        <w:numPr>
          <w:ilvl w:val="0"/>
          <w:numId w:val="29"/>
        </w:numPr>
        <w:tabs>
          <w:tab w:val="clear" w:pos="945"/>
        </w:tabs>
        <w:spacing w:before="120" w:after="120"/>
        <w:ind w:left="1418" w:hanging="425"/>
        <w:rPr>
          <w:szCs w:val="22"/>
        </w:rPr>
      </w:pPr>
      <w:r w:rsidRPr="0080424D">
        <w:rPr>
          <w:szCs w:val="22"/>
        </w:rPr>
        <w:t>Donaciones recibidas de libre disposición.</w:t>
      </w:r>
    </w:p>
    <w:p w:rsidR="004C5061" w:rsidRPr="0080424D" w:rsidRDefault="004C5061" w:rsidP="00733AB5">
      <w:pPr>
        <w:pStyle w:val="Incisos"/>
        <w:numPr>
          <w:ilvl w:val="0"/>
          <w:numId w:val="28"/>
        </w:numPr>
        <w:tabs>
          <w:tab w:val="clear" w:pos="432"/>
          <w:tab w:val="clear" w:pos="864"/>
        </w:tabs>
        <w:ind w:left="851"/>
        <w:rPr>
          <w:b/>
          <w:szCs w:val="22"/>
        </w:rPr>
      </w:pPr>
      <w:r w:rsidRPr="0080424D">
        <w:rPr>
          <w:b/>
          <w:szCs w:val="22"/>
        </w:rPr>
        <w:t>Capital secundario:</w:t>
      </w:r>
    </w:p>
    <w:p w:rsidR="004C5061" w:rsidRPr="0080424D" w:rsidRDefault="004C5061" w:rsidP="004C5061">
      <w:pPr>
        <w:widowControl/>
        <w:numPr>
          <w:ilvl w:val="0"/>
          <w:numId w:val="31"/>
        </w:numPr>
        <w:tabs>
          <w:tab w:val="clear" w:pos="720"/>
        </w:tabs>
        <w:spacing w:before="120" w:after="120"/>
        <w:ind w:left="1418" w:hanging="425"/>
        <w:rPr>
          <w:szCs w:val="22"/>
        </w:rPr>
      </w:pPr>
      <w:r w:rsidRPr="0080424D">
        <w:rPr>
          <w:szCs w:val="22"/>
        </w:rPr>
        <w:t>Obligaciones subordinadas con plazo de vencimiento superior a 5 años y solo hasta el 50% del capital primario;</w:t>
      </w:r>
    </w:p>
    <w:p w:rsidR="004C5061" w:rsidRPr="0080424D" w:rsidRDefault="004C5061" w:rsidP="004C5061">
      <w:pPr>
        <w:widowControl/>
        <w:numPr>
          <w:ilvl w:val="0"/>
          <w:numId w:val="31"/>
        </w:numPr>
        <w:tabs>
          <w:tab w:val="clear" w:pos="720"/>
        </w:tabs>
        <w:spacing w:before="120" w:after="120"/>
        <w:ind w:left="1418" w:hanging="425"/>
        <w:rPr>
          <w:szCs w:val="22"/>
        </w:rPr>
      </w:pPr>
      <w:r w:rsidRPr="0080424D">
        <w:rPr>
          <w:szCs w:val="22"/>
        </w:rPr>
        <w:t>Previsiones genéricas voluntarias para cubrir pérdidas futuras aún no identificadas;</w:t>
      </w:r>
    </w:p>
    <w:p w:rsidR="00F07355" w:rsidRDefault="004C5061" w:rsidP="00733AB5">
      <w:pPr>
        <w:widowControl/>
        <w:numPr>
          <w:ilvl w:val="0"/>
          <w:numId w:val="31"/>
        </w:numPr>
        <w:tabs>
          <w:tab w:val="clear" w:pos="720"/>
        </w:tabs>
        <w:spacing w:before="120" w:after="120"/>
        <w:ind w:left="1418" w:hanging="425"/>
        <w:rPr>
          <w:szCs w:val="22"/>
        </w:rPr>
      </w:pPr>
      <w:r w:rsidRPr="0080424D">
        <w:rPr>
          <w:szCs w:val="22"/>
        </w:rPr>
        <w:t>Los Certificados de Aportación (diferentes a los Certificados de Aportación Obligatorios) hasta el 10% del Total Activo.</w:t>
      </w:r>
    </w:p>
    <w:p w:rsidR="00F07355" w:rsidRPr="00F07355" w:rsidRDefault="00F07355" w:rsidP="00733AB5">
      <w:pPr>
        <w:widowControl/>
        <w:spacing w:before="120" w:after="120"/>
        <w:rPr>
          <w:szCs w:val="22"/>
        </w:rPr>
      </w:pPr>
      <w:r w:rsidRPr="00F07355">
        <w:rPr>
          <w:sz w:val="23"/>
          <w:szCs w:val="23"/>
        </w:rPr>
        <w:t>En ningún caso, el capital secundario total podrá exceder del cien por ciento (100%) del capital primario.</w:t>
      </w:r>
    </w:p>
    <w:sectPr w:rsidR="00F07355" w:rsidRPr="00F07355" w:rsidSect="00F52AA9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F1B" w:rsidRDefault="00267F1B" w:rsidP="003D6016">
      <w:r>
        <w:separator/>
      </w:r>
    </w:p>
  </w:endnote>
  <w:endnote w:type="continuationSeparator" w:id="0">
    <w:p w:rsidR="00267F1B" w:rsidRDefault="00267F1B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780F2F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780F2F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D170AD">
      <w:rPr>
        <w:noProof/>
        <w:sz w:val="18"/>
        <w:szCs w:val="18"/>
      </w:rPr>
      <w:t>I</w:t>
    </w:r>
    <w:r w:rsidR="004C5061">
      <w:rPr>
        <w:noProof/>
        <w:sz w:val="18"/>
        <w:szCs w:val="18"/>
      </w:rPr>
      <w:t>II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4C5061">
      <w:rPr>
        <w:noProof/>
        <w:sz w:val="18"/>
        <w:szCs w:val="18"/>
      </w:rPr>
      <w:t>4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E64184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AF6ADD" w:rsidRPr="00AF6ADD">
      <w:rPr>
        <w:noProof/>
        <w:sz w:val="18"/>
        <w:szCs w:val="18"/>
      </w:rPr>
      <w:t>2</w:t>
    </w:r>
  </w:p>
  <w:p w:rsidR="00E64292" w:rsidRDefault="00E64292">
    <w:pPr>
      <w:pStyle w:val="Piedepgina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0C24C6E" wp14:editId="48FB0881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1820FF5" wp14:editId="55AB14B3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AF6ADD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 w:rsidRPr="00AF6ADD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AF6ADD">
                            <w:rPr>
                              <w:i/>
                              <w:sz w:val="18"/>
                            </w:rPr>
                            <w:tab/>
                            <w:t>ASFI/2</w:t>
                          </w:r>
                          <w:r w:rsidR="00121E47">
                            <w:rPr>
                              <w:i/>
                              <w:sz w:val="18"/>
                            </w:rPr>
                            <w:t>56</w:t>
                          </w:r>
                          <w:r w:rsidRPr="00AF6ADD">
                            <w:rPr>
                              <w:i/>
                              <w:sz w:val="18"/>
                            </w:rPr>
                            <w:t>/14 (0</w:t>
                          </w:r>
                          <w:r w:rsidR="00121E47">
                            <w:rPr>
                              <w:i/>
                              <w:sz w:val="18"/>
                            </w:rPr>
                            <w:t>8</w:t>
                          </w:r>
                          <w:r w:rsidRPr="00AF6ADD">
                            <w:rPr>
                              <w:i/>
                              <w:sz w:val="18"/>
                            </w:rPr>
                            <w:t>/14</w:t>
                          </w:r>
                          <w:r w:rsidR="00E64184" w:rsidRPr="00AF6ADD">
                            <w:rPr>
                              <w:i/>
                              <w:sz w:val="18"/>
                            </w:rPr>
                            <w:t>) Modificación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AF6ADD" w:rsidP="007D3C62">
                    <w:pPr>
                      <w:rPr>
                        <w:i/>
                        <w:sz w:val="18"/>
                      </w:rPr>
                    </w:pPr>
                    <w:r w:rsidRPr="00AF6ADD">
                      <w:rPr>
                        <w:i/>
                        <w:sz w:val="18"/>
                      </w:rPr>
                      <w:t>Circular</w:t>
                    </w:r>
                    <w:r w:rsidRPr="00AF6ADD">
                      <w:rPr>
                        <w:i/>
                        <w:sz w:val="18"/>
                      </w:rPr>
                      <w:tab/>
                      <w:t>ASFI/2</w:t>
                    </w:r>
                    <w:r w:rsidR="00121E47">
                      <w:rPr>
                        <w:i/>
                        <w:sz w:val="18"/>
                      </w:rPr>
                      <w:t>56</w:t>
                    </w:r>
                    <w:r w:rsidRPr="00AF6ADD">
                      <w:rPr>
                        <w:i/>
                        <w:sz w:val="18"/>
                      </w:rPr>
                      <w:t>/14 (0</w:t>
                    </w:r>
                    <w:r w:rsidR="00121E47">
                      <w:rPr>
                        <w:i/>
                        <w:sz w:val="18"/>
                      </w:rPr>
                      <w:t>8</w:t>
                    </w:r>
                    <w:r w:rsidRPr="00AF6ADD">
                      <w:rPr>
                        <w:i/>
                        <w:sz w:val="18"/>
                      </w:rPr>
                      <w:t>/14</w:t>
                    </w:r>
                    <w:r w:rsidR="00E64184" w:rsidRPr="00AF6ADD">
                      <w:rPr>
                        <w:i/>
                        <w:sz w:val="18"/>
                      </w:rPr>
                      <w:t>) Modificación 1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F1B" w:rsidRDefault="00267F1B" w:rsidP="003D6016">
      <w:r>
        <w:separator/>
      </w:r>
    </w:p>
  </w:footnote>
  <w:footnote w:type="continuationSeparator" w:id="0">
    <w:p w:rsidR="00267F1B" w:rsidRDefault="00267F1B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733AB5" w:rsidRDefault="007F5BC4" w:rsidP="00522A57">
    <w:pPr>
      <w:pStyle w:val="Encabezado"/>
      <w:spacing w:after="240"/>
      <w:jc w:val="center"/>
      <w:rPr>
        <w:smallCaps/>
        <w:sz w:val="18"/>
        <w:szCs w:val="18"/>
        <w:u w:val="single"/>
      </w:rPr>
    </w:pPr>
    <w:r w:rsidRPr="00733AB5">
      <w:rPr>
        <w:smallCaps/>
        <w:sz w:val="18"/>
        <w:szCs w:val="18"/>
        <w:u w:val="single"/>
      </w:rPr>
      <w:t xml:space="preserve">Recopilación de Normas para </w:t>
    </w:r>
    <w:r w:rsidR="005E4409" w:rsidRPr="00733AB5">
      <w:rPr>
        <w:smallCaps/>
        <w:sz w:val="18"/>
        <w:szCs w:val="18"/>
        <w:u w:val="single"/>
      </w:rPr>
      <w:t>Servicios</w:t>
    </w:r>
    <w:r w:rsidRPr="00733AB5">
      <w:rPr>
        <w:smallCaps/>
        <w:sz w:val="18"/>
        <w:szCs w:val="18"/>
        <w:u w:val="single"/>
      </w:rPr>
      <w:t xml:space="preserve"> Financier</w:t>
    </w:r>
    <w:r w:rsidR="005E4409" w:rsidRPr="00733AB5">
      <w:rPr>
        <w:smallCaps/>
        <w:sz w:val="18"/>
        <w:szCs w:val="18"/>
        <w:u w:val="single"/>
      </w:rPr>
      <w:t>o</w:t>
    </w:r>
    <w:r w:rsidRPr="00733AB5">
      <w:rPr>
        <w:smallCaps/>
        <w:sz w:val="18"/>
        <w:szCs w:val="18"/>
        <w:u w:val="single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A0D6F"/>
    <w:multiLevelType w:val="multilevel"/>
    <w:tmpl w:val="05F870CC"/>
    <w:lvl w:ilvl="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37E4AEA"/>
    <w:multiLevelType w:val="multilevel"/>
    <w:tmpl w:val="0C34953E"/>
    <w:lvl w:ilvl="0">
      <w:start w:val="2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-2628"/>
        </w:tabs>
        <w:ind w:left="-270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124"/>
        </w:tabs>
        <w:ind w:left="-2124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1980"/>
        </w:tabs>
        <w:ind w:left="-19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1620"/>
        </w:tabs>
        <w:ind w:left="-16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260"/>
        </w:tabs>
        <w:ind w:left="-12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540"/>
        </w:tabs>
        <w:ind w:left="-5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180"/>
        </w:tabs>
        <w:ind w:left="-180" w:hanging="360"/>
      </w:pPr>
      <w:rPr>
        <w:rFonts w:hint="default"/>
      </w:rPr>
    </w:lvl>
  </w:abstractNum>
  <w:abstractNum w:abstractNumId="1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374B7E0E"/>
    <w:multiLevelType w:val="hybridMultilevel"/>
    <w:tmpl w:val="C542E7CC"/>
    <w:lvl w:ilvl="0" w:tplc="04090011">
      <w:start w:val="1"/>
      <w:numFmt w:val="decimal"/>
      <w:lvlText w:val="%1)"/>
      <w:lvlJc w:val="left"/>
      <w:pPr>
        <w:tabs>
          <w:tab w:val="num" w:pos="945"/>
        </w:tabs>
        <w:ind w:left="9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14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0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4">
    <w:nsid w:val="71E23A0D"/>
    <w:multiLevelType w:val="hybridMultilevel"/>
    <w:tmpl w:val="2088536A"/>
    <w:lvl w:ilvl="0" w:tplc="6874C50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397316A"/>
    <w:multiLevelType w:val="multilevel"/>
    <w:tmpl w:val="4198C10A"/>
    <w:lvl w:ilvl="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7">
    <w:nsid w:val="7A5F71CC"/>
    <w:multiLevelType w:val="hybridMultilevel"/>
    <w:tmpl w:val="7A0ECE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5"/>
  </w:num>
  <w:num w:numId="4">
    <w:abstractNumId w:val="20"/>
  </w:num>
  <w:num w:numId="5">
    <w:abstractNumId w:val="23"/>
  </w:num>
  <w:num w:numId="6">
    <w:abstractNumId w:val="18"/>
  </w:num>
  <w:num w:numId="7">
    <w:abstractNumId w:val="0"/>
  </w:num>
  <w:num w:numId="8">
    <w:abstractNumId w:val="16"/>
  </w:num>
  <w:num w:numId="9">
    <w:abstractNumId w:val="22"/>
  </w:num>
  <w:num w:numId="10">
    <w:abstractNumId w:val="25"/>
  </w:num>
  <w:num w:numId="11">
    <w:abstractNumId w:val="6"/>
  </w:num>
  <w:num w:numId="12">
    <w:abstractNumId w:val="14"/>
  </w:num>
  <w:num w:numId="13">
    <w:abstractNumId w:val="4"/>
  </w:num>
  <w:num w:numId="14">
    <w:abstractNumId w:val="28"/>
  </w:num>
  <w:num w:numId="15">
    <w:abstractNumId w:val="7"/>
  </w:num>
  <w:num w:numId="16">
    <w:abstractNumId w:val="8"/>
  </w:num>
  <w:num w:numId="17">
    <w:abstractNumId w:val="5"/>
  </w:num>
  <w:num w:numId="18">
    <w:abstractNumId w:val="10"/>
  </w:num>
  <w:num w:numId="19">
    <w:abstractNumId w:val="1"/>
  </w:num>
  <w:num w:numId="20">
    <w:abstractNumId w:val="1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1"/>
  </w:num>
  <w:num w:numId="24">
    <w:abstractNumId w:val="19"/>
  </w:num>
  <w:num w:numId="25">
    <w:abstractNumId w:val="17"/>
  </w:num>
  <w:num w:numId="26">
    <w:abstractNumId w:val="24"/>
  </w:num>
  <w:num w:numId="27">
    <w:abstractNumId w:val="9"/>
  </w:num>
  <w:num w:numId="28">
    <w:abstractNumId w:val="26"/>
  </w:num>
  <w:num w:numId="29">
    <w:abstractNumId w:val="13"/>
  </w:num>
  <w:num w:numId="30">
    <w:abstractNumId w:val="3"/>
  </w:num>
  <w:num w:numId="31">
    <w:abstractNumId w:val="27"/>
  </w:num>
  <w:num w:numId="32">
    <w:abstractNumId w:val="15"/>
  </w:num>
  <w:num w:numId="33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revisionView w:markup="0"/>
  <w:defaultTabStop w:val="708"/>
  <w:hyphenationZone w:val="425"/>
  <w:characterSpacingControl w:val="doNotCompress"/>
  <w:hdrShapeDefaults>
    <o:shapedefaults v:ext="edit" spidmax="409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27F7E"/>
    <w:rsid w:val="00083FA2"/>
    <w:rsid w:val="00085F47"/>
    <w:rsid w:val="000A29BB"/>
    <w:rsid w:val="00110677"/>
    <w:rsid w:val="001124CC"/>
    <w:rsid w:val="00117B50"/>
    <w:rsid w:val="00121E47"/>
    <w:rsid w:val="00124DC7"/>
    <w:rsid w:val="00147866"/>
    <w:rsid w:val="001A4D50"/>
    <w:rsid w:val="001B5258"/>
    <w:rsid w:val="001B60B6"/>
    <w:rsid w:val="001C754E"/>
    <w:rsid w:val="001D0915"/>
    <w:rsid w:val="001D3F80"/>
    <w:rsid w:val="00212D22"/>
    <w:rsid w:val="002262A9"/>
    <w:rsid w:val="002533FC"/>
    <w:rsid w:val="002544BC"/>
    <w:rsid w:val="00262910"/>
    <w:rsid w:val="00267F1B"/>
    <w:rsid w:val="002932C1"/>
    <w:rsid w:val="0029332A"/>
    <w:rsid w:val="002B76EC"/>
    <w:rsid w:val="002D3CDA"/>
    <w:rsid w:val="002D66E0"/>
    <w:rsid w:val="002E712D"/>
    <w:rsid w:val="002F1EB9"/>
    <w:rsid w:val="00300D34"/>
    <w:rsid w:val="00336DBB"/>
    <w:rsid w:val="00337DB7"/>
    <w:rsid w:val="00374E5F"/>
    <w:rsid w:val="003B334C"/>
    <w:rsid w:val="003B3755"/>
    <w:rsid w:val="003B7138"/>
    <w:rsid w:val="003D6016"/>
    <w:rsid w:val="004079A1"/>
    <w:rsid w:val="00416683"/>
    <w:rsid w:val="00456D38"/>
    <w:rsid w:val="00466F64"/>
    <w:rsid w:val="00480D38"/>
    <w:rsid w:val="00484EEB"/>
    <w:rsid w:val="004A6637"/>
    <w:rsid w:val="004B7784"/>
    <w:rsid w:val="004C5061"/>
    <w:rsid w:val="004D04C1"/>
    <w:rsid w:val="004E5C30"/>
    <w:rsid w:val="004F18A6"/>
    <w:rsid w:val="005013AF"/>
    <w:rsid w:val="00504EFC"/>
    <w:rsid w:val="00522A57"/>
    <w:rsid w:val="005308A6"/>
    <w:rsid w:val="0055775D"/>
    <w:rsid w:val="00575482"/>
    <w:rsid w:val="0059438D"/>
    <w:rsid w:val="005968F0"/>
    <w:rsid w:val="005C7BC0"/>
    <w:rsid w:val="005E4409"/>
    <w:rsid w:val="005F1316"/>
    <w:rsid w:val="006052AD"/>
    <w:rsid w:val="006836CF"/>
    <w:rsid w:val="006B0B63"/>
    <w:rsid w:val="006D295E"/>
    <w:rsid w:val="006F0A24"/>
    <w:rsid w:val="006F0DD8"/>
    <w:rsid w:val="006F4754"/>
    <w:rsid w:val="00705B99"/>
    <w:rsid w:val="00733AB5"/>
    <w:rsid w:val="00751A52"/>
    <w:rsid w:val="00757574"/>
    <w:rsid w:val="00771A64"/>
    <w:rsid w:val="00780F2F"/>
    <w:rsid w:val="007942AF"/>
    <w:rsid w:val="0079664D"/>
    <w:rsid w:val="007A1F6F"/>
    <w:rsid w:val="007C09C1"/>
    <w:rsid w:val="007C72B8"/>
    <w:rsid w:val="007D3C62"/>
    <w:rsid w:val="007E5F57"/>
    <w:rsid w:val="007F5BC4"/>
    <w:rsid w:val="0080424D"/>
    <w:rsid w:val="008054AF"/>
    <w:rsid w:val="008141FC"/>
    <w:rsid w:val="00821A46"/>
    <w:rsid w:val="00831701"/>
    <w:rsid w:val="00834922"/>
    <w:rsid w:val="00836D73"/>
    <w:rsid w:val="00857961"/>
    <w:rsid w:val="00875DEF"/>
    <w:rsid w:val="00881696"/>
    <w:rsid w:val="00883CFA"/>
    <w:rsid w:val="008B3F50"/>
    <w:rsid w:val="008C482F"/>
    <w:rsid w:val="008C50CD"/>
    <w:rsid w:val="008E1C68"/>
    <w:rsid w:val="008F27E5"/>
    <w:rsid w:val="00900095"/>
    <w:rsid w:val="009008E9"/>
    <w:rsid w:val="00916689"/>
    <w:rsid w:val="00926822"/>
    <w:rsid w:val="009555AB"/>
    <w:rsid w:val="00985A60"/>
    <w:rsid w:val="009A209A"/>
    <w:rsid w:val="009C28DB"/>
    <w:rsid w:val="009D29E2"/>
    <w:rsid w:val="009D47AD"/>
    <w:rsid w:val="00A019B6"/>
    <w:rsid w:val="00A448DC"/>
    <w:rsid w:val="00A51CBC"/>
    <w:rsid w:val="00A67611"/>
    <w:rsid w:val="00A73AFF"/>
    <w:rsid w:val="00A817F0"/>
    <w:rsid w:val="00A91C0D"/>
    <w:rsid w:val="00AA02AF"/>
    <w:rsid w:val="00AA22DD"/>
    <w:rsid w:val="00AD649A"/>
    <w:rsid w:val="00AF6ADD"/>
    <w:rsid w:val="00B33540"/>
    <w:rsid w:val="00B3479A"/>
    <w:rsid w:val="00B63B3E"/>
    <w:rsid w:val="00B7705D"/>
    <w:rsid w:val="00B8273E"/>
    <w:rsid w:val="00BB1BC5"/>
    <w:rsid w:val="00BB5C01"/>
    <w:rsid w:val="00BD073D"/>
    <w:rsid w:val="00C10113"/>
    <w:rsid w:val="00C174B2"/>
    <w:rsid w:val="00C301B0"/>
    <w:rsid w:val="00C34CCC"/>
    <w:rsid w:val="00C4306C"/>
    <w:rsid w:val="00C61D49"/>
    <w:rsid w:val="00C77DFC"/>
    <w:rsid w:val="00CC1CFD"/>
    <w:rsid w:val="00CC5208"/>
    <w:rsid w:val="00CC57A3"/>
    <w:rsid w:val="00CC5C89"/>
    <w:rsid w:val="00CC73D8"/>
    <w:rsid w:val="00CD7862"/>
    <w:rsid w:val="00CE0D4B"/>
    <w:rsid w:val="00D008D5"/>
    <w:rsid w:val="00D0525E"/>
    <w:rsid w:val="00D05779"/>
    <w:rsid w:val="00D170AD"/>
    <w:rsid w:val="00D60FAA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028BD"/>
    <w:rsid w:val="00E11FF4"/>
    <w:rsid w:val="00E270FA"/>
    <w:rsid w:val="00E34496"/>
    <w:rsid w:val="00E4016B"/>
    <w:rsid w:val="00E64184"/>
    <w:rsid w:val="00E64292"/>
    <w:rsid w:val="00E90BC6"/>
    <w:rsid w:val="00EB5EFB"/>
    <w:rsid w:val="00F044B8"/>
    <w:rsid w:val="00F07355"/>
    <w:rsid w:val="00F16E94"/>
    <w:rsid w:val="00F52AA9"/>
    <w:rsid w:val="00F54B85"/>
    <w:rsid w:val="00F728C3"/>
    <w:rsid w:val="00F805BE"/>
    <w:rsid w:val="00F97F54"/>
    <w:rsid w:val="00FA1F21"/>
    <w:rsid w:val="00FA3960"/>
    <w:rsid w:val="00FA51A2"/>
    <w:rsid w:val="00FB1286"/>
    <w:rsid w:val="00FC2DFB"/>
    <w:rsid w:val="00FD243C"/>
    <w:rsid w:val="00FD467C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EA9F6-F7EC-4375-B558-FC736E13D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359</Words>
  <Characters>1980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EVAH</cp:lastModifiedBy>
  <cp:revision>23</cp:revision>
  <cp:lastPrinted>2014-08-01T19:40:00Z</cp:lastPrinted>
  <dcterms:created xsi:type="dcterms:W3CDTF">2012-09-07T18:50:00Z</dcterms:created>
  <dcterms:modified xsi:type="dcterms:W3CDTF">2014-08-11T18:28:00Z</dcterms:modified>
</cp:coreProperties>
</file>