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2474C0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2474C0">
        <w:rPr>
          <w:i/>
          <w:smallCaps w:val="0"/>
          <w:noProof/>
        </w:rPr>
        <w:t xml:space="preserve">LIBRO </w:t>
      </w:r>
      <w:r w:rsidR="00E00ECC">
        <w:rPr>
          <w:i/>
          <w:smallCaps w:val="0"/>
          <w:noProof/>
        </w:rPr>
        <w:t>1</w:t>
      </w:r>
      <w:r w:rsidRPr="002474C0">
        <w:rPr>
          <w:i/>
          <w:smallCaps w:val="0"/>
          <w:noProof/>
        </w:rPr>
        <w:t xml:space="preserve">°, TÍTULO </w:t>
      </w:r>
      <w:r w:rsidR="00027F7E" w:rsidRPr="002474C0">
        <w:rPr>
          <w:i/>
          <w:smallCaps w:val="0"/>
          <w:noProof/>
        </w:rPr>
        <w:t>V</w:t>
      </w:r>
      <w:r w:rsidRPr="002474C0">
        <w:rPr>
          <w:i/>
          <w:smallCaps w:val="0"/>
          <w:noProof/>
        </w:rPr>
        <w:t>, CAPÍTULO I</w:t>
      </w:r>
    </w:p>
    <w:p w:rsidR="00FA1F21" w:rsidRPr="002474C0" w:rsidRDefault="00F54B85" w:rsidP="00056CF6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2474C0">
        <w:rPr>
          <w:noProof/>
        </w:rPr>
        <w:t xml:space="preserve">ANEXO </w:t>
      </w:r>
      <w:r w:rsidR="006C13DB" w:rsidRPr="002474C0">
        <w:rPr>
          <w:noProof/>
        </w:rPr>
        <w:t>10</w:t>
      </w:r>
      <w:r w:rsidRPr="002474C0">
        <w:rPr>
          <w:noProof/>
        </w:rPr>
        <w:t>:</w:t>
      </w:r>
      <w:r w:rsidRPr="002474C0">
        <w:rPr>
          <w:noProof/>
        </w:rPr>
        <w:tab/>
      </w:r>
      <w:r w:rsidR="00610194" w:rsidRPr="002474C0">
        <w:rPr>
          <w:i/>
          <w:noProof/>
        </w:rPr>
        <w:t xml:space="preserve">Estado de </w:t>
      </w:r>
      <w:r w:rsidR="001D301A" w:rsidRPr="002474C0">
        <w:rPr>
          <w:i/>
          <w:noProof/>
        </w:rPr>
        <w:t xml:space="preserve">Ganancias y Pérdidas </w:t>
      </w:r>
      <w:r w:rsidR="00610194" w:rsidRPr="002474C0">
        <w:rPr>
          <w:i/>
          <w:noProof/>
        </w:rPr>
        <w:t>Consolidado</w:t>
      </w:r>
    </w:p>
    <w:p w:rsidR="005968F0" w:rsidRPr="002474C0" w:rsidRDefault="005968F0" w:rsidP="00056CF6">
      <w:pPr>
        <w:rPr>
          <w:noProof/>
        </w:rPr>
      </w:pPr>
    </w:p>
    <w:p w:rsidR="007E0C02" w:rsidRPr="002474C0" w:rsidRDefault="007E0C02" w:rsidP="00056CF6">
      <w:pPr>
        <w:rPr>
          <w:noProof/>
        </w:rPr>
      </w:pPr>
    </w:p>
    <w:p w:rsidR="001D301A" w:rsidRPr="002474C0" w:rsidRDefault="001D301A" w:rsidP="00056CF6">
      <w:pPr>
        <w:jc w:val="center"/>
        <w:rPr>
          <w:b/>
          <w:szCs w:val="18"/>
        </w:rPr>
      </w:pPr>
      <w:r w:rsidRPr="002474C0">
        <w:rPr>
          <w:b/>
          <w:szCs w:val="18"/>
        </w:rPr>
        <w:t xml:space="preserve">POR LOS EJERCICIOS FINALIZADOS </w:t>
      </w:r>
      <w:proofErr w:type="gramStart"/>
      <w:r w:rsidRPr="002474C0">
        <w:rPr>
          <w:b/>
          <w:szCs w:val="18"/>
        </w:rPr>
        <w:t xml:space="preserve">AL </w:t>
      </w:r>
      <w:r w:rsidR="00C62FDA" w:rsidRPr="002474C0">
        <w:rPr>
          <w:b/>
          <w:szCs w:val="18"/>
        </w:rPr>
        <w:t>…</w:t>
      </w:r>
      <w:proofErr w:type="gramEnd"/>
      <w:r w:rsidRPr="002474C0">
        <w:rPr>
          <w:b/>
          <w:szCs w:val="18"/>
        </w:rPr>
        <w:t xml:space="preserve"> DE </w:t>
      </w:r>
      <w:r w:rsidR="00C62FDA" w:rsidRPr="002474C0">
        <w:rPr>
          <w:b/>
          <w:szCs w:val="18"/>
        </w:rPr>
        <w:t>….</w:t>
      </w:r>
    </w:p>
    <w:p w:rsidR="008C10B0" w:rsidRPr="002474C0" w:rsidRDefault="001D301A" w:rsidP="00056CF6">
      <w:pPr>
        <w:jc w:val="center"/>
        <w:rPr>
          <w:b/>
          <w:szCs w:val="18"/>
        </w:rPr>
      </w:pPr>
      <w:r w:rsidRPr="002474C0">
        <w:rPr>
          <w:b/>
          <w:szCs w:val="18"/>
        </w:rPr>
        <w:t xml:space="preserve">DE </w:t>
      </w:r>
      <w:r w:rsidR="00610194" w:rsidRPr="002474C0">
        <w:rPr>
          <w:b/>
          <w:szCs w:val="18"/>
        </w:rPr>
        <w:t>…</w:t>
      </w:r>
      <w:proofErr w:type="gramStart"/>
      <w:r w:rsidR="00610194" w:rsidRPr="002474C0">
        <w:rPr>
          <w:b/>
          <w:szCs w:val="18"/>
        </w:rPr>
        <w:t>..</w:t>
      </w:r>
      <w:proofErr w:type="gramEnd"/>
      <w:r w:rsidR="00610194" w:rsidRPr="002474C0">
        <w:rPr>
          <w:b/>
          <w:szCs w:val="18"/>
        </w:rPr>
        <w:t xml:space="preserve"> </w:t>
      </w:r>
      <w:proofErr w:type="gramStart"/>
      <w:r w:rsidRPr="002474C0">
        <w:rPr>
          <w:b/>
          <w:szCs w:val="18"/>
        </w:rPr>
        <w:t>Y</w:t>
      </w:r>
      <w:r w:rsidR="00610194" w:rsidRPr="002474C0">
        <w:rPr>
          <w:b/>
          <w:szCs w:val="18"/>
        </w:rPr>
        <w:t xml:space="preserve"> ….</w:t>
      </w:r>
      <w:proofErr w:type="gramEnd"/>
    </w:p>
    <w:p w:rsidR="003620A0" w:rsidRPr="002474C0" w:rsidRDefault="00610194" w:rsidP="00056CF6">
      <w:pPr>
        <w:jc w:val="center"/>
        <w:rPr>
          <w:b/>
          <w:szCs w:val="18"/>
        </w:rPr>
      </w:pPr>
      <w:r w:rsidRPr="002474C0">
        <w:rPr>
          <w:b/>
          <w:szCs w:val="18"/>
        </w:rPr>
        <w:t>(EN MILES DE BOLIVIANOS)</w:t>
      </w:r>
    </w:p>
    <w:p w:rsidR="003620A0" w:rsidRPr="002474C0" w:rsidRDefault="003620A0" w:rsidP="00056CF6"/>
    <w:p w:rsidR="00610194" w:rsidRPr="002474C0" w:rsidRDefault="00610194" w:rsidP="00056CF6"/>
    <w:tbl>
      <w:tblPr>
        <w:tblW w:w="48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5"/>
        <w:gridCol w:w="1122"/>
        <w:gridCol w:w="1542"/>
      </w:tblGrid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824289">
            <w:pPr>
              <w:jc w:val="right"/>
              <w:rPr>
                <w:b/>
                <w:snapToGrid w:val="0"/>
                <w:color w:val="000000"/>
                <w:sz w:val="20"/>
                <w:szCs w:val="18"/>
              </w:rPr>
            </w:pPr>
          </w:p>
        </w:tc>
        <w:tc>
          <w:tcPr>
            <w:tcW w:w="660" w:type="pct"/>
            <w:tcBorders>
              <w:bottom w:val="single" w:sz="4" w:space="0" w:color="auto"/>
            </w:tcBorders>
            <w:vAlign w:val="center"/>
          </w:tcPr>
          <w:p w:rsidR="00824289" w:rsidRPr="00E00ECC" w:rsidRDefault="00824289" w:rsidP="00824289">
            <w:pPr>
              <w:jc w:val="center"/>
              <w:rPr>
                <w:rFonts w:eastAsia="Arial Unicode MS"/>
                <w:b/>
                <w:smallCaps/>
                <w:sz w:val="18"/>
                <w:szCs w:val="18"/>
              </w:rPr>
            </w:pPr>
            <w:r w:rsidRPr="00E00ECC">
              <w:rPr>
                <w:b/>
                <w:snapToGrid w:val="0"/>
                <w:color w:val="000000"/>
                <w:sz w:val="18"/>
                <w:szCs w:val="18"/>
              </w:rPr>
              <w:t>NOTAS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E00ECC" w:rsidRDefault="00824289" w:rsidP="00056CF6">
            <w:pPr>
              <w:jc w:val="left"/>
              <w:rPr>
                <w:rFonts w:eastAsia="Arial Unicode MS"/>
                <w:b/>
                <w:smallCaps/>
                <w:sz w:val="18"/>
                <w:szCs w:val="18"/>
              </w:rPr>
            </w:pPr>
            <w:r w:rsidRPr="00E00ECC">
              <w:rPr>
                <w:rFonts w:eastAsia="Arial Unicode MS"/>
                <w:b/>
                <w:smallCaps/>
                <w:sz w:val="18"/>
                <w:szCs w:val="18"/>
              </w:rPr>
              <w:t xml:space="preserve"> 200X        200Y</w:t>
            </w: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601B85" w:rsidP="004D1C87">
            <w:pPr>
              <w:jc w:val="left"/>
              <w:rPr>
                <w:strike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Ingresos o</w:t>
            </w:r>
            <w:r w:rsidR="00824289" w:rsidRPr="002474C0">
              <w:rPr>
                <w:snapToGrid w:val="0"/>
                <w:color w:val="000000"/>
                <w:sz w:val="20"/>
                <w:szCs w:val="18"/>
              </w:rPr>
              <w:t xml:space="preserve">rdinarios </w:t>
            </w:r>
            <w:r w:rsidR="009C0713" w:rsidRPr="002474C0">
              <w:rPr>
                <w:snapToGrid w:val="0"/>
                <w:color w:val="000000"/>
                <w:sz w:val="20"/>
                <w:szCs w:val="18"/>
              </w:rPr>
              <w:t>(*)</w:t>
            </w:r>
          </w:p>
        </w:tc>
        <w:tc>
          <w:tcPr>
            <w:tcW w:w="660" w:type="pct"/>
            <w:tcBorders>
              <w:top w:val="single" w:sz="4" w:space="0" w:color="auto"/>
            </w:tcBorders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3D43E7">
            <w:pPr>
              <w:jc w:val="left"/>
              <w:rPr>
                <w:strike/>
                <w:snapToGrid w:val="0"/>
                <w:sz w:val="20"/>
                <w:szCs w:val="18"/>
              </w:rPr>
            </w:pPr>
            <w:r w:rsidRPr="002474C0">
              <w:rPr>
                <w:snapToGrid w:val="0"/>
                <w:sz w:val="20"/>
                <w:szCs w:val="18"/>
              </w:rPr>
              <w:t xml:space="preserve">Gastos </w:t>
            </w:r>
            <w:r w:rsidR="00601B85" w:rsidRPr="002474C0">
              <w:rPr>
                <w:snapToGrid w:val="0"/>
                <w:color w:val="000000"/>
                <w:sz w:val="20"/>
                <w:szCs w:val="18"/>
              </w:rPr>
              <w:t>o</w:t>
            </w:r>
            <w:r w:rsidRPr="002474C0">
              <w:rPr>
                <w:snapToGrid w:val="0"/>
                <w:color w:val="000000"/>
                <w:sz w:val="20"/>
                <w:szCs w:val="18"/>
              </w:rPr>
              <w:t>rdinarios</w:t>
            </w:r>
            <w:r w:rsidRPr="002474C0">
              <w:rPr>
                <w:snapToGrid w:val="0"/>
                <w:sz w:val="20"/>
                <w:szCs w:val="18"/>
              </w:rPr>
              <w:t xml:space="preserve"> </w:t>
            </w:r>
            <w:r w:rsidR="009C0713" w:rsidRPr="002474C0">
              <w:rPr>
                <w:snapToGrid w:val="0"/>
                <w:sz w:val="20"/>
                <w:szCs w:val="18"/>
              </w:rPr>
              <w:t>(*)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4D1C87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      Resultado ordinario bruto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Otros ingresos operativos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Otros gastos operativos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289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252CCB">
            <w:pPr>
              <w:jc w:val="left"/>
              <w:rPr>
                <w:b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       Resultado de operación</w:t>
            </w:r>
            <w:r w:rsidR="00252CCB"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 </w:t>
            </w: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>bruto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Recuperación de activos financieros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Cargos por incobrabilidad y desvalorización de activos financieros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b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      Resultado de operación después de incobrables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b/>
                <w:bCs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Gastos de administración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b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      Resultado de operación neto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rFonts w:eastAsia="Arial Unicode MS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rFonts w:eastAsia="Arial Unicode MS"/>
                <w:b/>
                <w:bCs/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24406B" w:rsidP="00601B85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Ajuste por inflación</w:t>
            </w:r>
            <w:r w:rsidR="00601B85" w:rsidRPr="002474C0">
              <w:rPr>
                <w:snapToGrid w:val="0"/>
                <w:color w:val="000000"/>
                <w:sz w:val="20"/>
                <w:szCs w:val="18"/>
              </w:rPr>
              <w:t>, d</w:t>
            </w:r>
            <w:r w:rsidRPr="002474C0">
              <w:rPr>
                <w:snapToGrid w:val="0"/>
                <w:color w:val="000000"/>
                <w:sz w:val="20"/>
                <w:szCs w:val="18"/>
              </w:rPr>
              <w:t xml:space="preserve">iferencia de </w:t>
            </w:r>
            <w:r w:rsidR="00601B85" w:rsidRPr="002474C0">
              <w:rPr>
                <w:snapToGrid w:val="0"/>
                <w:color w:val="000000"/>
                <w:sz w:val="20"/>
                <w:szCs w:val="18"/>
              </w:rPr>
              <w:t>c</w:t>
            </w:r>
            <w:r w:rsidRPr="002474C0">
              <w:rPr>
                <w:snapToGrid w:val="0"/>
                <w:color w:val="000000"/>
                <w:sz w:val="20"/>
                <w:szCs w:val="18"/>
              </w:rPr>
              <w:t xml:space="preserve">ambio y </w:t>
            </w:r>
            <w:r w:rsidR="00601B85" w:rsidRPr="002474C0">
              <w:rPr>
                <w:snapToGrid w:val="0"/>
                <w:color w:val="000000"/>
                <w:sz w:val="20"/>
                <w:szCs w:val="18"/>
              </w:rPr>
              <w:t>m</w:t>
            </w:r>
            <w:r w:rsidRPr="002474C0">
              <w:rPr>
                <w:snapToGrid w:val="0"/>
                <w:color w:val="000000"/>
                <w:sz w:val="20"/>
                <w:szCs w:val="18"/>
              </w:rPr>
              <w:t>antenimiento de valor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6858FF">
            <w:pPr>
              <w:ind w:left="365"/>
              <w:jc w:val="left"/>
              <w:rPr>
                <w:b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Resultado después de ajuste por </w:t>
            </w:r>
            <w:r w:rsidR="0024406B"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inflación, </w:t>
            </w: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>diferencia de cambio y mantenimiento de  valor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mallCaps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 xml:space="preserve">Ingresos extraordinarios 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Gastos extraordinarios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6858FF">
            <w:pPr>
              <w:ind w:left="365" w:right="328" w:hanging="365"/>
              <w:jc w:val="left"/>
              <w:rPr>
                <w:b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      Resultado neto del ejercicio antes de ajustes de gestiones anteriores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 xml:space="preserve">Ingresos de gestiones anteriores 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Gastos de gestiones anteriores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6858FF">
            <w:pPr>
              <w:ind w:firstLine="365"/>
              <w:jc w:val="left"/>
              <w:rPr>
                <w:b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>Resultado antes de impuestos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Impuesto sobre las utilidades de las empresas (IUE)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left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snapToGrid w:val="0"/>
                <w:color w:val="000000"/>
                <w:sz w:val="20"/>
                <w:szCs w:val="18"/>
              </w:rPr>
              <w:t>Resultado participación minoritaria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601B85" w:rsidP="00601B85">
            <w:pPr>
              <w:ind w:left="365"/>
              <w:jc w:val="left"/>
              <w:rPr>
                <w:b/>
                <w:snapToGrid w:val="0"/>
                <w:color w:val="000000"/>
                <w:sz w:val="20"/>
                <w:szCs w:val="18"/>
              </w:rPr>
            </w:pP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>Resultado n</w:t>
            </w:r>
            <w:r w:rsidR="00824289" w:rsidRPr="002474C0">
              <w:rPr>
                <w:b/>
                <w:snapToGrid w:val="0"/>
                <w:color w:val="000000"/>
                <w:sz w:val="20"/>
                <w:szCs w:val="18"/>
              </w:rPr>
              <w:t xml:space="preserve">eto de la </w:t>
            </w:r>
            <w:r w:rsidRPr="002474C0">
              <w:rPr>
                <w:b/>
                <w:snapToGrid w:val="0"/>
                <w:color w:val="000000"/>
                <w:sz w:val="20"/>
                <w:szCs w:val="18"/>
              </w:rPr>
              <w:t>g</w:t>
            </w:r>
            <w:r w:rsidR="00824289" w:rsidRPr="002474C0">
              <w:rPr>
                <w:b/>
                <w:snapToGrid w:val="0"/>
                <w:color w:val="000000"/>
                <w:sz w:val="20"/>
                <w:szCs w:val="18"/>
              </w:rPr>
              <w:t>estión</w:t>
            </w: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  <w:tr w:rsidR="00824289" w:rsidRPr="002474C0" w:rsidTr="002656C7">
        <w:trPr>
          <w:trHeight w:val="331"/>
          <w:jc w:val="center"/>
        </w:trPr>
        <w:tc>
          <w:tcPr>
            <w:tcW w:w="3433" w:type="pct"/>
            <w:tcBorders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b/>
                <w:snapToGrid w:val="0"/>
                <w:color w:val="000000"/>
                <w:sz w:val="20"/>
                <w:szCs w:val="16"/>
              </w:rPr>
            </w:pPr>
          </w:p>
        </w:tc>
        <w:tc>
          <w:tcPr>
            <w:tcW w:w="660" w:type="pct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907" w:type="pct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24289" w:rsidRPr="002474C0" w:rsidRDefault="00824289" w:rsidP="00056CF6">
            <w:pPr>
              <w:jc w:val="left"/>
              <w:rPr>
                <w:snapToGrid w:val="0"/>
                <w:color w:val="000000"/>
                <w:sz w:val="18"/>
                <w:szCs w:val="18"/>
              </w:rPr>
            </w:pPr>
          </w:p>
        </w:tc>
      </w:tr>
    </w:tbl>
    <w:p w:rsidR="001D301A" w:rsidRPr="002474C0" w:rsidRDefault="001D301A" w:rsidP="003620A0"/>
    <w:p w:rsidR="002656C7" w:rsidRPr="002474C0" w:rsidRDefault="002656C7" w:rsidP="003620A0">
      <w:pPr>
        <w:rPr>
          <w:b/>
          <w:i/>
        </w:rPr>
      </w:pPr>
    </w:p>
    <w:p w:rsidR="00610194" w:rsidRPr="002474C0" w:rsidRDefault="00610194" w:rsidP="003620A0">
      <w:pPr>
        <w:rPr>
          <w:i/>
        </w:rPr>
      </w:pPr>
      <w:r w:rsidRPr="002474C0">
        <w:rPr>
          <w:i/>
        </w:rPr>
        <w:lastRenderedPageBreak/>
        <w:t xml:space="preserve">Las notas </w:t>
      </w:r>
      <w:r w:rsidR="005140F7" w:rsidRPr="002474C0">
        <w:rPr>
          <w:i/>
        </w:rPr>
        <w:t>1 a la</w:t>
      </w:r>
      <w:r w:rsidRPr="002474C0">
        <w:rPr>
          <w:i/>
        </w:rPr>
        <w:t>.... adjuntas son parte integrante de est</w:t>
      </w:r>
      <w:r w:rsidR="005662B2" w:rsidRPr="002474C0">
        <w:rPr>
          <w:i/>
        </w:rPr>
        <w:t>e Estado Financiero</w:t>
      </w:r>
      <w:r w:rsidR="009C0713" w:rsidRPr="002474C0">
        <w:rPr>
          <w:i/>
        </w:rPr>
        <w:t xml:space="preserve">, </w:t>
      </w:r>
      <w:r w:rsidR="005140F7" w:rsidRPr="002474C0">
        <w:rPr>
          <w:i/>
        </w:rPr>
        <w:t>la</w:t>
      </w:r>
      <w:r w:rsidR="009C0713" w:rsidRPr="002474C0">
        <w:rPr>
          <w:i/>
        </w:rPr>
        <w:t>s cuales deben prepararse en el marco de lo dispuesto en el Manual de Cuentas para Entidades Financieras de la Autoridad de Supervisión del Sistema Financiero.</w:t>
      </w:r>
    </w:p>
    <w:p w:rsidR="005140F7" w:rsidRPr="002474C0" w:rsidRDefault="005140F7" w:rsidP="003620A0">
      <w:pPr>
        <w:rPr>
          <w:i/>
        </w:rPr>
      </w:pPr>
    </w:p>
    <w:p w:rsidR="004C57A4" w:rsidRPr="002474C0" w:rsidRDefault="004C57A4" w:rsidP="004C57A4">
      <w:pPr>
        <w:pStyle w:val="BodyText"/>
        <w:spacing w:after="0"/>
        <w:rPr>
          <w:i/>
        </w:rPr>
      </w:pPr>
      <w:r w:rsidRPr="002474C0">
        <w:rPr>
          <w:i/>
        </w:rPr>
        <w:t>La elaboración de este Estado Financiero, debe realizarse considerando la clasificación dispuesta en el Anexo 17: Guía para la elaboración del Estado de Ganancias y Pérdidas Consolidado.</w:t>
      </w:r>
    </w:p>
    <w:p w:rsidR="004C57A4" w:rsidRPr="002474C0" w:rsidRDefault="004C57A4" w:rsidP="003620A0">
      <w:pPr>
        <w:rPr>
          <w:i/>
        </w:rPr>
      </w:pPr>
    </w:p>
    <w:p w:rsidR="005140F7" w:rsidRPr="007E0C02" w:rsidRDefault="005140F7" w:rsidP="003620A0">
      <w:pPr>
        <w:rPr>
          <w:i/>
        </w:rPr>
      </w:pPr>
      <w:r w:rsidRPr="002474C0">
        <w:rPr>
          <w:i/>
        </w:rPr>
        <w:t>(*) Corresponde a los ingresos y gastos</w:t>
      </w:r>
      <w:r w:rsidR="00452BAE" w:rsidRPr="002474C0">
        <w:rPr>
          <w:i/>
        </w:rPr>
        <w:t>,</w:t>
      </w:r>
      <w:r w:rsidRPr="002474C0">
        <w:rPr>
          <w:i/>
        </w:rPr>
        <w:t xml:space="preserve"> financieros y por comisiones generados en</w:t>
      </w:r>
      <w:r w:rsidR="001A24F8" w:rsidRPr="002474C0">
        <w:rPr>
          <w:i/>
        </w:rPr>
        <w:t xml:space="preserve"> la prestación de servicios por parte de las entidades que conforman el conglomerado.</w:t>
      </w:r>
      <w:r w:rsidRPr="007E0C02">
        <w:rPr>
          <w:i/>
        </w:rPr>
        <w:t xml:space="preserve">  </w:t>
      </w:r>
    </w:p>
    <w:p w:rsidR="00610194" w:rsidRPr="007E0C02" w:rsidRDefault="00610194" w:rsidP="003620A0"/>
    <w:p w:rsidR="00610194" w:rsidRPr="007E0C02" w:rsidRDefault="00610194" w:rsidP="003620A0"/>
    <w:p w:rsidR="00610194" w:rsidRPr="007E0C02" w:rsidRDefault="00610194" w:rsidP="003620A0"/>
    <w:p w:rsidR="00610194" w:rsidRPr="007E0C02" w:rsidRDefault="00610194" w:rsidP="003620A0"/>
    <w:p w:rsidR="003620A0" w:rsidRPr="007E0C02" w:rsidRDefault="003620A0" w:rsidP="003620A0">
      <w:pPr>
        <w:pStyle w:val="BodyText"/>
        <w:spacing w:after="0"/>
      </w:pPr>
    </w:p>
    <w:p w:rsidR="003620A0" w:rsidRPr="007E0C02" w:rsidRDefault="003620A0" w:rsidP="003620A0">
      <w:pPr>
        <w:pStyle w:val="BodyText"/>
        <w:spacing w:after="0"/>
      </w:pPr>
    </w:p>
    <w:sectPr w:rsidR="003620A0" w:rsidRPr="007E0C02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481" w:rsidRDefault="00AD1481" w:rsidP="003D6016">
      <w:r>
        <w:separator/>
      </w:r>
    </w:p>
  </w:endnote>
  <w:endnote w:type="continuationSeparator" w:id="0">
    <w:p w:rsidR="00AD1481" w:rsidRDefault="00AD148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C5DA0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1862D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C5DA0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E028BD">
      <w:rPr>
        <w:noProof/>
        <w:sz w:val="18"/>
        <w:szCs w:val="18"/>
      </w:rPr>
      <w:t>V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C13DB">
      <w:rPr>
        <w:noProof/>
        <w:sz w:val="18"/>
        <w:szCs w:val="18"/>
      </w:rPr>
      <w:t>10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B90962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610194">
      <w:rPr>
        <w:noProof/>
        <w:sz w:val="18"/>
        <w:szCs w:val="18"/>
      </w:rPr>
      <w:t>2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87C2CE7" wp14:editId="4ED3881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417A841" wp14:editId="3A9E824E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7E0C02" w:rsidP="006F052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Circular ASFI/</w:t>
                          </w:r>
                          <w:r w:rsidR="00B90962">
                            <w:rPr>
                              <w:i/>
                              <w:sz w:val="18"/>
                            </w:rPr>
                            <w:t>275</w:t>
                          </w:r>
                          <w:r>
                            <w:rPr>
                              <w:i/>
                              <w:sz w:val="18"/>
                            </w:rPr>
                            <w:t>/14 (</w:t>
                          </w:r>
                          <w:r w:rsidR="003C00E7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0/14)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7E0C02" w:rsidP="006F052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Circular ASFI/</w:t>
                    </w:r>
                    <w:r w:rsidR="00B90962">
                      <w:rPr>
                        <w:i/>
                        <w:sz w:val="18"/>
                      </w:rPr>
                      <w:t>275</w:t>
                    </w:r>
                    <w:r>
                      <w:rPr>
                        <w:i/>
                        <w:sz w:val="18"/>
                      </w:rPr>
                      <w:t>/14 (</w:t>
                    </w:r>
                    <w:r w:rsidR="003C00E7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0/14)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481" w:rsidRDefault="00AD1481" w:rsidP="003D6016">
      <w:r>
        <w:separator/>
      </w:r>
    </w:p>
  </w:footnote>
  <w:footnote w:type="continuationSeparator" w:id="0">
    <w:p w:rsidR="00AD1481" w:rsidRDefault="00AD148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E00ECC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E00ECC">
      <w:rPr>
        <w:smallCaps/>
        <w:sz w:val="18"/>
        <w:szCs w:val="18"/>
        <w:u w:val="single"/>
      </w:rPr>
      <w:t xml:space="preserve">Recopilación de Normas para </w:t>
    </w:r>
    <w:r w:rsidR="006C13DB" w:rsidRPr="00E00ECC">
      <w:rPr>
        <w:smallCaps/>
        <w:sz w:val="18"/>
        <w:szCs w:val="18"/>
        <w:u w:val="single"/>
      </w:rPr>
      <w:t>Servicios Financiero</w:t>
    </w:r>
    <w:r w:rsidRPr="00E00ECC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29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54704"/>
    <w:rsid w:val="00056CF6"/>
    <w:rsid w:val="00081808"/>
    <w:rsid w:val="00083FA2"/>
    <w:rsid w:val="00085F47"/>
    <w:rsid w:val="00091BC7"/>
    <w:rsid w:val="000A00D9"/>
    <w:rsid w:val="000A29BB"/>
    <w:rsid w:val="000C37BD"/>
    <w:rsid w:val="000D5E62"/>
    <w:rsid w:val="000E7FFC"/>
    <w:rsid w:val="001124CC"/>
    <w:rsid w:val="00117B50"/>
    <w:rsid w:val="00124DC7"/>
    <w:rsid w:val="00137B85"/>
    <w:rsid w:val="00147866"/>
    <w:rsid w:val="001553E7"/>
    <w:rsid w:val="001557DF"/>
    <w:rsid w:val="00174F18"/>
    <w:rsid w:val="001828B6"/>
    <w:rsid w:val="001862D8"/>
    <w:rsid w:val="001A24F8"/>
    <w:rsid w:val="001A4D50"/>
    <w:rsid w:val="001B5258"/>
    <w:rsid w:val="001B60B6"/>
    <w:rsid w:val="001C754E"/>
    <w:rsid w:val="001D0915"/>
    <w:rsid w:val="001D301A"/>
    <w:rsid w:val="001D3F80"/>
    <w:rsid w:val="001F2314"/>
    <w:rsid w:val="00205952"/>
    <w:rsid w:val="00212D22"/>
    <w:rsid w:val="002208E0"/>
    <w:rsid w:val="002262A9"/>
    <w:rsid w:val="0024406B"/>
    <w:rsid w:val="002474C0"/>
    <w:rsid w:val="00252CCB"/>
    <w:rsid w:val="002533FC"/>
    <w:rsid w:val="002544BC"/>
    <w:rsid w:val="00262910"/>
    <w:rsid w:val="002656C7"/>
    <w:rsid w:val="00277DD5"/>
    <w:rsid w:val="002932C1"/>
    <w:rsid w:val="0029332A"/>
    <w:rsid w:val="002D3CDA"/>
    <w:rsid w:val="002D66E0"/>
    <w:rsid w:val="002E712D"/>
    <w:rsid w:val="002F1EB9"/>
    <w:rsid w:val="00337DB7"/>
    <w:rsid w:val="00347CFC"/>
    <w:rsid w:val="003620A0"/>
    <w:rsid w:val="00374E5F"/>
    <w:rsid w:val="00376950"/>
    <w:rsid w:val="0039103C"/>
    <w:rsid w:val="003B334C"/>
    <w:rsid w:val="003C00E7"/>
    <w:rsid w:val="003C1FDA"/>
    <w:rsid w:val="003D43E7"/>
    <w:rsid w:val="003D6016"/>
    <w:rsid w:val="003E3D1B"/>
    <w:rsid w:val="00404AF8"/>
    <w:rsid w:val="004079A1"/>
    <w:rsid w:val="0045090B"/>
    <w:rsid w:val="00452BAE"/>
    <w:rsid w:val="00453058"/>
    <w:rsid w:val="00456D38"/>
    <w:rsid w:val="00466F64"/>
    <w:rsid w:val="00480D38"/>
    <w:rsid w:val="00484EEB"/>
    <w:rsid w:val="004A6637"/>
    <w:rsid w:val="004B0A76"/>
    <w:rsid w:val="004B7784"/>
    <w:rsid w:val="004C57A4"/>
    <w:rsid w:val="004D04C1"/>
    <w:rsid w:val="004D1C87"/>
    <w:rsid w:val="004E4279"/>
    <w:rsid w:val="004E5C30"/>
    <w:rsid w:val="004E7A9A"/>
    <w:rsid w:val="004F136F"/>
    <w:rsid w:val="004F18A6"/>
    <w:rsid w:val="005013AF"/>
    <w:rsid w:val="00504EFC"/>
    <w:rsid w:val="005140F7"/>
    <w:rsid w:val="00522A57"/>
    <w:rsid w:val="005308A6"/>
    <w:rsid w:val="005353DF"/>
    <w:rsid w:val="0055775D"/>
    <w:rsid w:val="005662B2"/>
    <w:rsid w:val="00572F0E"/>
    <w:rsid w:val="00575482"/>
    <w:rsid w:val="0059438D"/>
    <w:rsid w:val="005968F0"/>
    <w:rsid w:val="005C7BC0"/>
    <w:rsid w:val="005F1316"/>
    <w:rsid w:val="005F3C2F"/>
    <w:rsid w:val="00601B85"/>
    <w:rsid w:val="006052AD"/>
    <w:rsid w:val="00610194"/>
    <w:rsid w:val="00630BC5"/>
    <w:rsid w:val="00646EB0"/>
    <w:rsid w:val="00654AE9"/>
    <w:rsid w:val="006564D8"/>
    <w:rsid w:val="006613E8"/>
    <w:rsid w:val="006836CF"/>
    <w:rsid w:val="006858FF"/>
    <w:rsid w:val="006B0B63"/>
    <w:rsid w:val="006C13DB"/>
    <w:rsid w:val="006D295E"/>
    <w:rsid w:val="006E2D84"/>
    <w:rsid w:val="006F0522"/>
    <w:rsid w:val="006F0A24"/>
    <w:rsid w:val="006F4754"/>
    <w:rsid w:val="00703164"/>
    <w:rsid w:val="00705B99"/>
    <w:rsid w:val="00751A52"/>
    <w:rsid w:val="00757574"/>
    <w:rsid w:val="00781CBD"/>
    <w:rsid w:val="007942AF"/>
    <w:rsid w:val="0079664D"/>
    <w:rsid w:val="007B6419"/>
    <w:rsid w:val="007C72B8"/>
    <w:rsid w:val="007D0F15"/>
    <w:rsid w:val="007D3C62"/>
    <w:rsid w:val="007E0C02"/>
    <w:rsid w:val="007E3DE5"/>
    <w:rsid w:val="007E5F57"/>
    <w:rsid w:val="007F5BC4"/>
    <w:rsid w:val="007F5C7E"/>
    <w:rsid w:val="008054AF"/>
    <w:rsid w:val="008141FC"/>
    <w:rsid w:val="00821A46"/>
    <w:rsid w:val="00824289"/>
    <w:rsid w:val="00831701"/>
    <w:rsid w:val="00834922"/>
    <w:rsid w:val="0083577B"/>
    <w:rsid w:val="00836D73"/>
    <w:rsid w:val="00837B64"/>
    <w:rsid w:val="00857961"/>
    <w:rsid w:val="00871C1A"/>
    <w:rsid w:val="00875DEF"/>
    <w:rsid w:val="00881696"/>
    <w:rsid w:val="00883CFA"/>
    <w:rsid w:val="008B3F50"/>
    <w:rsid w:val="008C10B0"/>
    <w:rsid w:val="008C482F"/>
    <w:rsid w:val="008C50CD"/>
    <w:rsid w:val="008E1C68"/>
    <w:rsid w:val="008E3D37"/>
    <w:rsid w:val="008E3DB0"/>
    <w:rsid w:val="008F27E5"/>
    <w:rsid w:val="00900095"/>
    <w:rsid w:val="009008E9"/>
    <w:rsid w:val="009011AC"/>
    <w:rsid w:val="00912F73"/>
    <w:rsid w:val="009137C1"/>
    <w:rsid w:val="00926822"/>
    <w:rsid w:val="00950E85"/>
    <w:rsid w:val="009555AB"/>
    <w:rsid w:val="00965A95"/>
    <w:rsid w:val="009709A8"/>
    <w:rsid w:val="00985A60"/>
    <w:rsid w:val="009A209A"/>
    <w:rsid w:val="009C0713"/>
    <w:rsid w:val="009C28DB"/>
    <w:rsid w:val="009C5DA0"/>
    <w:rsid w:val="009D29E2"/>
    <w:rsid w:val="009D47AD"/>
    <w:rsid w:val="00A03B7F"/>
    <w:rsid w:val="00A343D6"/>
    <w:rsid w:val="00A51CBC"/>
    <w:rsid w:val="00A817F0"/>
    <w:rsid w:val="00AA22DD"/>
    <w:rsid w:val="00AB2175"/>
    <w:rsid w:val="00AD1481"/>
    <w:rsid w:val="00B33540"/>
    <w:rsid w:val="00B56360"/>
    <w:rsid w:val="00B63B3E"/>
    <w:rsid w:val="00B7705D"/>
    <w:rsid w:val="00B8083B"/>
    <w:rsid w:val="00B8273E"/>
    <w:rsid w:val="00B90962"/>
    <w:rsid w:val="00BB1BC5"/>
    <w:rsid w:val="00BB5C01"/>
    <w:rsid w:val="00BD613E"/>
    <w:rsid w:val="00C10113"/>
    <w:rsid w:val="00C174B2"/>
    <w:rsid w:val="00C23F4B"/>
    <w:rsid w:val="00C32237"/>
    <w:rsid w:val="00C34CCC"/>
    <w:rsid w:val="00C4306C"/>
    <w:rsid w:val="00C45840"/>
    <w:rsid w:val="00C5555D"/>
    <w:rsid w:val="00C61D49"/>
    <w:rsid w:val="00C62FDA"/>
    <w:rsid w:val="00C77DFC"/>
    <w:rsid w:val="00C91803"/>
    <w:rsid w:val="00CB6035"/>
    <w:rsid w:val="00CC1CFD"/>
    <w:rsid w:val="00CC5208"/>
    <w:rsid w:val="00CC57A3"/>
    <w:rsid w:val="00CC5C89"/>
    <w:rsid w:val="00CC73D8"/>
    <w:rsid w:val="00CD5B18"/>
    <w:rsid w:val="00CD7862"/>
    <w:rsid w:val="00CE6223"/>
    <w:rsid w:val="00D0525E"/>
    <w:rsid w:val="00D05779"/>
    <w:rsid w:val="00D15AFC"/>
    <w:rsid w:val="00D170AD"/>
    <w:rsid w:val="00D30A76"/>
    <w:rsid w:val="00D60202"/>
    <w:rsid w:val="00D60FAA"/>
    <w:rsid w:val="00D715C7"/>
    <w:rsid w:val="00D82D58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0ECC"/>
    <w:rsid w:val="00E016F5"/>
    <w:rsid w:val="00E028BD"/>
    <w:rsid w:val="00E05D56"/>
    <w:rsid w:val="00E1071F"/>
    <w:rsid w:val="00E11FF4"/>
    <w:rsid w:val="00E25D72"/>
    <w:rsid w:val="00E270FA"/>
    <w:rsid w:val="00E34496"/>
    <w:rsid w:val="00E64292"/>
    <w:rsid w:val="00E73E4D"/>
    <w:rsid w:val="00EB5EFB"/>
    <w:rsid w:val="00EB69AD"/>
    <w:rsid w:val="00EC73D0"/>
    <w:rsid w:val="00ED6DC2"/>
    <w:rsid w:val="00F044B8"/>
    <w:rsid w:val="00F46EF0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C0C34-07CF-4037-8607-C74F1D0B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Gabriela</cp:lastModifiedBy>
  <cp:revision>3</cp:revision>
  <cp:lastPrinted>2014-10-24T19:37:00Z</cp:lastPrinted>
  <dcterms:created xsi:type="dcterms:W3CDTF">2014-10-24T19:37:00Z</dcterms:created>
  <dcterms:modified xsi:type="dcterms:W3CDTF">2014-10-24T19:38:00Z</dcterms:modified>
</cp:coreProperties>
</file>