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AF2C01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F2C01">
        <w:rPr>
          <w:i/>
          <w:smallCaps w:val="0"/>
          <w:noProof/>
        </w:rPr>
        <w:t xml:space="preserve">LIBRO </w:t>
      </w:r>
      <w:r w:rsidR="009B6CDB">
        <w:rPr>
          <w:i/>
          <w:smallCaps w:val="0"/>
          <w:noProof/>
        </w:rPr>
        <w:t>1</w:t>
      </w:r>
      <w:r w:rsidRPr="00AF2C01">
        <w:rPr>
          <w:i/>
          <w:smallCaps w:val="0"/>
          <w:noProof/>
        </w:rPr>
        <w:t xml:space="preserve">°, TÍTULO </w:t>
      </w:r>
      <w:r w:rsidR="00027F7E" w:rsidRPr="00AF2C01">
        <w:rPr>
          <w:i/>
          <w:smallCaps w:val="0"/>
          <w:noProof/>
        </w:rPr>
        <w:t>V</w:t>
      </w:r>
      <w:r w:rsidRPr="00AF2C01">
        <w:rPr>
          <w:i/>
          <w:smallCaps w:val="0"/>
          <w:noProof/>
        </w:rPr>
        <w:t>, CAPÍTULO I</w:t>
      </w:r>
    </w:p>
    <w:p w:rsidR="00FA1F21" w:rsidRPr="00AF2C01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F2C01">
        <w:rPr>
          <w:noProof/>
        </w:rPr>
        <w:t xml:space="preserve">ANEXO </w:t>
      </w:r>
      <w:r w:rsidR="009B6CDB">
        <w:rPr>
          <w:noProof/>
        </w:rPr>
        <w:t>11</w:t>
      </w:r>
      <w:r w:rsidRPr="00AF2C01">
        <w:rPr>
          <w:noProof/>
        </w:rPr>
        <w:t>:</w:t>
      </w:r>
      <w:r w:rsidRPr="00AF2C01">
        <w:rPr>
          <w:noProof/>
        </w:rPr>
        <w:tab/>
      </w:r>
      <w:r w:rsidR="00610194" w:rsidRPr="00AF2C01">
        <w:rPr>
          <w:i/>
          <w:noProof/>
        </w:rPr>
        <w:t xml:space="preserve">Estado de </w:t>
      </w:r>
      <w:r w:rsidR="003F4DDC" w:rsidRPr="00AF2C01">
        <w:rPr>
          <w:i/>
          <w:noProof/>
        </w:rPr>
        <w:t>Flujo de Efectivo</w:t>
      </w:r>
      <w:r w:rsidR="001D301A" w:rsidRPr="00AF2C01">
        <w:rPr>
          <w:i/>
          <w:noProof/>
        </w:rPr>
        <w:t xml:space="preserve"> </w:t>
      </w:r>
      <w:r w:rsidR="00610194" w:rsidRPr="00AF2C01">
        <w:rPr>
          <w:i/>
          <w:noProof/>
        </w:rPr>
        <w:t>Consolidado</w:t>
      </w:r>
    </w:p>
    <w:p w:rsidR="005968F0" w:rsidRPr="00AF2C01" w:rsidRDefault="005968F0" w:rsidP="005968F0">
      <w:pPr>
        <w:rPr>
          <w:noProof/>
        </w:rPr>
      </w:pPr>
    </w:p>
    <w:p w:rsidR="001D301A" w:rsidRPr="003C6F00" w:rsidRDefault="001D301A" w:rsidP="001D301A">
      <w:pPr>
        <w:jc w:val="center"/>
        <w:rPr>
          <w:b/>
          <w:szCs w:val="22"/>
        </w:rPr>
      </w:pPr>
      <w:r w:rsidRPr="003C6F00">
        <w:rPr>
          <w:b/>
          <w:szCs w:val="22"/>
        </w:rPr>
        <w:t>POR LOS EJERCIC</w:t>
      </w:r>
      <w:bookmarkStart w:id="0" w:name="_GoBack"/>
      <w:bookmarkEnd w:id="0"/>
      <w:r w:rsidRPr="003C6F00">
        <w:rPr>
          <w:b/>
          <w:szCs w:val="22"/>
        </w:rPr>
        <w:t xml:space="preserve">IOS FINALIZADOS </w:t>
      </w:r>
      <w:proofErr w:type="gramStart"/>
      <w:r w:rsidRPr="003C6F00">
        <w:rPr>
          <w:b/>
          <w:szCs w:val="22"/>
        </w:rPr>
        <w:t xml:space="preserve">AL </w:t>
      </w:r>
      <w:r w:rsidR="00D15571" w:rsidRPr="003C6F00">
        <w:rPr>
          <w:b/>
          <w:szCs w:val="22"/>
        </w:rPr>
        <w:t>…</w:t>
      </w:r>
      <w:proofErr w:type="gramEnd"/>
      <w:r w:rsidRPr="003C6F00">
        <w:rPr>
          <w:b/>
          <w:szCs w:val="22"/>
        </w:rPr>
        <w:t xml:space="preserve"> DE </w:t>
      </w:r>
      <w:r w:rsidR="00D15571" w:rsidRPr="003C6F00">
        <w:rPr>
          <w:b/>
          <w:szCs w:val="22"/>
        </w:rPr>
        <w:t>……</w:t>
      </w:r>
    </w:p>
    <w:p w:rsidR="00DA33FD" w:rsidRPr="003C6F00" w:rsidRDefault="001D301A" w:rsidP="001D301A">
      <w:pPr>
        <w:jc w:val="center"/>
        <w:rPr>
          <w:b/>
          <w:szCs w:val="22"/>
        </w:rPr>
      </w:pPr>
      <w:r w:rsidRPr="003C6F00">
        <w:rPr>
          <w:b/>
          <w:szCs w:val="22"/>
        </w:rPr>
        <w:t xml:space="preserve">DE </w:t>
      </w:r>
      <w:r w:rsidR="00610194" w:rsidRPr="003C6F00">
        <w:rPr>
          <w:b/>
          <w:szCs w:val="22"/>
        </w:rPr>
        <w:t>…</w:t>
      </w:r>
      <w:proofErr w:type="gramStart"/>
      <w:r w:rsidR="00610194" w:rsidRPr="003C6F00">
        <w:rPr>
          <w:b/>
          <w:szCs w:val="22"/>
        </w:rPr>
        <w:t>..</w:t>
      </w:r>
      <w:proofErr w:type="gramEnd"/>
      <w:r w:rsidR="00610194" w:rsidRPr="003C6F00">
        <w:rPr>
          <w:b/>
          <w:szCs w:val="22"/>
        </w:rPr>
        <w:t xml:space="preserve"> </w:t>
      </w:r>
      <w:proofErr w:type="gramStart"/>
      <w:r w:rsidRPr="003C6F00">
        <w:rPr>
          <w:b/>
          <w:szCs w:val="22"/>
        </w:rPr>
        <w:t>Y</w:t>
      </w:r>
      <w:r w:rsidR="00610194" w:rsidRPr="003C6F00">
        <w:rPr>
          <w:b/>
          <w:szCs w:val="22"/>
        </w:rPr>
        <w:t xml:space="preserve"> ….</w:t>
      </w:r>
      <w:proofErr w:type="gramEnd"/>
      <w:r w:rsidR="00610194" w:rsidRPr="003C6F00">
        <w:rPr>
          <w:b/>
          <w:szCs w:val="22"/>
        </w:rPr>
        <w:t xml:space="preserve"> </w:t>
      </w:r>
    </w:p>
    <w:p w:rsidR="00AF2C01" w:rsidRPr="003C6F00" w:rsidRDefault="00AF2C01" w:rsidP="001D301A">
      <w:pPr>
        <w:jc w:val="center"/>
        <w:rPr>
          <w:b/>
          <w:szCs w:val="22"/>
        </w:rPr>
      </w:pPr>
    </w:p>
    <w:p w:rsidR="003620A0" w:rsidRPr="003C6F00" w:rsidRDefault="00610194" w:rsidP="001D301A">
      <w:pPr>
        <w:jc w:val="center"/>
        <w:rPr>
          <w:b/>
          <w:szCs w:val="22"/>
        </w:rPr>
      </w:pPr>
      <w:r w:rsidRPr="003C6F00">
        <w:rPr>
          <w:b/>
          <w:szCs w:val="22"/>
        </w:rPr>
        <w:t>(EN MILES DE BOLIVIANOS)</w:t>
      </w:r>
    </w:p>
    <w:p w:rsidR="003620A0" w:rsidRPr="003C6F00" w:rsidRDefault="003620A0" w:rsidP="003620A0">
      <w:pPr>
        <w:rPr>
          <w:szCs w:val="22"/>
        </w:rPr>
      </w:pPr>
    </w:p>
    <w:p w:rsidR="00610194" w:rsidRPr="003C6F00" w:rsidRDefault="00610194" w:rsidP="003620A0">
      <w:pPr>
        <w:rPr>
          <w:szCs w:val="22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418"/>
        <w:gridCol w:w="1344"/>
      </w:tblGrid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/>
                <w:snapToGrid w:val="0"/>
                <w:szCs w:val="22"/>
              </w:rPr>
              <w:t>Flujo de fondos en actividades de operación: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Utilidad (pérdida) neta del ejercicio 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Partidas que han afectado el resultado neto del ejercicio, que no han generado movimiento de fondos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Productos devengados no cobrados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Cargos devengados no pagados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Productos devengados cobrados en ejercicios anteriores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4D6232" w:rsidRPr="003C6F00" w:rsidRDefault="003F4DDC" w:rsidP="00A47A4E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Previsiones para incobrables y activos contingentes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5174A3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A47A4E" w:rsidRPr="003C6F00" w:rsidRDefault="00A47A4E" w:rsidP="00A47A4E">
            <w:pPr>
              <w:pStyle w:val="ListParagraph"/>
              <w:numPr>
                <w:ilvl w:val="0"/>
                <w:numId w:val="33"/>
              </w:numPr>
              <w:tabs>
                <w:tab w:val="left" w:pos="142"/>
              </w:tabs>
              <w:ind w:left="142" w:hanging="82"/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Exigible técnico pendiente de cobro</w:t>
            </w:r>
          </w:p>
        </w:tc>
        <w:tc>
          <w:tcPr>
            <w:tcW w:w="807" w:type="pct"/>
            <w:vAlign w:val="bottom"/>
          </w:tcPr>
          <w:p w:rsidR="00A47A4E" w:rsidRPr="003C6F00" w:rsidRDefault="00A47A4E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A47A4E" w:rsidRPr="003C6F00" w:rsidRDefault="00A47A4E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5174A3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Constitución de reservas técnicas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5174A3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Liberación de reservas técnicas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Previsiones para desvalorización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Previsiones o provisiones para beneficios sociales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Provisión para impuestos y otras cuentas por pagar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Depreciaciones y amortizaciones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Otros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/>
                <w:snapToGrid w:val="0"/>
                <w:szCs w:val="22"/>
              </w:rPr>
              <w:t>Fondos obtenidos en (aplicados a) la utilidad (pérdida) del ejercicio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Productos cobrados (cargos pagados) en el ejercicio devengados en ejercicio anteriores sobre: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Cartera préstamos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Inversiones temporarias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Otras cuentas por cobrar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con el público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por operaciones de reporto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con bancos y entidades de financiamiento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Títulos valores en circulación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subordinadas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Otras obligaciones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Otras cuentas por pagar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6B4AC3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Exigible Técnico Cobrado </w:t>
            </w:r>
          </w:p>
          <w:p w:rsidR="006B4AC3" w:rsidRPr="003C6F00" w:rsidRDefault="006B4AC3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lastRenderedPageBreak/>
              <w:t>Incremento (disminución) neto de otros activos y pasivos: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Otras cuentas por cobrar - pagos anticipados - diversas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Bienes realizables - vendidos -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Otros activos - partidas pendientes de imputación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Otras cuentas por pagar - diversas y prohibiciones - 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Previsiones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/>
                <w:snapToGrid w:val="0"/>
                <w:szCs w:val="22"/>
              </w:rPr>
            </w:pPr>
            <w:r w:rsidRPr="003C6F00">
              <w:rPr>
                <w:b/>
                <w:snapToGrid w:val="0"/>
                <w:szCs w:val="22"/>
              </w:rPr>
              <w:t xml:space="preserve">Flujo neto en actividades de operación - excepto actividades de intermediación 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/>
                <w:snapToGrid w:val="0"/>
                <w:szCs w:val="22"/>
              </w:rPr>
              <w:t>Flujo de fondos en actividades de intermediación: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Incremento (disminución) de captaciones y obligaciones por intermediación: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con el público 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Depósitos a la vista y en cajas de ahorro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Depósitos a plazo hasta 360 días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Depósitos a plazo por más de 360 días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restringidas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con bancos y entidades de financiamiento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A corto plazo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A mediano y largo plazo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Otras operaciones de intermediación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a la vista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Otras obligaciones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con instituciones fiscales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Bancos y corresponsales del país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Incremento (disminución) de colocaciones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Créditos colocados en el ejercicio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Créditos recuperados en el ejercicio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Otras cuentas por cobrar por intermediación financiera 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pStyle w:val="Heading5"/>
              <w:jc w:val="left"/>
              <w:rPr>
                <w:rFonts w:ascii="Times New Roman" w:hAnsi="Times New Roman" w:cs="Times New Roman"/>
                <w:szCs w:val="22"/>
              </w:rPr>
            </w:pPr>
            <w:r w:rsidRPr="003C6F00">
              <w:rPr>
                <w:rFonts w:ascii="Times New Roman" w:hAnsi="Times New Roman" w:cs="Times New Roman"/>
                <w:szCs w:val="22"/>
              </w:rPr>
              <w:t>Flujo neto en actividades de intermediación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/>
                <w:snapToGrid w:val="0"/>
                <w:szCs w:val="22"/>
              </w:rPr>
            </w:pPr>
            <w:r w:rsidRPr="003C6F00">
              <w:rPr>
                <w:b/>
                <w:snapToGrid w:val="0"/>
                <w:szCs w:val="22"/>
              </w:rPr>
              <w:t>Flujo de fondos en actividades de financiamiento: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Incremento (disminución) de préstamos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con el FONDESIF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Obligaciones con el BCB – excepto financiamiento </w:t>
            </w:r>
            <w:r w:rsidRPr="003C6F00">
              <w:rPr>
                <w:bCs/>
                <w:snapToGrid w:val="0"/>
                <w:color w:val="FFFFFF"/>
                <w:szCs w:val="22"/>
              </w:rPr>
              <w:t>___</w:t>
            </w:r>
            <w:r w:rsidRPr="003C6F00">
              <w:rPr>
                <w:bCs/>
                <w:snapToGrid w:val="0"/>
                <w:szCs w:val="22"/>
              </w:rPr>
              <w:t>para créditos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Incremento de interés minoritario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Incremento en obligaciones por operaciones de reporto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Incremento (disminución) de títulos valores en circulación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Incremento de reservas técnicas 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lastRenderedPageBreak/>
              <w:t>Incremento de obligaciones subordinadas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Cuenta de los accionistas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Aportes de capital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Pago de dividendos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pStyle w:val="Heading5"/>
              <w:jc w:val="left"/>
              <w:rPr>
                <w:rFonts w:ascii="Times New Roman" w:hAnsi="Times New Roman" w:cs="Times New Roman"/>
                <w:szCs w:val="22"/>
              </w:rPr>
            </w:pPr>
            <w:r w:rsidRPr="003C6F00">
              <w:rPr>
                <w:rFonts w:ascii="Times New Roman" w:hAnsi="Times New Roman" w:cs="Times New Roman"/>
                <w:szCs w:val="22"/>
              </w:rPr>
              <w:t>Flujo neto en actividades de financiamiento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/>
                <w:snapToGrid w:val="0"/>
                <w:szCs w:val="22"/>
              </w:rPr>
            </w:pPr>
            <w:r w:rsidRPr="003C6F00">
              <w:rPr>
                <w:b/>
                <w:snapToGrid w:val="0"/>
                <w:szCs w:val="22"/>
              </w:rPr>
              <w:t>Flujo de fondos en actividades de inversión: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/>
                <w:snapToGrid w:val="0"/>
                <w:szCs w:val="22"/>
              </w:rPr>
            </w:pP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>Incremento (disminución) neto en: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Inversiones temporarias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Inversiones permanentes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Bienes de uso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Bienes diversos</w:t>
            </w:r>
          </w:p>
        </w:tc>
        <w:tc>
          <w:tcPr>
            <w:tcW w:w="807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  <w:r w:rsidRPr="003C6F00">
              <w:rPr>
                <w:bCs/>
                <w:snapToGrid w:val="0"/>
                <w:szCs w:val="22"/>
              </w:rPr>
              <w:t xml:space="preserve"> - Cargos diversos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pStyle w:val="Heading5"/>
              <w:jc w:val="left"/>
              <w:rPr>
                <w:rFonts w:ascii="Times New Roman" w:hAnsi="Times New Roman" w:cs="Times New Roman"/>
                <w:szCs w:val="22"/>
              </w:rPr>
            </w:pPr>
            <w:r w:rsidRPr="003C6F00">
              <w:rPr>
                <w:rFonts w:ascii="Times New Roman" w:hAnsi="Times New Roman" w:cs="Times New Roman"/>
                <w:szCs w:val="22"/>
              </w:rPr>
              <w:t>Flujo neto en actividades de inversión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pStyle w:val="Heading5"/>
              <w:jc w:val="left"/>
              <w:rPr>
                <w:rFonts w:ascii="Times New Roman" w:hAnsi="Times New Roman" w:cs="Times New Roman"/>
                <w:szCs w:val="22"/>
              </w:rPr>
            </w:pPr>
            <w:r w:rsidRPr="003C6F00">
              <w:rPr>
                <w:rFonts w:ascii="Times New Roman" w:hAnsi="Times New Roman" w:cs="Times New Roman"/>
                <w:szCs w:val="22"/>
              </w:rPr>
              <w:t>Incremento (disminución)</w:t>
            </w:r>
            <w:r w:rsidR="00A82C24" w:rsidRPr="003C6F00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3C6F00">
              <w:rPr>
                <w:rFonts w:ascii="Times New Roman" w:hAnsi="Times New Roman" w:cs="Times New Roman"/>
                <w:szCs w:val="22"/>
              </w:rPr>
              <w:t>de fondos durante el ejercicio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pStyle w:val="Heading5"/>
              <w:jc w:val="left"/>
              <w:rPr>
                <w:rFonts w:ascii="Times New Roman" w:hAnsi="Times New Roman" w:cs="Times New Roman"/>
                <w:szCs w:val="22"/>
              </w:rPr>
            </w:pPr>
            <w:r w:rsidRPr="003C6F00">
              <w:rPr>
                <w:rFonts w:ascii="Times New Roman" w:hAnsi="Times New Roman" w:cs="Times New Roman"/>
                <w:szCs w:val="22"/>
              </w:rPr>
              <w:t>Disponibilidades al inicio del ejercicio</w:t>
            </w:r>
          </w:p>
        </w:tc>
        <w:tc>
          <w:tcPr>
            <w:tcW w:w="807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jc w:val="left"/>
              <w:rPr>
                <w:bCs/>
                <w:snapToGrid w:val="0"/>
                <w:szCs w:val="22"/>
              </w:rPr>
            </w:pPr>
          </w:p>
        </w:tc>
        <w:tc>
          <w:tcPr>
            <w:tcW w:w="807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top w:val="single" w:sz="8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pStyle w:val="Heading5"/>
              <w:jc w:val="left"/>
              <w:rPr>
                <w:rFonts w:ascii="Times New Roman" w:hAnsi="Times New Roman" w:cs="Times New Roman"/>
                <w:szCs w:val="22"/>
              </w:rPr>
            </w:pPr>
            <w:r w:rsidRPr="003C6F00">
              <w:rPr>
                <w:rFonts w:ascii="Times New Roman" w:hAnsi="Times New Roman" w:cs="Times New Roman"/>
                <w:szCs w:val="22"/>
              </w:rPr>
              <w:t>Disponibilidades al cierre del ejercicio</w:t>
            </w:r>
          </w:p>
        </w:tc>
        <w:tc>
          <w:tcPr>
            <w:tcW w:w="807" w:type="pct"/>
            <w:tcBorders>
              <w:bottom w:val="double" w:sz="6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double" w:sz="6" w:space="0" w:color="auto"/>
            </w:tcBorders>
            <w:vAlign w:val="bottom"/>
          </w:tcPr>
          <w:p w:rsidR="003F4DDC" w:rsidRPr="003C6F00" w:rsidRDefault="003F4DDC" w:rsidP="001459F6">
            <w:pPr>
              <w:rPr>
                <w:bCs/>
                <w:snapToGrid w:val="0"/>
                <w:szCs w:val="22"/>
              </w:rPr>
            </w:pPr>
          </w:p>
        </w:tc>
      </w:tr>
      <w:tr w:rsidR="003F4DDC" w:rsidRPr="003C6F00" w:rsidTr="003F4DDC">
        <w:trPr>
          <w:cantSplit/>
          <w:trHeight w:val="230"/>
          <w:jc w:val="center"/>
        </w:trPr>
        <w:tc>
          <w:tcPr>
            <w:tcW w:w="3428" w:type="pct"/>
            <w:vAlign w:val="center"/>
          </w:tcPr>
          <w:p w:rsidR="003F4DDC" w:rsidRPr="003C6F00" w:rsidRDefault="003F4DDC" w:rsidP="003F4DDC">
            <w:pPr>
              <w:pStyle w:val="Heading5"/>
              <w:jc w:val="left"/>
              <w:rPr>
                <w:rFonts w:ascii="Arial" w:hAnsi="Arial" w:cs="Arial"/>
                <w:szCs w:val="22"/>
              </w:rPr>
            </w:pPr>
          </w:p>
        </w:tc>
        <w:tc>
          <w:tcPr>
            <w:tcW w:w="807" w:type="pct"/>
            <w:tcBorders>
              <w:bottom w:val="double" w:sz="6" w:space="0" w:color="auto"/>
            </w:tcBorders>
            <w:vAlign w:val="bottom"/>
          </w:tcPr>
          <w:p w:rsidR="003F4DDC" w:rsidRPr="003C6F00" w:rsidRDefault="003F4DDC" w:rsidP="001459F6">
            <w:pPr>
              <w:rPr>
                <w:rFonts w:ascii="Arial" w:hAnsi="Arial" w:cs="Arial"/>
                <w:bCs/>
                <w:snapToGrid w:val="0"/>
                <w:szCs w:val="22"/>
              </w:rPr>
            </w:pPr>
          </w:p>
        </w:tc>
        <w:tc>
          <w:tcPr>
            <w:tcW w:w="765" w:type="pct"/>
            <w:tcBorders>
              <w:bottom w:val="double" w:sz="6" w:space="0" w:color="auto"/>
            </w:tcBorders>
            <w:vAlign w:val="bottom"/>
          </w:tcPr>
          <w:p w:rsidR="003F4DDC" w:rsidRPr="003C6F00" w:rsidRDefault="003F4DDC" w:rsidP="001459F6">
            <w:pPr>
              <w:rPr>
                <w:rFonts w:ascii="Arial" w:hAnsi="Arial" w:cs="Arial"/>
                <w:bCs/>
                <w:snapToGrid w:val="0"/>
                <w:szCs w:val="22"/>
              </w:rPr>
            </w:pPr>
          </w:p>
        </w:tc>
      </w:tr>
    </w:tbl>
    <w:p w:rsidR="003F4DDC" w:rsidRPr="003C6F00" w:rsidRDefault="003F4DDC" w:rsidP="003620A0">
      <w:pPr>
        <w:rPr>
          <w:szCs w:val="22"/>
        </w:rPr>
      </w:pPr>
    </w:p>
    <w:p w:rsidR="00610194" w:rsidRPr="003C6F00" w:rsidRDefault="00610194" w:rsidP="003620A0">
      <w:pPr>
        <w:rPr>
          <w:b/>
          <w:i/>
          <w:szCs w:val="22"/>
        </w:rPr>
      </w:pPr>
      <w:r w:rsidRPr="003C6F00">
        <w:rPr>
          <w:b/>
          <w:i/>
          <w:szCs w:val="22"/>
        </w:rPr>
        <w:t>Las notas</w:t>
      </w:r>
      <w:r w:rsidR="00895B99" w:rsidRPr="003C6F00">
        <w:rPr>
          <w:b/>
          <w:i/>
          <w:szCs w:val="22"/>
        </w:rPr>
        <w:t xml:space="preserve"> l </w:t>
      </w:r>
      <w:r w:rsidR="00CD30FD" w:rsidRPr="003C6F00">
        <w:rPr>
          <w:b/>
          <w:i/>
          <w:szCs w:val="22"/>
        </w:rPr>
        <w:t>a</w:t>
      </w:r>
      <w:r w:rsidR="00A27265" w:rsidRPr="003C6F00">
        <w:rPr>
          <w:b/>
          <w:i/>
          <w:szCs w:val="22"/>
        </w:rPr>
        <w:t xml:space="preserve"> </w:t>
      </w:r>
      <w:proofErr w:type="gramStart"/>
      <w:r w:rsidR="00895B99" w:rsidRPr="003C6F00">
        <w:rPr>
          <w:b/>
          <w:i/>
          <w:szCs w:val="22"/>
        </w:rPr>
        <w:t>l</w:t>
      </w:r>
      <w:r w:rsidR="00A27265" w:rsidRPr="003C6F00">
        <w:rPr>
          <w:b/>
          <w:i/>
          <w:szCs w:val="22"/>
        </w:rPr>
        <w:t>a</w:t>
      </w:r>
      <w:r w:rsidRPr="003C6F00">
        <w:rPr>
          <w:b/>
          <w:i/>
          <w:szCs w:val="22"/>
        </w:rPr>
        <w:t xml:space="preserve"> ....</w:t>
      </w:r>
      <w:proofErr w:type="gramEnd"/>
      <w:r w:rsidRPr="003C6F00">
        <w:rPr>
          <w:b/>
          <w:i/>
          <w:szCs w:val="22"/>
        </w:rPr>
        <w:t xml:space="preserve"> </w:t>
      </w:r>
      <w:proofErr w:type="gramStart"/>
      <w:r w:rsidRPr="003C6F00">
        <w:rPr>
          <w:b/>
          <w:i/>
          <w:szCs w:val="22"/>
        </w:rPr>
        <w:t>adjuntas</w:t>
      </w:r>
      <w:proofErr w:type="gramEnd"/>
      <w:r w:rsidRPr="003C6F00">
        <w:rPr>
          <w:b/>
          <w:i/>
          <w:szCs w:val="22"/>
        </w:rPr>
        <w:t xml:space="preserve"> son parte integrante de estos Estados Financieros</w:t>
      </w:r>
    </w:p>
    <w:p w:rsidR="00610194" w:rsidRDefault="00610194" w:rsidP="003620A0"/>
    <w:p w:rsidR="00610194" w:rsidRDefault="00610194" w:rsidP="003620A0"/>
    <w:p w:rsidR="00610194" w:rsidRDefault="00610194" w:rsidP="003620A0"/>
    <w:p w:rsidR="00610194" w:rsidRDefault="00610194" w:rsidP="003620A0"/>
    <w:p w:rsidR="003620A0" w:rsidRDefault="003620A0" w:rsidP="003620A0">
      <w:pPr>
        <w:pStyle w:val="BodyText"/>
        <w:spacing w:after="0"/>
      </w:pPr>
    </w:p>
    <w:p w:rsidR="003620A0" w:rsidRDefault="003620A0" w:rsidP="003620A0">
      <w:pPr>
        <w:pStyle w:val="BodyText"/>
        <w:spacing w:after="0"/>
      </w:pPr>
    </w:p>
    <w:sectPr w:rsidR="003620A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BA" w:rsidRDefault="00875EBA" w:rsidP="003D6016">
      <w:r>
        <w:separator/>
      </w:r>
    </w:p>
  </w:endnote>
  <w:endnote w:type="continuationSeparator" w:id="0">
    <w:p w:rsidR="00875EBA" w:rsidRDefault="00875EB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816948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B6CDB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816948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E028BD">
      <w:rPr>
        <w:noProof/>
        <w:sz w:val="18"/>
        <w:szCs w:val="18"/>
      </w:rPr>
      <w:t>V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9B6CDB">
      <w:rPr>
        <w:noProof/>
        <w:sz w:val="18"/>
        <w:szCs w:val="18"/>
      </w:rPr>
      <w:t>11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C6F00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3F4DDC">
      <w:rPr>
        <w:noProof/>
        <w:sz w:val="18"/>
        <w:szCs w:val="18"/>
      </w:rPr>
      <w:t>3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D8DA97" wp14:editId="1146CD11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35D0DA" wp14:editId="7F9A2690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152252" w:rsidP="006F0522">
                          <w:pPr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Pr="00F243AF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0704F6">
                            <w:rPr>
                              <w:i/>
                              <w:sz w:val="18"/>
                            </w:rPr>
                            <w:t>275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054ED4"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0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>)</w:t>
                          </w:r>
                          <w:r w:rsidRPr="00F243AF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152252" w:rsidP="006F0522">
                    <w:pPr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Pr="00F243AF">
                      <w:rPr>
                        <w:i/>
                        <w:sz w:val="18"/>
                      </w:rPr>
                      <w:t>ASFI/</w:t>
                    </w:r>
                    <w:r w:rsidR="000704F6">
                      <w:rPr>
                        <w:i/>
                        <w:sz w:val="18"/>
                      </w:rPr>
                      <w:t>275</w:t>
                    </w:r>
                    <w:r w:rsidRPr="00F243AF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Pr="00F243AF">
                      <w:rPr>
                        <w:i/>
                        <w:sz w:val="18"/>
                      </w:rPr>
                      <w:t xml:space="preserve"> (</w:t>
                    </w:r>
                    <w:r w:rsidR="00054ED4"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0</w:t>
                    </w:r>
                    <w:r w:rsidRPr="00F243AF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Pr="00F243AF">
                      <w:rPr>
                        <w:i/>
                        <w:sz w:val="18"/>
                      </w:rPr>
                      <w:t>)</w:t>
                    </w:r>
                    <w:r w:rsidRPr="00F243AF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BA" w:rsidRDefault="00875EBA" w:rsidP="003D6016">
      <w:r>
        <w:separator/>
      </w:r>
    </w:p>
  </w:footnote>
  <w:footnote w:type="continuationSeparator" w:id="0">
    <w:p w:rsidR="00875EBA" w:rsidRDefault="00875EB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152252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152252">
      <w:rPr>
        <w:smallCaps/>
        <w:sz w:val="18"/>
        <w:szCs w:val="18"/>
        <w:u w:val="single"/>
      </w:rPr>
      <w:t xml:space="preserve">Recopilación de Normas para </w:t>
    </w:r>
    <w:r w:rsidR="009B6CDB" w:rsidRPr="00152252">
      <w:rPr>
        <w:smallCaps/>
        <w:sz w:val="18"/>
        <w:szCs w:val="18"/>
        <w:u w:val="single"/>
      </w:rPr>
      <w:t>Servicios Financiero</w:t>
    </w:r>
    <w:r w:rsidRPr="00152252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B1557B9"/>
    <w:multiLevelType w:val="hybridMultilevel"/>
    <w:tmpl w:val="4596F68E"/>
    <w:lvl w:ilvl="0" w:tplc="FB8A7C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F1F4E"/>
    <w:multiLevelType w:val="hybridMultilevel"/>
    <w:tmpl w:val="7C2C308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6B6658"/>
    <w:multiLevelType w:val="hybridMultilevel"/>
    <w:tmpl w:val="0CF451FA"/>
    <w:lvl w:ilvl="0" w:tplc="3CC4B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89D2758"/>
    <w:multiLevelType w:val="hybridMultilevel"/>
    <w:tmpl w:val="2872F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A894E01"/>
    <w:multiLevelType w:val="hybridMultilevel"/>
    <w:tmpl w:val="F05E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23A0D"/>
    <w:multiLevelType w:val="hybridMultilevel"/>
    <w:tmpl w:val="7EC24700"/>
    <w:lvl w:ilvl="0" w:tplc="40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AF59E4"/>
    <w:multiLevelType w:val="hybridMultilevel"/>
    <w:tmpl w:val="CF2A17FE"/>
    <w:lvl w:ilvl="0" w:tplc="C05E5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8029D7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B311CC"/>
    <w:multiLevelType w:val="hybridMultilevel"/>
    <w:tmpl w:val="4DF422EE"/>
    <w:lvl w:ilvl="0" w:tplc="5A086A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7"/>
  </w:num>
  <w:num w:numId="11">
    <w:abstractNumId w:val="8"/>
  </w:num>
  <w:num w:numId="12">
    <w:abstractNumId w:val="15"/>
  </w:num>
  <w:num w:numId="13">
    <w:abstractNumId w:val="5"/>
  </w:num>
  <w:num w:numId="14">
    <w:abstractNumId w:val="30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  <w:num w:numId="26">
    <w:abstractNumId w:val="26"/>
  </w:num>
  <w:num w:numId="27">
    <w:abstractNumId w:val="2"/>
  </w:num>
  <w:num w:numId="28">
    <w:abstractNumId w:val="3"/>
  </w:num>
  <w:num w:numId="29">
    <w:abstractNumId w:val="14"/>
  </w:num>
  <w:num w:numId="30">
    <w:abstractNumId w:val="25"/>
  </w:num>
  <w:num w:numId="31">
    <w:abstractNumId w:val="7"/>
  </w:num>
  <w:num w:numId="32">
    <w:abstractNumId w:val="28"/>
  </w:num>
  <w:num w:numId="33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54ED4"/>
    <w:rsid w:val="000704F6"/>
    <w:rsid w:val="00081808"/>
    <w:rsid w:val="00083FA2"/>
    <w:rsid w:val="00085F47"/>
    <w:rsid w:val="000A29BB"/>
    <w:rsid w:val="000D5E62"/>
    <w:rsid w:val="001124CC"/>
    <w:rsid w:val="00116D7D"/>
    <w:rsid w:val="00117B50"/>
    <w:rsid w:val="00124DC7"/>
    <w:rsid w:val="00147866"/>
    <w:rsid w:val="00152252"/>
    <w:rsid w:val="001553E7"/>
    <w:rsid w:val="001A4D50"/>
    <w:rsid w:val="001B5258"/>
    <w:rsid w:val="001B60B6"/>
    <w:rsid w:val="001C754E"/>
    <w:rsid w:val="001D0915"/>
    <w:rsid w:val="001D301A"/>
    <w:rsid w:val="001D3F80"/>
    <w:rsid w:val="001F6EDF"/>
    <w:rsid w:val="00205952"/>
    <w:rsid w:val="00212D22"/>
    <w:rsid w:val="00214873"/>
    <w:rsid w:val="002262A9"/>
    <w:rsid w:val="002533FC"/>
    <w:rsid w:val="002544BC"/>
    <w:rsid w:val="00262910"/>
    <w:rsid w:val="00277DD5"/>
    <w:rsid w:val="002932C1"/>
    <w:rsid w:val="0029332A"/>
    <w:rsid w:val="002B081C"/>
    <w:rsid w:val="002C7FF2"/>
    <w:rsid w:val="002D3CDA"/>
    <w:rsid w:val="002D66E0"/>
    <w:rsid w:val="002E712D"/>
    <w:rsid w:val="002F1EB9"/>
    <w:rsid w:val="00337DB7"/>
    <w:rsid w:val="003620A0"/>
    <w:rsid w:val="00374E5F"/>
    <w:rsid w:val="003B334C"/>
    <w:rsid w:val="003C6F00"/>
    <w:rsid w:val="003C70CF"/>
    <w:rsid w:val="003C7ECA"/>
    <w:rsid w:val="003D6016"/>
    <w:rsid w:val="003F4DDC"/>
    <w:rsid w:val="004079A1"/>
    <w:rsid w:val="00456D38"/>
    <w:rsid w:val="00466F64"/>
    <w:rsid w:val="00480D38"/>
    <w:rsid w:val="00484EEB"/>
    <w:rsid w:val="004A6637"/>
    <w:rsid w:val="004B7784"/>
    <w:rsid w:val="004D04C1"/>
    <w:rsid w:val="004D6232"/>
    <w:rsid w:val="004E5C30"/>
    <w:rsid w:val="004F18A6"/>
    <w:rsid w:val="005013AF"/>
    <w:rsid w:val="00504EFC"/>
    <w:rsid w:val="005060E2"/>
    <w:rsid w:val="005174A3"/>
    <w:rsid w:val="00522A57"/>
    <w:rsid w:val="005308A6"/>
    <w:rsid w:val="005353DF"/>
    <w:rsid w:val="0055775D"/>
    <w:rsid w:val="00575482"/>
    <w:rsid w:val="00590540"/>
    <w:rsid w:val="0059438D"/>
    <w:rsid w:val="005968F0"/>
    <w:rsid w:val="005A367C"/>
    <w:rsid w:val="005C332A"/>
    <w:rsid w:val="005C7BC0"/>
    <w:rsid w:val="005F1316"/>
    <w:rsid w:val="005F3C2F"/>
    <w:rsid w:val="006052AD"/>
    <w:rsid w:val="00610194"/>
    <w:rsid w:val="006373AC"/>
    <w:rsid w:val="00645C26"/>
    <w:rsid w:val="006564D8"/>
    <w:rsid w:val="0067790C"/>
    <w:rsid w:val="006836CF"/>
    <w:rsid w:val="00690FE5"/>
    <w:rsid w:val="006B0B63"/>
    <w:rsid w:val="006B4AC3"/>
    <w:rsid w:val="006D295E"/>
    <w:rsid w:val="006F0522"/>
    <w:rsid w:val="006F0A24"/>
    <w:rsid w:val="006F4754"/>
    <w:rsid w:val="00703164"/>
    <w:rsid w:val="00705B99"/>
    <w:rsid w:val="00751A52"/>
    <w:rsid w:val="00757574"/>
    <w:rsid w:val="00781CBD"/>
    <w:rsid w:val="007942AF"/>
    <w:rsid w:val="0079664D"/>
    <w:rsid w:val="007C72B8"/>
    <w:rsid w:val="007D3C62"/>
    <w:rsid w:val="007E1A10"/>
    <w:rsid w:val="007E3DE5"/>
    <w:rsid w:val="007E5F57"/>
    <w:rsid w:val="007F5BC4"/>
    <w:rsid w:val="008054AF"/>
    <w:rsid w:val="008141FC"/>
    <w:rsid w:val="00816948"/>
    <w:rsid w:val="00821A46"/>
    <w:rsid w:val="00831701"/>
    <w:rsid w:val="00834922"/>
    <w:rsid w:val="00836D73"/>
    <w:rsid w:val="008502D9"/>
    <w:rsid w:val="00857961"/>
    <w:rsid w:val="00871C1A"/>
    <w:rsid w:val="00875DEF"/>
    <w:rsid w:val="00875EBA"/>
    <w:rsid w:val="00881696"/>
    <w:rsid w:val="00882463"/>
    <w:rsid w:val="00883CFA"/>
    <w:rsid w:val="00895B99"/>
    <w:rsid w:val="008B3F50"/>
    <w:rsid w:val="008C482F"/>
    <w:rsid w:val="008C50CD"/>
    <w:rsid w:val="008C7546"/>
    <w:rsid w:val="008E1C68"/>
    <w:rsid w:val="008F27E5"/>
    <w:rsid w:val="00900095"/>
    <w:rsid w:val="009008E9"/>
    <w:rsid w:val="00926822"/>
    <w:rsid w:val="00950E85"/>
    <w:rsid w:val="009555AB"/>
    <w:rsid w:val="00965A95"/>
    <w:rsid w:val="00985A60"/>
    <w:rsid w:val="009948B1"/>
    <w:rsid w:val="009A209A"/>
    <w:rsid w:val="009B29DB"/>
    <w:rsid w:val="009B6CDB"/>
    <w:rsid w:val="009C28DB"/>
    <w:rsid w:val="009D29E2"/>
    <w:rsid w:val="009D47AD"/>
    <w:rsid w:val="00A03B7F"/>
    <w:rsid w:val="00A27265"/>
    <w:rsid w:val="00A47A4E"/>
    <w:rsid w:val="00A51CBC"/>
    <w:rsid w:val="00A817F0"/>
    <w:rsid w:val="00A82C24"/>
    <w:rsid w:val="00AA22DD"/>
    <w:rsid w:val="00AF2C01"/>
    <w:rsid w:val="00B33540"/>
    <w:rsid w:val="00B63B3E"/>
    <w:rsid w:val="00B67CCA"/>
    <w:rsid w:val="00B7705D"/>
    <w:rsid w:val="00B8273E"/>
    <w:rsid w:val="00BB1BC5"/>
    <w:rsid w:val="00BB5C01"/>
    <w:rsid w:val="00BD2409"/>
    <w:rsid w:val="00C10113"/>
    <w:rsid w:val="00C174B2"/>
    <w:rsid w:val="00C32237"/>
    <w:rsid w:val="00C34CCC"/>
    <w:rsid w:val="00C4306C"/>
    <w:rsid w:val="00C45840"/>
    <w:rsid w:val="00C61D49"/>
    <w:rsid w:val="00C77DFC"/>
    <w:rsid w:val="00C85600"/>
    <w:rsid w:val="00CC1CFD"/>
    <w:rsid w:val="00CC5208"/>
    <w:rsid w:val="00CC57A3"/>
    <w:rsid w:val="00CC5C89"/>
    <w:rsid w:val="00CC73D8"/>
    <w:rsid w:val="00CD30FD"/>
    <w:rsid w:val="00CD7862"/>
    <w:rsid w:val="00CF4727"/>
    <w:rsid w:val="00D0525E"/>
    <w:rsid w:val="00D05779"/>
    <w:rsid w:val="00D15571"/>
    <w:rsid w:val="00D15AFC"/>
    <w:rsid w:val="00D170AD"/>
    <w:rsid w:val="00D60FAA"/>
    <w:rsid w:val="00D715C7"/>
    <w:rsid w:val="00D8616F"/>
    <w:rsid w:val="00D923EF"/>
    <w:rsid w:val="00D955A3"/>
    <w:rsid w:val="00DA33FD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64292"/>
    <w:rsid w:val="00E73E4D"/>
    <w:rsid w:val="00EB5EFB"/>
    <w:rsid w:val="00ED6DC2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D243C"/>
    <w:rsid w:val="00FE47B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D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DDC"/>
    <w:rPr>
      <w:rFonts w:asciiTheme="majorHAnsi" w:eastAsiaTheme="majorEastAsia" w:hAnsiTheme="majorHAnsi" w:cstheme="majorBidi"/>
      <w:color w:val="243F60" w:themeColor="accent1" w:themeShade="7F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D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DDC"/>
    <w:rPr>
      <w:rFonts w:asciiTheme="majorHAnsi" w:eastAsiaTheme="majorEastAsia" w:hAnsiTheme="majorHAnsi" w:cstheme="majorBidi"/>
      <w:color w:val="243F60" w:themeColor="accent1" w:themeShade="7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762C9-D1F5-4BDB-BBC2-3521F936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Gabriela</cp:lastModifiedBy>
  <cp:revision>4</cp:revision>
  <cp:lastPrinted>2014-10-24T19:41:00Z</cp:lastPrinted>
  <dcterms:created xsi:type="dcterms:W3CDTF">2014-10-24T19:40:00Z</dcterms:created>
  <dcterms:modified xsi:type="dcterms:W3CDTF">2014-10-24T21:15:00Z</dcterms:modified>
</cp:coreProperties>
</file>