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B42594" w:rsidRDefault="00D170AD" w:rsidP="007D449B">
      <w:pPr>
        <w:pStyle w:val="Heading2"/>
        <w:numPr>
          <w:ilvl w:val="0"/>
          <w:numId w:val="0"/>
        </w:numPr>
        <w:spacing w:before="0" w:after="0"/>
        <w:jc w:val="center"/>
        <w:rPr>
          <w:i/>
          <w:smallCaps w:val="0"/>
          <w:noProof/>
        </w:rPr>
      </w:pPr>
      <w:bookmarkStart w:id="0" w:name="_GoBack"/>
      <w:bookmarkEnd w:id="0"/>
      <w:r w:rsidRPr="00B42594">
        <w:rPr>
          <w:i/>
          <w:smallCaps w:val="0"/>
          <w:noProof/>
        </w:rPr>
        <w:t xml:space="preserve">LIBRO </w:t>
      </w:r>
      <w:r w:rsidR="00DC2803">
        <w:rPr>
          <w:i/>
          <w:smallCaps w:val="0"/>
          <w:noProof/>
        </w:rPr>
        <w:t>1</w:t>
      </w:r>
      <w:r w:rsidRPr="00B42594">
        <w:rPr>
          <w:i/>
          <w:smallCaps w:val="0"/>
          <w:noProof/>
        </w:rPr>
        <w:t xml:space="preserve">°, TÍTULO </w:t>
      </w:r>
      <w:r w:rsidR="00027F7E" w:rsidRPr="00B42594">
        <w:rPr>
          <w:i/>
          <w:smallCaps w:val="0"/>
          <w:noProof/>
        </w:rPr>
        <w:t>V</w:t>
      </w:r>
      <w:r w:rsidRPr="00B42594">
        <w:rPr>
          <w:i/>
          <w:smallCaps w:val="0"/>
          <w:noProof/>
        </w:rPr>
        <w:t>, CAPÍTULO I</w:t>
      </w:r>
    </w:p>
    <w:p w:rsidR="00FA1F21" w:rsidRPr="00B42594" w:rsidRDefault="00F54B85" w:rsidP="003352F4">
      <w:pPr>
        <w:pStyle w:val="Heading2"/>
        <w:numPr>
          <w:ilvl w:val="0"/>
          <w:numId w:val="0"/>
        </w:numPr>
        <w:spacing w:before="200" w:after="0"/>
        <w:ind w:left="851" w:right="851"/>
        <w:jc w:val="center"/>
        <w:rPr>
          <w:i/>
          <w:noProof/>
        </w:rPr>
      </w:pPr>
      <w:r w:rsidRPr="00B42594">
        <w:rPr>
          <w:noProof/>
        </w:rPr>
        <w:t xml:space="preserve">ANEXO </w:t>
      </w:r>
      <w:r w:rsidR="009D62BB">
        <w:rPr>
          <w:noProof/>
        </w:rPr>
        <w:t>14</w:t>
      </w:r>
      <w:r w:rsidRPr="00B42594">
        <w:rPr>
          <w:noProof/>
        </w:rPr>
        <w:t>:</w:t>
      </w:r>
      <w:r w:rsidRPr="00B42594">
        <w:rPr>
          <w:noProof/>
        </w:rPr>
        <w:tab/>
      </w:r>
      <w:r w:rsidR="00D02EC1" w:rsidRPr="00B42594">
        <w:rPr>
          <w:i/>
          <w:noProof/>
        </w:rPr>
        <w:t xml:space="preserve">Hoja de </w:t>
      </w:r>
      <w:r w:rsidR="00914715">
        <w:rPr>
          <w:i/>
          <w:noProof/>
        </w:rPr>
        <w:t xml:space="preserve">Ajustes y </w:t>
      </w:r>
      <w:r w:rsidR="00D02EC1" w:rsidRPr="00B42594">
        <w:rPr>
          <w:i/>
          <w:noProof/>
        </w:rPr>
        <w:t>Eliminaciones – Estado de Situación Patrimonial Consolidad</w:t>
      </w:r>
      <w:r w:rsidR="00482177" w:rsidRPr="00B42594">
        <w:rPr>
          <w:i/>
          <w:noProof/>
        </w:rPr>
        <w:t>o</w:t>
      </w:r>
    </w:p>
    <w:p w:rsidR="007D449B" w:rsidRPr="00B42594" w:rsidRDefault="007D449B" w:rsidP="007D449B">
      <w:pPr>
        <w:jc w:val="center"/>
        <w:rPr>
          <w:b/>
          <w:sz w:val="20"/>
          <w:szCs w:val="16"/>
        </w:rPr>
      </w:pPr>
    </w:p>
    <w:p w:rsidR="009B04BB" w:rsidRPr="00B42594" w:rsidRDefault="00482177" w:rsidP="003352F4">
      <w:pPr>
        <w:spacing w:after="120"/>
        <w:jc w:val="center"/>
        <w:rPr>
          <w:b/>
          <w:sz w:val="20"/>
          <w:szCs w:val="16"/>
        </w:rPr>
      </w:pPr>
      <w:r w:rsidRPr="00B42594">
        <w:rPr>
          <w:b/>
          <w:sz w:val="20"/>
          <w:szCs w:val="16"/>
        </w:rPr>
        <w:t>AL</w:t>
      </w:r>
      <w:proofErr w:type="gramStart"/>
      <w:r w:rsidRPr="00B42594">
        <w:rPr>
          <w:b/>
          <w:sz w:val="20"/>
          <w:szCs w:val="16"/>
        </w:rPr>
        <w:t xml:space="preserve"> ….</w:t>
      </w:r>
      <w:proofErr w:type="gramEnd"/>
      <w:r w:rsidRPr="00B42594">
        <w:rPr>
          <w:b/>
          <w:sz w:val="20"/>
          <w:szCs w:val="16"/>
        </w:rPr>
        <w:t>. DE</w:t>
      </w:r>
      <w:proofErr w:type="gramStart"/>
      <w:r w:rsidRPr="00B42594">
        <w:rPr>
          <w:b/>
          <w:sz w:val="20"/>
          <w:szCs w:val="16"/>
        </w:rPr>
        <w:t xml:space="preserve"> ….</w:t>
      </w:r>
      <w:proofErr w:type="gramEnd"/>
      <w:r w:rsidRPr="00B42594">
        <w:rPr>
          <w:b/>
          <w:sz w:val="20"/>
          <w:szCs w:val="16"/>
        </w:rPr>
        <w:t>. DEL ….</w:t>
      </w:r>
    </w:p>
    <w:p w:rsidR="003620A0" w:rsidRPr="00B42594" w:rsidRDefault="00610194" w:rsidP="00482177">
      <w:pPr>
        <w:jc w:val="center"/>
        <w:rPr>
          <w:b/>
          <w:sz w:val="20"/>
          <w:szCs w:val="16"/>
        </w:rPr>
      </w:pPr>
      <w:r w:rsidRPr="00B42594">
        <w:rPr>
          <w:b/>
          <w:sz w:val="20"/>
          <w:szCs w:val="16"/>
        </w:rPr>
        <w:t>(EN MILES DE BOLIVIANOS)</w:t>
      </w:r>
    </w:p>
    <w:p w:rsidR="007A2DD9" w:rsidRPr="00B42594" w:rsidRDefault="007A2DD9" w:rsidP="003620A0"/>
    <w:tbl>
      <w:tblPr>
        <w:tblW w:w="52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27"/>
        <w:gridCol w:w="750"/>
        <w:gridCol w:w="750"/>
        <w:gridCol w:w="750"/>
        <w:gridCol w:w="240"/>
        <w:gridCol w:w="429"/>
        <w:gridCol w:w="357"/>
        <w:gridCol w:w="292"/>
        <w:gridCol w:w="421"/>
        <w:gridCol w:w="287"/>
        <w:gridCol w:w="274"/>
        <w:gridCol w:w="381"/>
        <w:gridCol w:w="422"/>
        <w:gridCol w:w="363"/>
        <w:gridCol w:w="363"/>
        <w:gridCol w:w="371"/>
        <w:gridCol w:w="371"/>
        <w:gridCol w:w="363"/>
        <w:gridCol w:w="363"/>
        <w:gridCol w:w="242"/>
        <w:gridCol w:w="435"/>
        <w:gridCol w:w="1421"/>
      </w:tblGrid>
      <w:tr w:rsidR="005C73DA" w:rsidRPr="00B42594" w:rsidTr="005C73DA">
        <w:trPr>
          <w:trHeight w:val="264"/>
          <w:tblHeader/>
          <w:jc w:val="center"/>
        </w:trPr>
        <w:tc>
          <w:tcPr>
            <w:tcW w:w="1254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09204F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DESCRIPCIÓN</w:t>
            </w:r>
          </w:p>
        </w:tc>
        <w:tc>
          <w:tcPr>
            <w:tcW w:w="29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D02EC1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Empresa</w:t>
            </w:r>
          </w:p>
          <w:p w:rsidR="005C73DA" w:rsidRPr="00B42594" w:rsidRDefault="005C73DA" w:rsidP="00D02EC1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A (*)</w:t>
            </w:r>
          </w:p>
        </w:tc>
        <w:tc>
          <w:tcPr>
            <w:tcW w:w="842" w:type="pct"/>
            <w:gridSpan w:val="4"/>
            <w:shd w:val="clear" w:color="auto" w:fill="BFBFBF" w:themeFill="background1" w:themeFillShade="BF"/>
            <w:vAlign w:val="center"/>
          </w:tcPr>
          <w:p w:rsidR="005C73DA" w:rsidRPr="00B42594" w:rsidRDefault="005C73DA" w:rsidP="00D02EC1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 xml:space="preserve">EMPRESAS A SER CONSOLIDADAS CON LA PRINCIPAL </w:t>
            </w:r>
            <w:r w:rsidRPr="00B42594">
              <w:rPr>
                <w:b/>
                <w:snapToGrid w:val="0"/>
                <w:color w:val="000000"/>
                <w:sz w:val="18"/>
                <w:szCs w:val="16"/>
                <w:vertAlign w:val="superscript"/>
              </w:rPr>
              <w:t>1</w:t>
            </w:r>
          </w:p>
        </w:tc>
        <w:tc>
          <w:tcPr>
            <w:tcW w:w="948" w:type="pct"/>
            <w:gridSpan w:val="7"/>
            <w:shd w:val="clear" w:color="auto" w:fill="BFBFBF" w:themeFill="background1" w:themeFillShade="BF"/>
            <w:vAlign w:val="center"/>
          </w:tcPr>
          <w:p w:rsidR="005C73DA" w:rsidRPr="00B42594" w:rsidRDefault="005C73DA" w:rsidP="005C73DA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>
              <w:rPr>
                <w:b/>
                <w:snapToGrid w:val="0"/>
                <w:color w:val="000000"/>
                <w:sz w:val="18"/>
                <w:szCs w:val="16"/>
              </w:rPr>
              <w:t>AJUSTES</w:t>
            </w: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 xml:space="preserve"> </w:t>
            </w:r>
            <w:r>
              <w:rPr>
                <w:b/>
                <w:snapToGrid w:val="0"/>
                <w:color w:val="000000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1113" w:type="pct"/>
            <w:gridSpan w:val="8"/>
            <w:shd w:val="clear" w:color="auto" w:fill="BFBFBF" w:themeFill="background1" w:themeFillShade="BF"/>
            <w:vAlign w:val="center"/>
          </w:tcPr>
          <w:p w:rsidR="005C73DA" w:rsidRPr="00B42594" w:rsidRDefault="005C73DA" w:rsidP="00D02EC1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 xml:space="preserve">ELIMINACIONES </w:t>
            </w:r>
            <w:r>
              <w:rPr>
                <w:b/>
                <w:snapToGrid w:val="0"/>
                <w:color w:val="000000"/>
                <w:sz w:val="18"/>
                <w:szCs w:val="16"/>
                <w:vertAlign w:val="superscript"/>
              </w:rPr>
              <w:t>3</w:t>
            </w:r>
          </w:p>
        </w:tc>
        <w:tc>
          <w:tcPr>
            <w:tcW w:w="552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D02EC1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TOTAL CONSOLIDADO</w:t>
            </w:r>
          </w:p>
        </w:tc>
      </w:tr>
      <w:tr w:rsidR="005C73DA" w:rsidRPr="00B42594" w:rsidTr="005C73DA">
        <w:trPr>
          <w:trHeight w:val="210"/>
          <w:tblHeader/>
          <w:jc w:val="center"/>
        </w:trPr>
        <w:tc>
          <w:tcPr>
            <w:tcW w:w="1254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Empresa</w:t>
            </w:r>
          </w:p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B</w:t>
            </w:r>
          </w:p>
        </w:tc>
        <w:tc>
          <w:tcPr>
            <w:tcW w:w="29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Empresa C</w:t>
            </w:r>
          </w:p>
        </w:tc>
        <w:tc>
          <w:tcPr>
            <w:tcW w:w="93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…</w:t>
            </w:r>
          </w:p>
        </w:tc>
        <w:tc>
          <w:tcPr>
            <w:tcW w:w="166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Sub-total</w:t>
            </w:r>
          </w:p>
        </w:tc>
        <w:tc>
          <w:tcPr>
            <w:tcW w:w="417" w:type="pct"/>
            <w:gridSpan w:val="3"/>
            <w:shd w:val="clear" w:color="auto" w:fill="BFBFBF" w:themeFill="background1" w:themeFillShade="BF"/>
            <w:vAlign w:val="center"/>
          </w:tcPr>
          <w:p w:rsidR="005C73DA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Debe</w:t>
            </w:r>
          </w:p>
        </w:tc>
        <w:tc>
          <w:tcPr>
            <w:tcW w:w="367" w:type="pct"/>
            <w:gridSpan w:val="3"/>
            <w:shd w:val="clear" w:color="auto" w:fill="BFBFBF" w:themeFill="background1" w:themeFillShade="BF"/>
            <w:vAlign w:val="center"/>
          </w:tcPr>
          <w:p w:rsidR="005C73DA" w:rsidRPr="005C73DA" w:rsidRDefault="005C73DA" w:rsidP="005C73DA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Haber</w:t>
            </w:r>
          </w:p>
        </w:tc>
        <w:tc>
          <w:tcPr>
            <w:tcW w:w="164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Sub-total</w:t>
            </w:r>
          </w:p>
        </w:tc>
        <w:tc>
          <w:tcPr>
            <w:tcW w:w="14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A/B</w:t>
            </w:r>
          </w:p>
        </w:tc>
        <w:tc>
          <w:tcPr>
            <w:tcW w:w="14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B/A</w:t>
            </w:r>
          </w:p>
        </w:tc>
        <w:tc>
          <w:tcPr>
            <w:tcW w:w="144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A/C</w:t>
            </w:r>
          </w:p>
        </w:tc>
        <w:tc>
          <w:tcPr>
            <w:tcW w:w="144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C/A</w:t>
            </w:r>
          </w:p>
        </w:tc>
        <w:tc>
          <w:tcPr>
            <w:tcW w:w="14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B/C</w:t>
            </w:r>
          </w:p>
        </w:tc>
        <w:tc>
          <w:tcPr>
            <w:tcW w:w="141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C/B</w:t>
            </w:r>
          </w:p>
        </w:tc>
        <w:tc>
          <w:tcPr>
            <w:tcW w:w="94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…</w:t>
            </w:r>
          </w:p>
        </w:tc>
        <w:tc>
          <w:tcPr>
            <w:tcW w:w="169" w:type="pct"/>
            <w:vMerge w:val="restart"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Sub total</w:t>
            </w:r>
          </w:p>
        </w:tc>
        <w:tc>
          <w:tcPr>
            <w:tcW w:w="552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189"/>
          <w:tblHeader/>
          <w:jc w:val="center"/>
        </w:trPr>
        <w:tc>
          <w:tcPr>
            <w:tcW w:w="1254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  <w:shd w:val="clear" w:color="auto" w:fill="BFBFBF" w:themeFill="background1" w:themeFillShade="BF"/>
            <w:vAlign w:val="center"/>
          </w:tcPr>
          <w:p w:rsidR="005C73DA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4" w:type="pct"/>
            <w:shd w:val="clear" w:color="auto" w:fill="BFBFBF" w:themeFill="background1" w:themeFillShade="BF"/>
            <w:vAlign w:val="center"/>
          </w:tcPr>
          <w:p w:rsidR="005C73DA" w:rsidRPr="00752C72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C</w:t>
            </w:r>
          </w:p>
        </w:tc>
        <w:tc>
          <w:tcPr>
            <w:tcW w:w="164" w:type="pct"/>
            <w:shd w:val="clear" w:color="auto" w:fill="BFBFBF" w:themeFill="background1" w:themeFillShade="BF"/>
          </w:tcPr>
          <w:p w:rsidR="005C73DA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…</w:t>
            </w:r>
          </w:p>
        </w:tc>
        <w:tc>
          <w:tcPr>
            <w:tcW w:w="112" w:type="pct"/>
            <w:shd w:val="clear" w:color="auto" w:fill="BFBFBF" w:themeFill="background1" w:themeFillShade="BF"/>
            <w:vAlign w:val="center"/>
          </w:tcPr>
          <w:p w:rsidR="005C73DA" w:rsidRPr="00752C72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8"/>
              </w:rPr>
            </w:pPr>
            <w:r>
              <w:rPr>
                <w:b/>
                <w:snapToGrid w:val="0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7" w:type="pct"/>
            <w:shd w:val="clear" w:color="auto" w:fill="BFBFBF" w:themeFill="background1" w:themeFillShade="BF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>
              <w:rPr>
                <w:b/>
                <w:snapToGrid w:val="0"/>
                <w:color w:val="000000"/>
                <w:sz w:val="18"/>
                <w:szCs w:val="16"/>
              </w:rPr>
              <w:t>C</w:t>
            </w:r>
          </w:p>
        </w:tc>
        <w:tc>
          <w:tcPr>
            <w:tcW w:w="148" w:type="pct"/>
            <w:shd w:val="clear" w:color="auto" w:fill="BFBFBF" w:themeFill="background1" w:themeFillShade="BF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…</w:t>
            </w:r>
          </w:p>
        </w:tc>
        <w:tc>
          <w:tcPr>
            <w:tcW w:w="164" w:type="pct"/>
            <w:vMerge/>
            <w:shd w:val="clear" w:color="auto" w:fill="BFBFBF" w:themeFill="background1" w:themeFillShade="BF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Merge/>
            <w:shd w:val="clear" w:color="auto" w:fill="BFBFBF" w:themeFill="background1" w:themeFillShade="BF"/>
            <w:vAlign w:val="center"/>
          </w:tcPr>
          <w:p w:rsidR="005C73DA" w:rsidRPr="00B42594" w:rsidRDefault="005C73DA" w:rsidP="004B05C5">
            <w:pPr>
              <w:jc w:val="center"/>
              <w:rPr>
                <w:b/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ACTIVO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Disponibilidades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6F0ECB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Inversiones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Cartera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Exigible técnico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Otras cuentas por cobrar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Bienes realizables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Bienes de uso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Otros activos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Fideicomisos constituidos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Total del Activo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Cuentas contingentes deudoras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Cuentas de orden deudoras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6F0ECB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Derechos de terceros en administración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PASIVO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Obligaciones con el público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Obligaciones con instituciones fiscales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 xml:space="preserve">Obligaciones por operaciones de reporto 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Obligaciones por operaciones bursátiles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lastRenderedPageBreak/>
              <w:t>Obligaciones con Bancos y Entidades de Financiamiento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C1446F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Obligaciones técnicas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Otras cuentas por pagar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C1446F">
            <w:pPr>
              <w:jc w:val="left"/>
              <w:rPr>
                <w:snapToGrid w:val="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Reservas técnicas de seguros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C1446F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Reservas técnicas de siniestros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C1446F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Previsiones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Valores en circulación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Obligaciones subordinadas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E416E2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 xml:space="preserve">Obligaciones con empresas </w:t>
            </w:r>
            <w:r w:rsidR="00E416E2">
              <w:rPr>
                <w:snapToGrid w:val="0"/>
                <w:sz w:val="18"/>
                <w:szCs w:val="16"/>
              </w:rPr>
              <w:t>públicas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Total del pasivo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Participación minoritaria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PATRIMONIO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Capital social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C1446F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Aportes no capitalizados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Reservas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Cs/>
                <w:snapToGrid w:val="0"/>
                <w:color w:val="000000"/>
                <w:sz w:val="18"/>
                <w:szCs w:val="16"/>
              </w:rPr>
              <w:t>Resultados acumulados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bCs/>
                <w:snapToGrid w:val="0"/>
                <w:color w:val="000000"/>
                <w:sz w:val="18"/>
                <w:szCs w:val="16"/>
              </w:rPr>
              <w:t>Total del patrimonio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b/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b/>
                <w:snapToGrid w:val="0"/>
                <w:color w:val="000000"/>
                <w:sz w:val="18"/>
                <w:szCs w:val="16"/>
              </w:rPr>
              <w:t>Total del pasivo y patrimonio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F7BF2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 xml:space="preserve">Cuentas contingentes acreedoras 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DF7BF2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color w:val="000000"/>
                <w:sz w:val="18"/>
                <w:szCs w:val="16"/>
              </w:rPr>
              <w:t>Cuentas de orden acreedoras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  <w:tr w:rsidR="005C73DA" w:rsidRPr="00B42594" w:rsidTr="005C73DA">
        <w:trPr>
          <w:trHeight w:val="250"/>
          <w:jc w:val="center"/>
        </w:trPr>
        <w:tc>
          <w:tcPr>
            <w:tcW w:w="1254" w:type="pct"/>
            <w:vAlign w:val="center"/>
          </w:tcPr>
          <w:p w:rsidR="005C73DA" w:rsidRPr="00B42594" w:rsidRDefault="005C73DA" w:rsidP="00B16ACD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  <w:r w:rsidRPr="00B42594">
              <w:rPr>
                <w:snapToGrid w:val="0"/>
                <w:sz w:val="18"/>
                <w:szCs w:val="16"/>
              </w:rPr>
              <w:t>Obligaciones de terceros en administración</w:t>
            </w: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29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3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39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12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07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8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4" w:type="pct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41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94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169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  <w:tc>
          <w:tcPr>
            <w:tcW w:w="552" w:type="pct"/>
            <w:vAlign w:val="center"/>
          </w:tcPr>
          <w:p w:rsidR="005C73DA" w:rsidRPr="00B42594" w:rsidRDefault="005C73DA" w:rsidP="00D02EC1">
            <w:pPr>
              <w:jc w:val="left"/>
              <w:rPr>
                <w:snapToGrid w:val="0"/>
                <w:color w:val="000000"/>
                <w:sz w:val="18"/>
                <w:szCs w:val="16"/>
              </w:rPr>
            </w:pPr>
          </w:p>
        </w:tc>
      </w:tr>
    </w:tbl>
    <w:p w:rsidR="003352F4" w:rsidRDefault="003352F4" w:rsidP="003620A0">
      <w:pPr>
        <w:rPr>
          <w:sz w:val="16"/>
          <w:szCs w:val="16"/>
        </w:rPr>
      </w:pPr>
    </w:p>
    <w:tbl>
      <w:tblPr>
        <w:tblW w:w="5267" w:type="pct"/>
        <w:tblInd w:w="-284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00"/>
      </w:tblGrid>
      <w:tr w:rsidR="00D02EC1" w:rsidRPr="00B42594" w:rsidTr="00FA685A">
        <w:trPr>
          <w:cantSplit/>
          <w:trHeight w:val="39"/>
        </w:trPr>
        <w:tc>
          <w:tcPr>
            <w:tcW w:w="5000" w:type="pct"/>
            <w:tcBorders>
              <w:top w:val="single" w:sz="12" w:space="0" w:color="auto"/>
            </w:tcBorders>
          </w:tcPr>
          <w:p w:rsidR="00D02EC1" w:rsidRPr="00B42594" w:rsidRDefault="00D02EC1" w:rsidP="00D02EC1">
            <w:pPr>
              <w:rPr>
                <w:snapToGrid w:val="0"/>
                <w:color w:val="000000"/>
                <w:sz w:val="18"/>
              </w:rPr>
            </w:pPr>
            <w:r w:rsidRPr="00B42594">
              <w:rPr>
                <w:snapToGrid w:val="0"/>
                <w:color w:val="000000"/>
                <w:sz w:val="18"/>
              </w:rPr>
              <w:t xml:space="preserve">(*) Empresa encargada de presentar estados financieros consolidados a </w:t>
            </w:r>
            <w:r w:rsidRPr="00B42594">
              <w:rPr>
                <w:snapToGrid w:val="0"/>
                <w:color w:val="0000FF"/>
                <w:sz w:val="18"/>
              </w:rPr>
              <w:t>ASFI</w:t>
            </w:r>
          </w:p>
        </w:tc>
      </w:tr>
      <w:tr w:rsidR="00D02EC1" w:rsidRPr="00D02EC1" w:rsidTr="00FA685A">
        <w:trPr>
          <w:cantSplit/>
          <w:trHeight w:val="39"/>
        </w:trPr>
        <w:tc>
          <w:tcPr>
            <w:tcW w:w="5000" w:type="pct"/>
          </w:tcPr>
          <w:p w:rsidR="00D02EC1" w:rsidRPr="001F373C" w:rsidRDefault="002812C3" w:rsidP="009E70D9">
            <w:pPr>
              <w:rPr>
                <w:snapToGrid w:val="0"/>
                <w:color w:val="000000"/>
                <w:sz w:val="18"/>
              </w:rPr>
            </w:pPr>
            <w:r w:rsidRPr="00B42594">
              <w:rPr>
                <w:snapToGrid w:val="0"/>
                <w:color w:val="000000"/>
                <w:sz w:val="18"/>
              </w:rPr>
              <w:t xml:space="preserve">(1) </w:t>
            </w:r>
            <w:r w:rsidR="00E139CF" w:rsidRPr="00B42594">
              <w:rPr>
                <w:snapToGrid w:val="0"/>
                <w:color w:val="000000"/>
                <w:sz w:val="18"/>
              </w:rPr>
              <w:t>Se debe presentar el Estado de Situación Patrimonial de cada empresa que compone el grupo</w:t>
            </w:r>
            <w:r w:rsidR="007D449B" w:rsidRPr="00B42594">
              <w:rPr>
                <w:snapToGrid w:val="0"/>
                <w:color w:val="000000"/>
                <w:sz w:val="18"/>
              </w:rPr>
              <w:t xml:space="preserve"> </w:t>
            </w:r>
            <w:r w:rsidR="00E139CF" w:rsidRPr="00B42594">
              <w:rPr>
                <w:snapToGrid w:val="0"/>
                <w:color w:val="000000"/>
                <w:sz w:val="18"/>
              </w:rPr>
              <w:t>en una columna separada y</w:t>
            </w:r>
            <w:r w:rsidR="007D449B" w:rsidRPr="00B42594">
              <w:rPr>
                <w:snapToGrid w:val="0"/>
                <w:color w:val="000000"/>
                <w:sz w:val="18"/>
              </w:rPr>
              <w:t xml:space="preserve"> </w:t>
            </w:r>
            <w:r w:rsidR="00E139CF" w:rsidRPr="00B42594">
              <w:rPr>
                <w:snapToGrid w:val="0"/>
                <w:color w:val="000000"/>
                <w:sz w:val="18"/>
              </w:rPr>
              <w:t xml:space="preserve">considerar </w:t>
            </w:r>
            <w:r w:rsidR="005711F6" w:rsidRPr="00B42594">
              <w:rPr>
                <w:snapToGrid w:val="0"/>
                <w:color w:val="000000"/>
                <w:sz w:val="18"/>
              </w:rPr>
              <w:t xml:space="preserve">en su preparación </w:t>
            </w:r>
            <w:r w:rsidRPr="00B42594">
              <w:rPr>
                <w:snapToGrid w:val="0"/>
                <w:color w:val="000000"/>
                <w:sz w:val="18"/>
              </w:rPr>
              <w:t xml:space="preserve">lo dispuesto en el </w:t>
            </w:r>
            <w:r w:rsidRPr="00B42594">
              <w:rPr>
                <w:i/>
                <w:snapToGrid w:val="0"/>
                <w:color w:val="000000"/>
                <w:sz w:val="18"/>
              </w:rPr>
              <w:t>Anexo 16: Guía para la Elaboración del Estado de Situaci</w:t>
            </w:r>
            <w:r w:rsidR="00321C5B" w:rsidRPr="00B42594">
              <w:rPr>
                <w:i/>
                <w:snapToGrid w:val="0"/>
                <w:color w:val="000000"/>
                <w:sz w:val="18"/>
              </w:rPr>
              <w:t>ón Patrimonial Consolidado</w:t>
            </w:r>
            <w:r w:rsidR="00C11BF6" w:rsidRPr="00B42594">
              <w:rPr>
                <w:snapToGrid w:val="0"/>
                <w:color w:val="000000"/>
                <w:sz w:val="18"/>
              </w:rPr>
              <w:t xml:space="preserve">. </w:t>
            </w:r>
          </w:p>
        </w:tc>
      </w:tr>
      <w:tr w:rsidR="009E70D9" w:rsidRPr="00D02EC1" w:rsidTr="00FA685A">
        <w:trPr>
          <w:cantSplit/>
          <w:trHeight w:val="39"/>
        </w:trPr>
        <w:tc>
          <w:tcPr>
            <w:tcW w:w="5000" w:type="pct"/>
          </w:tcPr>
          <w:p w:rsidR="009E70D9" w:rsidRDefault="009E70D9" w:rsidP="009E70D9">
            <w:pPr>
              <w:widowControl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lastRenderedPageBreak/>
              <w:t>(2</w:t>
            </w:r>
            <w:r w:rsidRPr="00B42594">
              <w:rPr>
                <w:snapToGrid w:val="0"/>
                <w:color w:val="000000"/>
                <w:sz w:val="18"/>
              </w:rPr>
              <w:t xml:space="preserve">) </w:t>
            </w:r>
            <w:r>
              <w:rPr>
                <w:snapToGrid w:val="0"/>
                <w:color w:val="000000"/>
                <w:sz w:val="18"/>
              </w:rPr>
              <w:t>Se deben exponer los ajustes, generados como efecto del proceso de consolidación (Homogeneización en</w:t>
            </w:r>
            <w:r w:rsidRPr="00914715">
              <w:rPr>
                <w:snapToGrid w:val="0"/>
                <w:color w:val="000000"/>
                <w:sz w:val="18"/>
              </w:rPr>
              <w:t xml:space="preserve"> la medición y valoración</w:t>
            </w:r>
            <w:r>
              <w:rPr>
                <w:snapToGrid w:val="0"/>
                <w:color w:val="000000"/>
                <w:sz w:val="18"/>
              </w:rPr>
              <w:t>)</w:t>
            </w:r>
            <w:r w:rsidRPr="00B42594">
              <w:rPr>
                <w:snapToGrid w:val="0"/>
                <w:color w:val="000000"/>
                <w:sz w:val="18"/>
              </w:rPr>
              <w:t xml:space="preserve">. </w:t>
            </w:r>
            <w:r w:rsidRPr="00475033">
              <w:rPr>
                <w:snapToGrid w:val="0"/>
                <w:color w:val="000000"/>
                <w:sz w:val="18"/>
              </w:rPr>
              <w:t>Si un</w:t>
            </w:r>
            <w:r>
              <w:rPr>
                <w:snapToGrid w:val="0"/>
                <w:color w:val="000000"/>
                <w:sz w:val="18"/>
              </w:rPr>
              <w:t>a</w:t>
            </w:r>
            <w:r w:rsidRPr="00475033">
              <w:rPr>
                <w:snapToGrid w:val="0"/>
                <w:color w:val="000000"/>
                <w:sz w:val="18"/>
              </w:rPr>
              <w:t xml:space="preserve"> </w:t>
            </w:r>
            <w:r>
              <w:rPr>
                <w:snapToGrid w:val="0"/>
                <w:color w:val="000000"/>
                <w:sz w:val="18"/>
              </w:rPr>
              <w:t>Empresa Financiera Integrante del Grupo Financiero (</w:t>
            </w:r>
            <w:proofErr w:type="spellStart"/>
            <w:r>
              <w:rPr>
                <w:snapToGrid w:val="0"/>
                <w:color w:val="000000"/>
                <w:sz w:val="18"/>
              </w:rPr>
              <w:t>EFIG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) </w:t>
            </w:r>
            <w:r w:rsidRPr="00475033">
              <w:rPr>
                <w:snapToGrid w:val="0"/>
                <w:color w:val="000000"/>
                <w:sz w:val="18"/>
              </w:rPr>
              <w:t>utiliza políticas contables diferentes de las adoptadas</w:t>
            </w:r>
            <w:r>
              <w:rPr>
                <w:snapToGrid w:val="0"/>
                <w:color w:val="000000"/>
                <w:sz w:val="18"/>
              </w:rPr>
              <w:t xml:space="preserve"> </w:t>
            </w:r>
            <w:r w:rsidRPr="00475033">
              <w:rPr>
                <w:snapToGrid w:val="0"/>
                <w:color w:val="000000"/>
                <w:sz w:val="18"/>
              </w:rPr>
              <w:t>en los estados financieros consolidados, para transacciones y otros sucesos</w:t>
            </w:r>
            <w:r>
              <w:rPr>
                <w:snapToGrid w:val="0"/>
                <w:color w:val="000000"/>
                <w:sz w:val="18"/>
              </w:rPr>
              <w:t xml:space="preserve"> </w:t>
            </w:r>
            <w:r w:rsidRPr="00475033">
              <w:rPr>
                <w:snapToGrid w:val="0"/>
                <w:color w:val="000000"/>
                <w:sz w:val="18"/>
              </w:rPr>
              <w:t>similares en circunstancias parecidas, se realizarán los ajustes adecuados en los</w:t>
            </w:r>
            <w:r>
              <w:rPr>
                <w:snapToGrid w:val="0"/>
                <w:color w:val="000000"/>
                <w:sz w:val="18"/>
              </w:rPr>
              <w:t xml:space="preserve"> </w:t>
            </w:r>
            <w:r w:rsidRPr="00475033">
              <w:rPr>
                <w:snapToGrid w:val="0"/>
                <w:color w:val="000000"/>
                <w:sz w:val="18"/>
              </w:rPr>
              <w:t>estados financieros de l</w:t>
            </w:r>
            <w:r>
              <w:rPr>
                <w:snapToGrid w:val="0"/>
                <w:color w:val="000000"/>
                <w:sz w:val="18"/>
              </w:rPr>
              <w:t xml:space="preserve">a </w:t>
            </w:r>
            <w:proofErr w:type="spellStart"/>
            <w:r>
              <w:rPr>
                <w:snapToGrid w:val="0"/>
                <w:color w:val="000000"/>
                <w:sz w:val="18"/>
              </w:rPr>
              <w:t>EFIG</w:t>
            </w:r>
            <w:proofErr w:type="spellEnd"/>
            <w:r>
              <w:rPr>
                <w:snapToGrid w:val="0"/>
                <w:color w:val="000000"/>
                <w:sz w:val="18"/>
              </w:rPr>
              <w:t xml:space="preserve"> </w:t>
            </w:r>
            <w:r w:rsidRPr="00475033">
              <w:rPr>
                <w:snapToGrid w:val="0"/>
                <w:color w:val="000000"/>
                <w:sz w:val="18"/>
              </w:rPr>
              <w:t>al elaborar los estados financieros</w:t>
            </w:r>
            <w:r>
              <w:rPr>
                <w:snapToGrid w:val="0"/>
                <w:color w:val="000000"/>
                <w:sz w:val="18"/>
              </w:rPr>
              <w:t xml:space="preserve"> </w:t>
            </w:r>
            <w:r w:rsidRPr="00475033">
              <w:rPr>
                <w:snapToGrid w:val="0"/>
                <w:color w:val="000000"/>
                <w:sz w:val="18"/>
              </w:rPr>
              <w:t>consolidados para asegurar la conformidad con las políticas contables del grupo</w:t>
            </w:r>
            <w:r>
              <w:rPr>
                <w:snapToGrid w:val="0"/>
                <w:color w:val="000000"/>
                <w:sz w:val="18"/>
              </w:rPr>
              <w:t xml:space="preserve"> financiero</w:t>
            </w:r>
            <w:r w:rsidRPr="00475033">
              <w:rPr>
                <w:snapToGrid w:val="0"/>
                <w:color w:val="000000"/>
                <w:sz w:val="18"/>
              </w:rPr>
              <w:t>.</w:t>
            </w:r>
          </w:p>
          <w:p w:rsidR="009E70D9" w:rsidRPr="00B42594" w:rsidRDefault="009E70D9" w:rsidP="009E70D9">
            <w:pPr>
              <w:widowControl/>
              <w:rPr>
                <w:snapToGrid w:val="0"/>
                <w:color w:val="000000"/>
                <w:sz w:val="18"/>
              </w:rPr>
            </w:pPr>
            <w:r w:rsidRPr="00B42594">
              <w:rPr>
                <w:snapToGrid w:val="0"/>
                <w:color w:val="000000"/>
                <w:sz w:val="18"/>
              </w:rPr>
              <w:t>(</w:t>
            </w:r>
            <w:r>
              <w:rPr>
                <w:snapToGrid w:val="0"/>
                <w:color w:val="000000"/>
                <w:sz w:val="18"/>
              </w:rPr>
              <w:t>3</w:t>
            </w:r>
            <w:r w:rsidRPr="00B42594">
              <w:rPr>
                <w:snapToGrid w:val="0"/>
                <w:color w:val="000000"/>
                <w:sz w:val="18"/>
              </w:rPr>
              <w:t>) Las operaciones deberán eliminarse de acuerdo con el orden en que aparecen en el balance general. Así por ejemplo, si (A) le ha otorgado un financiamiento a B, deberá mostrar a nivel de la partida correspondiente del activo, la eliminación de dicha operación en la columna (A/B) y en la columna (B/A), se mostrará a nivel de la respectiva cuenta del pasivo la eliminación de la obligación que en este caso (B) tiene frente a (A).</w:t>
            </w:r>
          </w:p>
        </w:tc>
      </w:tr>
    </w:tbl>
    <w:p w:rsidR="00D02EC1" w:rsidRDefault="00D02EC1" w:rsidP="007D449B"/>
    <w:sectPr w:rsidR="00D02EC1" w:rsidSect="007A2D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5840" w:h="12240" w:orient="landscape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00C" w:rsidRDefault="004C600C" w:rsidP="003D6016">
      <w:r>
        <w:separator/>
      </w:r>
    </w:p>
  </w:endnote>
  <w:endnote w:type="continuationSeparator" w:id="0">
    <w:p w:rsidR="004C600C" w:rsidRDefault="004C600C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2050206030506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742" w:rsidRDefault="002117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2BB" w:rsidRDefault="009D62BB" w:rsidP="009D62BB">
    <w:pPr>
      <w:framePr w:w="1764" w:wrap="around" w:vAnchor="text" w:hAnchor="page" w:x="12387" w:y="1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9D62BB" w:rsidRPr="00BB5C01" w:rsidRDefault="009D62BB" w:rsidP="009D62BB">
    <w:pPr>
      <w:framePr w:w="1764" w:wrap="around" w:vAnchor="text" w:hAnchor="page" w:x="12387" w:y="1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V</w:t>
    </w:r>
  </w:p>
  <w:p w:rsidR="009D62BB" w:rsidRDefault="009D62BB" w:rsidP="009D62BB">
    <w:pPr>
      <w:framePr w:w="1764" w:wrap="around" w:vAnchor="text" w:hAnchor="page" w:x="12387" w:y="1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</w:p>
  <w:p w:rsidR="009D62BB" w:rsidRPr="00BB5C01" w:rsidRDefault="009D62BB" w:rsidP="009D62BB">
    <w:pPr>
      <w:framePr w:w="1764" w:wrap="around" w:vAnchor="text" w:hAnchor="page" w:x="12387" w:y="1"/>
      <w:jc w:val="right"/>
      <w:rPr>
        <w:noProof/>
        <w:sz w:val="18"/>
        <w:szCs w:val="18"/>
      </w:rPr>
    </w:pPr>
    <w:r w:rsidRPr="00DC2803">
      <w:rPr>
        <w:noProof/>
        <w:sz w:val="18"/>
        <w:szCs w:val="18"/>
      </w:rPr>
      <w:t>Anexo 14</w:t>
    </w:r>
  </w:p>
  <w:p w:rsidR="009D62BB" w:rsidRPr="00BB5C01" w:rsidRDefault="009D62BB" w:rsidP="009D62BB">
    <w:pPr>
      <w:framePr w:w="1764" w:wrap="around" w:vAnchor="text" w:hAnchor="page" w:x="12387" w:y="1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D3554F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C263C">
      <w:rPr>
        <w:noProof/>
        <w:sz w:val="18"/>
        <w:szCs w:val="18"/>
      </w:rPr>
      <w:fldChar w:fldCharType="begin"/>
    </w:r>
    <w:r w:rsidR="002C263C">
      <w:rPr>
        <w:noProof/>
        <w:sz w:val="18"/>
        <w:szCs w:val="18"/>
      </w:rPr>
      <w:instrText xml:space="preserve"> NUMPAGES  </w:instrText>
    </w:r>
    <w:r w:rsidR="002C263C">
      <w:rPr>
        <w:noProof/>
        <w:sz w:val="18"/>
        <w:szCs w:val="18"/>
      </w:rPr>
      <w:fldChar w:fldCharType="separate"/>
    </w:r>
    <w:r w:rsidR="00D3554F">
      <w:rPr>
        <w:noProof/>
        <w:sz w:val="18"/>
        <w:szCs w:val="18"/>
      </w:rPr>
      <w:t>3</w:t>
    </w:r>
    <w:r w:rsidR="002C263C">
      <w:rPr>
        <w:noProof/>
        <w:sz w:val="18"/>
        <w:szCs w:val="18"/>
      </w:rPr>
      <w:fldChar w:fldCharType="end"/>
    </w:r>
  </w:p>
  <w:p w:rsidR="009D62BB" w:rsidRPr="001E74E2" w:rsidRDefault="009D62BB" w:rsidP="00FA685A">
    <w:pPr>
      <w:pStyle w:val="Footer"/>
      <w:ind w:left="-284"/>
      <w:rPr>
        <w:color w:val="0000FF"/>
        <w:sz w:val="18"/>
        <w:szCs w:val="18"/>
      </w:rPr>
    </w:pPr>
    <w:r w:rsidRPr="001E74E2">
      <w:rPr>
        <w:i/>
        <w:noProof/>
        <w:color w:val="0000FF"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8084BFF" wp14:editId="31584463">
              <wp:simplePos x="0" y="0"/>
              <wp:positionH relativeFrom="column">
                <wp:posOffset>-245745</wp:posOffset>
              </wp:positionH>
              <wp:positionV relativeFrom="paragraph">
                <wp:posOffset>-13335</wp:posOffset>
              </wp:positionV>
              <wp:extent cx="8277225" cy="0"/>
              <wp:effectExtent l="0" t="0" r="28575" b="19050"/>
              <wp:wrapNone/>
              <wp:docPr id="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1C7F30" id="Straight Connector 1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35pt,-1.05pt" to="632.4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" strokecolor="black [3040]"/>
          </w:pict>
        </mc:Fallback>
      </mc:AlternateContent>
    </w:r>
    <w:r w:rsidRPr="001E74E2">
      <w:rPr>
        <w:color w:val="0000FF"/>
        <w:sz w:val="18"/>
        <w:szCs w:val="18"/>
      </w:rPr>
      <w:t>Control de versiones</w:t>
    </w:r>
  </w:p>
  <w:p w:rsidR="00E64292" w:rsidRPr="009D62BB" w:rsidRDefault="009D62BB" w:rsidP="00FA685A">
    <w:pPr>
      <w:pStyle w:val="Footer"/>
      <w:ind w:left="-284"/>
      <w:rPr>
        <w:sz w:val="18"/>
        <w:szCs w:val="18"/>
      </w:rPr>
    </w:pPr>
    <w:r w:rsidRPr="001E74E2">
      <w:rPr>
        <w:sz w:val="18"/>
        <w:szCs w:val="18"/>
      </w:rPr>
      <w:t>Circular ASFI/</w:t>
    </w:r>
    <w:r w:rsidR="00211742">
      <w:rPr>
        <w:sz w:val="18"/>
        <w:szCs w:val="18"/>
      </w:rPr>
      <w:t>606</w:t>
    </w:r>
    <w:r w:rsidRPr="001E74E2">
      <w:rPr>
        <w:sz w:val="18"/>
        <w:szCs w:val="18"/>
      </w:rPr>
      <w:t>/201</w:t>
    </w:r>
    <w:r w:rsidR="00211742">
      <w:rPr>
        <w:sz w:val="18"/>
        <w:szCs w:val="18"/>
      </w:rPr>
      <w:t>9</w:t>
    </w:r>
    <w:r w:rsidRPr="001E74E2">
      <w:rPr>
        <w:sz w:val="18"/>
        <w:szCs w:val="18"/>
      </w:rPr>
      <w:t xml:space="preserve"> (última)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742" w:rsidRDefault="00211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00C" w:rsidRDefault="004C600C" w:rsidP="003D6016">
      <w:r>
        <w:separator/>
      </w:r>
    </w:p>
  </w:footnote>
  <w:footnote w:type="continuationSeparator" w:id="0">
    <w:p w:rsidR="004C600C" w:rsidRDefault="004C600C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742" w:rsidRDefault="002117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45535F" w:rsidP="00522A57">
    <w:pPr>
      <w:pStyle w:val="Header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742" w:rsidRDefault="002117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B1557B9"/>
    <w:multiLevelType w:val="hybridMultilevel"/>
    <w:tmpl w:val="4596F68E"/>
    <w:lvl w:ilvl="0" w:tplc="FB8A7C8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F1F4E"/>
    <w:multiLevelType w:val="hybridMultilevel"/>
    <w:tmpl w:val="7C2C308E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6B6658"/>
    <w:multiLevelType w:val="hybridMultilevel"/>
    <w:tmpl w:val="0CF451FA"/>
    <w:lvl w:ilvl="0" w:tplc="3CC4B4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89D2758"/>
    <w:multiLevelType w:val="hybridMultilevel"/>
    <w:tmpl w:val="2872F9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A894E01"/>
    <w:multiLevelType w:val="hybridMultilevel"/>
    <w:tmpl w:val="F05EE1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23A0D"/>
    <w:multiLevelType w:val="hybridMultilevel"/>
    <w:tmpl w:val="7EC24700"/>
    <w:lvl w:ilvl="0" w:tplc="40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AF59E4"/>
    <w:multiLevelType w:val="hybridMultilevel"/>
    <w:tmpl w:val="CF2A17FE"/>
    <w:lvl w:ilvl="0" w:tplc="C05E5C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8029D70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21"/>
  </w:num>
  <w:num w:numId="5">
    <w:abstractNumId w:val="24"/>
  </w:num>
  <w:num w:numId="6">
    <w:abstractNumId w:val="19"/>
  </w:num>
  <w:num w:numId="7">
    <w:abstractNumId w:val="0"/>
  </w:num>
  <w:num w:numId="8">
    <w:abstractNumId w:val="17"/>
  </w:num>
  <w:num w:numId="9">
    <w:abstractNumId w:val="23"/>
  </w:num>
  <w:num w:numId="10">
    <w:abstractNumId w:val="27"/>
  </w:num>
  <w:num w:numId="11">
    <w:abstractNumId w:val="8"/>
  </w:num>
  <w:num w:numId="12">
    <w:abstractNumId w:val="15"/>
  </w:num>
  <w:num w:numId="13">
    <w:abstractNumId w:val="5"/>
  </w:num>
  <w:num w:numId="14">
    <w:abstractNumId w:val="29"/>
  </w:num>
  <w:num w:numId="15">
    <w:abstractNumId w:val="9"/>
  </w:num>
  <w:num w:numId="16">
    <w:abstractNumId w:val="10"/>
  </w:num>
  <w:num w:numId="17">
    <w:abstractNumId w:val="6"/>
  </w:num>
  <w:num w:numId="18">
    <w:abstractNumId w:val="11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  <w:num w:numId="24">
    <w:abstractNumId w:val="20"/>
  </w:num>
  <w:num w:numId="25">
    <w:abstractNumId w:val="18"/>
  </w:num>
  <w:num w:numId="26">
    <w:abstractNumId w:val="26"/>
  </w:num>
  <w:num w:numId="27">
    <w:abstractNumId w:val="2"/>
  </w:num>
  <w:num w:numId="28">
    <w:abstractNumId w:val="3"/>
  </w:num>
  <w:num w:numId="29">
    <w:abstractNumId w:val="14"/>
  </w:num>
  <w:num w:numId="30">
    <w:abstractNumId w:val="25"/>
  </w:num>
  <w:num w:numId="31">
    <w:abstractNumId w:val="7"/>
  </w:num>
  <w:num w:numId="3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3A3C"/>
    <w:rsid w:val="00011950"/>
    <w:rsid w:val="00020B02"/>
    <w:rsid w:val="0002772D"/>
    <w:rsid w:val="00027C76"/>
    <w:rsid w:val="00027F7E"/>
    <w:rsid w:val="00081808"/>
    <w:rsid w:val="00083FA2"/>
    <w:rsid w:val="00085F47"/>
    <w:rsid w:val="0009204F"/>
    <w:rsid w:val="000A29BB"/>
    <w:rsid w:val="000B5172"/>
    <w:rsid w:val="000D5E62"/>
    <w:rsid w:val="000E36AB"/>
    <w:rsid w:val="0010258E"/>
    <w:rsid w:val="001124CC"/>
    <w:rsid w:val="00117B50"/>
    <w:rsid w:val="001249C7"/>
    <w:rsid w:val="00124DC7"/>
    <w:rsid w:val="00147866"/>
    <w:rsid w:val="001553E7"/>
    <w:rsid w:val="00181F79"/>
    <w:rsid w:val="001A4D50"/>
    <w:rsid w:val="001B5258"/>
    <w:rsid w:val="001B5DEC"/>
    <w:rsid w:val="001B60B6"/>
    <w:rsid w:val="001C621D"/>
    <w:rsid w:val="001C754E"/>
    <w:rsid w:val="001D0915"/>
    <w:rsid w:val="001D301A"/>
    <w:rsid w:val="001D3F80"/>
    <w:rsid w:val="001E74E2"/>
    <w:rsid w:val="001F373C"/>
    <w:rsid w:val="00205952"/>
    <w:rsid w:val="00211742"/>
    <w:rsid w:val="00212D22"/>
    <w:rsid w:val="002262A9"/>
    <w:rsid w:val="002533FC"/>
    <w:rsid w:val="002544BC"/>
    <w:rsid w:val="00262910"/>
    <w:rsid w:val="00277DD5"/>
    <w:rsid w:val="002812C3"/>
    <w:rsid w:val="00282E46"/>
    <w:rsid w:val="002932C1"/>
    <w:rsid w:val="0029332A"/>
    <w:rsid w:val="00294207"/>
    <w:rsid w:val="002A0DDF"/>
    <w:rsid w:val="002B081C"/>
    <w:rsid w:val="002C263C"/>
    <w:rsid w:val="002D1283"/>
    <w:rsid w:val="002D3CDA"/>
    <w:rsid w:val="002D66E0"/>
    <w:rsid w:val="002E712D"/>
    <w:rsid w:val="002F1EB9"/>
    <w:rsid w:val="0032180A"/>
    <w:rsid w:val="00321C5B"/>
    <w:rsid w:val="003352F4"/>
    <w:rsid w:val="00337DB7"/>
    <w:rsid w:val="003620A0"/>
    <w:rsid w:val="00374E5F"/>
    <w:rsid w:val="003B334C"/>
    <w:rsid w:val="003D0CD2"/>
    <w:rsid w:val="003D6016"/>
    <w:rsid w:val="003F4DDC"/>
    <w:rsid w:val="004079A1"/>
    <w:rsid w:val="0045535F"/>
    <w:rsid w:val="00456B80"/>
    <w:rsid w:val="00456D38"/>
    <w:rsid w:val="00466F64"/>
    <w:rsid w:val="00475033"/>
    <w:rsid w:val="00480D38"/>
    <w:rsid w:val="00482177"/>
    <w:rsid w:val="00484EEB"/>
    <w:rsid w:val="004A6637"/>
    <w:rsid w:val="004B05C5"/>
    <w:rsid w:val="004B7784"/>
    <w:rsid w:val="004C600C"/>
    <w:rsid w:val="004D04C1"/>
    <w:rsid w:val="004E46E3"/>
    <w:rsid w:val="004E5C30"/>
    <w:rsid w:val="004F18A6"/>
    <w:rsid w:val="004F2DD8"/>
    <w:rsid w:val="005013AF"/>
    <w:rsid w:val="00504EFC"/>
    <w:rsid w:val="00516283"/>
    <w:rsid w:val="00522A57"/>
    <w:rsid w:val="005308A6"/>
    <w:rsid w:val="005353DF"/>
    <w:rsid w:val="0055775D"/>
    <w:rsid w:val="00567880"/>
    <w:rsid w:val="005711F6"/>
    <w:rsid w:val="00575482"/>
    <w:rsid w:val="0059438D"/>
    <w:rsid w:val="005968F0"/>
    <w:rsid w:val="005C4483"/>
    <w:rsid w:val="005C73DA"/>
    <w:rsid w:val="005C7BC0"/>
    <w:rsid w:val="005E777C"/>
    <w:rsid w:val="005F1316"/>
    <w:rsid w:val="005F3C2F"/>
    <w:rsid w:val="006052AD"/>
    <w:rsid w:val="00610194"/>
    <w:rsid w:val="00655C57"/>
    <w:rsid w:val="006564D8"/>
    <w:rsid w:val="006836CF"/>
    <w:rsid w:val="006B023F"/>
    <w:rsid w:val="006B0B63"/>
    <w:rsid w:val="006D295E"/>
    <w:rsid w:val="006F0522"/>
    <w:rsid w:val="006F0A24"/>
    <w:rsid w:val="006F0ECB"/>
    <w:rsid w:val="006F4754"/>
    <w:rsid w:val="00703164"/>
    <w:rsid w:val="00705B99"/>
    <w:rsid w:val="00751A52"/>
    <w:rsid w:val="00757574"/>
    <w:rsid w:val="00777F2A"/>
    <w:rsid w:val="00781CBD"/>
    <w:rsid w:val="00793386"/>
    <w:rsid w:val="007942AF"/>
    <w:rsid w:val="0079664D"/>
    <w:rsid w:val="007A2DD9"/>
    <w:rsid w:val="007C0058"/>
    <w:rsid w:val="007C4C1D"/>
    <w:rsid w:val="007C72B8"/>
    <w:rsid w:val="007D3C62"/>
    <w:rsid w:val="007D449B"/>
    <w:rsid w:val="007E3DE5"/>
    <w:rsid w:val="007E5F57"/>
    <w:rsid w:val="007F5BC4"/>
    <w:rsid w:val="008054AF"/>
    <w:rsid w:val="008141FC"/>
    <w:rsid w:val="00821A46"/>
    <w:rsid w:val="00824841"/>
    <w:rsid w:val="00831701"/>
    <w:rsid w:val="00834922"/>
    <w:rsid w:val="00836D73"/>
    <w:rsid w:val="00857418"/>
    <w:rsid w:val="00857961"/>
    <w:rsid w:val="00870CD7"/>
    <w:rsid w:val="00871C1A"/>
    <w:rsid w:val="00875DEF"/>
    <w:rsid w:val="00881696"/>
    <w:rsid w:val="00882463"/>
    <w:rsid w:val="00883CFA"/>
    <w:rsid w:val="008B3F50"/>
    <w:rsid w:val="008C482F"/>
    <w:rsid w:val="008C50CD"/>
    <w:rsid w:val="008E1C68"/>
    <w:rsid w:val="008F27E5"/>
    <w:rsid w:val="00900095"/>
    <w:rsid w:val="009008E9"/>
    <w:rsid w:val="00914715"/>
    <w:rsid w:val="00926822"/>
    <w:rsid w:val="009466B8"/>
    <w:rsid w:val="00950E85"/>
    <w:rsid w:val="009555AB"/>
    <w:rsid w:val="00965A95"/>
    <w:rsid w:val="00971FB8"/>
    <w:rsid w:val="0098155E"/>
    <w:rsid w:val="00985A60"/>
    <w:rsid w:val="009A209A"/>
    <w:rsid w:val="009B04BB"/>
    <w:rsid w:val="009C28DB"/>
    <w:rsid w:val="009D29E2"/>
    <w:rsid w:val="009D47AD"/>
    <w:rsid w:val="009D62BB"/>
    <w:rsid w:val="009E70D9"/>
    <w:rsid w:val="009F7057"/>
    <w:rsid w:val="00A03B7F"/>
    <w:rsid w:val="00A1657D"/>
    <w:rsid w:val="00A3480A"/>
    <w:rsid w:val="00A51CBC"/>
    <w:rsid w:val="00A817F0"/>
    <w:rsid w:val="00AA22DD"/>
    <w:rsid w:val="00B16ACD"/>
    <w:rsid w:val="00B33540"/>
    <w:rsid w:val="00B42594"/>
    <w:rsid w:val="00B63B3E"/>
    <w:rsid w:val="00B7705D"/>
    <w:rsid w:val="00B8273E"/>
    <w:rsid w:val="00BB1BC5"/>
    <w:rsid w:val="00BB5C01"/>
    <w:rsid w:val="00BC791B"/>
    <w:rsid w:val="00C10113"/>
    <w:rsid w:val="00C11BF6"/>
    <w:rsid w:val="00C1446F"/>
    <w:rsid w:val="00C174B2"/>
    <w:rsid w:val="00C32237"/>
    <w:rsid w:val="00C34CCC"/>
    <w:rsid w:val="00C35BD0"/>
    <w:rsid w:val="00C4306C"/>
    <w:rsid w:val="00C45840"/>
    <w:rsid w:val="00C4799A"/>
    <w:rsid w:val="00C61D49"/>
    <w:rsid w:val="00C77DFC"/>
    <w:rsid w:val="00C9526C"/>
    <w:rsid w:val="00CC1CFD"/>
    <w:rsid w:val="00CC5208"/>
    <w:rsid w:val="00CC57A3"/>
    <w:rsid w:val="00CC5C89"/>
    <w:rsid w:val="00CC73D8"/>
    <w:rsid w:val="00CD7862"/>
    <w:rsid w:val="00D02EC1"/>
    <w:rsid w:val="00D0525E"/>
    <w:rsid w:val="00D05779"/>
    <w:rsid w:val="00D15AFC"/>
    <w:rsid w:val="00D170AD"/>
    <w:rsid w:val="00D3554F"/>
    <w:rsid w:val="00D60FAA"/>
    <w:rsid w:val="00D715C7"/>
    <w:rsid w:val="00D85FC8"/>
    <w:rsid w:val="00D8616F"/>
    <w:rsid w:val="00D923EF"/>
    <w:rsid w:val="00DA4419"/>
    <w:rsid w:val="00DA4BD1"/>
    <w:rsid w:val="00DB6E79"/>
    <w:rsid w:val="00DC0602"/>
    <w:rsid w:val="00DC2803"/>
    <w:rsid w:val="00DC2F51"/>
    <w:rsid w:val="00DC5177"/>
    <w:rsid w:val="00DC5560"/>
    <w:rsid w:val="00DF7BF2"/>
    <w:rsid w:val="00E00E92"/>
    <w:rsid w:val="00E028BD"/>
    <w:rsid w:val="00E06531"/>
    <w:rsid w:val="00E10B52"/>
    <w:rsid w:val="00E11FF4"/>
    <w:rsid w:val="00E139CF"/>
    <w:rsid w:val="00E270FA"/>
    <w:rsid w:val="00E34496"/>
    <w:rsid w:val="00E416E2"/>
    <w:rsid w:val="00E64292"/>
    <w:rsid w:val="00E73E4D"/>
    <w:rsid w:val="00EA3F2E"/>
    <w:rsid w:val="00EB5E50"/>
    <w:rsid w:val="00EB5EFB"/>
    <w:rsid w:val="00ED6DC2"/>
    <w:rsid w:val="00EE002C"/>
    <w:rsid w:val="00EF36AC"/>
    <w:rsid w:val="00F044B8"/>
    <w:rsid w:val="00F35DAE"/>
    <w:rsid w:val="00F52AA9"/>
    <w:rsid w:val="00F53755"/>
    <w:rsid w:val="00F54B85"/>
    <w:rsid w:val="00F728C3"/>
    <w:rsid w:val="00F97F54"/>
    <w:rsid w:val="00FA1F21"/>
    <w:rsid w:val="00FA3960"/>
    <w:rsid w:val="00FA51A2"/>
    <w:rsid w:val="00FA685A"/>
    <w:rsid w:val="00FB1286"/>
    <w:rsid w:val="00FC2DFB"/>
    <w:rsid w:val="00FD243C"/>
    <w:rsid w:val="00FE47B6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8C65F5-B2EF-4D57-AD40-F68EA497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4D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qFormat/>
    <w:rsid w:val="00D02EC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322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32237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3F4DDC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Heading9Char">
    <w:name w:val="Heading 9 Char"/>
    <w:basedOn w:val="DefaultParagraphFont"/>
    <w:link w:val="Heading9"/>
    <w:rsid w:val="00D02EC1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436D4-85E1-4A7B-8300-3BF051F4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Alvaro Alvarado Atahuichi</cp:lastModifiedBy>
  <cp:revision>10</cp:revision>
  <cp:lastPrinted>2017-12-22T20:35:00Z</cp:lastPrinted>
  <dcterms:created xsi:type="dcterms:W3CDTF">2017-12-06T13:08:00Z</dcterms:created>
  <dcterms:modified xsi:type="dcterms:W3CDTF">2019-04-02T22:54:00Z</dcterms:modified>
</cp:coreProperties>
</file>