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A1A1A" w:color="auto" w:val="clear"/>
            <w:tcMar>
              <w:top w:type="dxa" w:w="1200"/>
              <w:left w:type="dxa" w:w="800"/>
              <w:bottom w:type="dxa" w:w="800"/>
              <w:right w:type="dxa" w:w="800"/>
            </w:tcMar>
          </w:tcPr>
          <w:p>
            <w:r>
              <w:drawing>
                <wp:inline distT="0" distB="0" distL="0" distR="0">
                  <wp:extent cx="2619375"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19375" cy="952500"/>
                          </a:xfrm>
                          <a:prstGeom prst="rect">
                            <a:avLst/>
                          </a:prstGeom>
                        </pic:spPr>
                      </pic:pic>
                    </a:graphicData>
                  </a:graphic>
                </wp:inline>
              </w:drawing>
            </w:r>
          </w:p>
        </w:tc>
      </w:tr>
    </w:tbl>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0B429" w:color="auto" w:val="clear"/>
            <w:tcMar>
              <w:top w:type="dxa" w:w="80"/>
              <w:left w:type="dxa" w:w="0"/>
              <w:bottom w:type="dxa" w:w="80"/>
              <w:right w:type="dxa" w:w="0"/>
            </w:tcMar>
          </w:tcPr>
          <w:p/>
        </w:tc>
      </w:tr>
    </w:tbl>
    <w:p>
      <w:pPr>
        <w:spacing w:before="600"/>
      </w:pPr>
    </w:p>
    <w:p>
      <w:pPr>
        <w:spacing w:after="80"/>
      </w:pPr>
      <w:r>
        <w:rPr>
          <w:rFonts w:ascii="Arial" w:cs="Arial" w:eastAsia="Arial" w:hAnsi="Arial"/>
          <w:b/>
          <w:bCs/>
          <w:i w:val="false"/>
          <w:iCs w:val="false"/>
          <w:color w:val="F0B429"/>
          <w:sz w:val="18"/>
          <w:szCs w:val="18"/>
        </w:rPr>
        <w:t xml:space="preserve">DOCUMENTO DE TRABAJO</w:t>
      </w:r>
    </w:p>
    <w:p>
      <w:pPr>
        <w:spacing w:after="0"/>
      </w:pPr>
      <w:r>
        <w:rPr>
          <w:rFonts w:ascii="Arial" w:cs="Arial" w:eastAsia="Arial" w:hAnsi="Arial"/>
          <w:b/>
          <w:bCs/>
          <w:i w:val="false"/>
          <w:iCs w:val="false"/>
          <w:color w:val="1A1A1A"/>
          <w:sz w:val="56"/>
          <w:szCs w:val="56"/>
        </w:rPr>
        <w:t xml:space="preserve">Misión, Visión 2040</w:t>
      </w:r>
    </w:p>
    <w:p>
      <w:pPr>
        <w:spacing w:after="300"/>
      </w:pPr>
      <w:r>
        <w:rPr>
          <w:rFonts w:ascii="Arial" w:cs="Arial" w:eastAsia="Arial" w:hAnsi="Arial"/>
          <w:b/>
          <w:bCs/>
          <w:i w:val="false"/>
          <w:iCs w:val="false"/>
          <w:color w:val="1A1A1A"/>
          <w:sz w:val="56"/>
          <w:szCs w:val="56"/>
        </w:rPr>
        <w:t xml:space="preserve">y Valores</w:t>
      </w:r>
    </w:p>
    <w:p>
      <w:pPr>
        <w:spacing w:after="600"/>
      </w:pPr>
      <w:r>
        <w:rPr>
          <w:rFonts w:ascii="Arial" w:cs="Arial" w:eastAsia="Arial" w:hAnsi="Arial"/>
          <w:b w:val="false"/>
          <w:bCs w:val="false"/>
          <w:i/>
          <w:iCs/>
          <w:color w:val="9B9B96"/>
          <w:sz w:val="26"/>
          <w:szCs w:val="26"/>
        </w:rPr>
        <w:t xml:space="preserve">Dirigimos tu carrera.  Expandimos tus opciones.  Protegemos tu estabilidad.</w:t>
      </w:r>
    </w:p>
    <w:p>
      <w:pPr>
        <w:pBdr>
          <w:bottom w:val="single" w:color="F0B429" w:sz="8" w:space="1"/>
        </w:pBdr>
        <w:spacing w:after="160"/>
      </w:pPr>
    </w:p>
    <w:p>
      <w:pPr>
        <w:spacing w:before="20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360"/>
        <w:gridCol w:w="3360"/>
        <w:gridCol w:w="3360"/>
      </w:tblGrid>
      <w:tr>
        <w:tc>
          <w:tcPr>
            <w:tcW w:type="dxa" w:w="3360"/>
            <w:tcBorders>
              <w:top w:val="none" w:color="FFFFFF" w:sz="0"/>
              <w:left w:val="none" w:color="FFFFFF" w:sz="0"/>
              <w:bottom w:val="none" w:color="FFFFFF" w:sz="0"/>
              <w:right w:val="none" w:color="FFFFFF" w:sz="0"/>
            </w:tcBorders>
            <w:shd w:fill="F5F5F3" w:color="auto" w:val="clear"/>
            <w:tcMar>
              <w:top w:type="dxa" w:w="180"/>
              <w:left w:type="dxa" w:w="220"/>
              <w:bottom w:type="dxa" w:w="180"/>
              <w:right w:type="dxa" w:w="220"/>
            </w:tcMar>
          </w:tcPr>
          <w:p>
            <w:pPr>
              <w:spacing w:after="40"/>
            </w:pPr>
            <w:r>
              <w:rPr>
                <w:rFonts w:ascii="Arial" w:cs="Arial" w:eastAsia="Arial" w:hAnsi="Arial"/>
                <w:b/>
                <w:bCs/>
                <w:i w:val="false"/>
                <w:iCs w:val="false"/>
                <w:color w:val="1A1A1A"/>
                <w:sz w:val="19"/>
                <w:szCs w:val="19"/>
              </w:rPr>
              <w:t xml:space="preserve">Fuente</w:t>
            </w:r>
          </w:p>
          <w:p>
            <w:r>
              <w:rPr>
                <w:rFonts w:ascii="Arial" w:cs="Arial" w:eastAsia="Arial" w:hAnsi="Arial"/>
                <w:b w:val="false"/>
                <w:bCs w:val="false"/>
                <w:i w:val="false"/>
                <w:iCs w:val="false"/>
                <w:color w:val="2C2C2A"/>
                <w:sz w:val="19"/>
                <w:szCs w:val="19"/>
              </w:rPr>
              <w:t xml:space="preserve">Documento Institucional Natio</w:t>
            </w:r>
          </w:p>
        </w:tc>
        <w:tc>
          <w:tcPr>
            <w:tcW w:type="dxa" w:w="3360"/>
            <w:tcBorders>
              <w:top w:val="none" w:color="FFFFFF" w:sz="0"/>
              <w:left w:val="none" w:color="FFFFFF" w:sz="0"/>
              <w:bottom w:val="none" w:color="FFFFFF" w:sz="0"/>
              <w:right w:val="none" w:color="FFFFFF" w:sz="0"/>
            </w:tcBorders>
            <w:shd w:fill="F5F5F3" w:color="auto" w:val="clear"/>
            <w:tcMar>
              <w:top w:type="dxa" w:w="180"/>
              <w:left w:type="dxa" w:w="220"/>
              <w:bottom w:type="dxa" w:w="180"/>
              <w:right w:type="dxa" w:w="220"/>
            </w:tcMar>
          </w:tcPr>
          <w:p>
            <w:pPr>
              <w:spacing w:after="40"/>
            </w:pPr>
            <w:r>
              <w:rPr>
                <w:rFonts w:ascii="Arial" w:cs="Arial" w:eastAsia="Arial" w:hAnsi="Arial"/>
                <w:b/>
                <w:bCs/>
                <w:i w:val="false"/>
                <w:iCs w:val="false"/>
                <w:color w:val="1A1A1A"/>
                <w:sz w:val="19"/>
                <w:szCs w:val="19"/>
              </w:rPr>
              <w:t xml:space="preserve">Método</w:t>
            </w:r>
          </w:p>
          <w:p>
            <w:r>
              <w:rPr>
                <w:rFonts w:ascii="Arial" w:cs="Arial" w:eastAsia="Arial" w:hAnsi="Arial"/>
                <w:b w:val="false"/>
                <w:bCs w:val="false"/>
                <w:i w:val="false"/>
                <w:iCs w:val="false"/>
                <w:color w:val="2C2C2A"/>
                <w:sz w:val="19"/>
                <w:szCs w:val="19"/>
              </w:rPr>
              <w:t xml:space="preserve">Destilado del ADN institucional</w:t>
            </w:r>
          </w:p>
        </w:tc>
        <w:tc>
          <w:tcPr>
            <w:tcW w:type="dxa" w:w="3360"/>
            <w:tcBorders>
              <w:top w:val="none" w:color="FFFFFF" w:sz="0"/>
              <w:left w:val="none" w:color="FFFFFF" w:sz="0"/>
              <w:bottom w:val="none" w:color="FFFFFF" w:sz="0"/>
              <w:right w:val="none" w:color="FFFFFF" w:sz="0"/>
            </w:tcBorders>
            <w:shd w:fill="F5F5F3" w:color="auto" w:val="clear"/>
            <w:tcMar>
              <w:top w:type="dxa" w:w="180"/>
              <w:left w:type="dxa" w:w="220"/>
              <w:bottom w:type="dxa" w:w="180"/>
              <w:right w:type="dxa" w:w="220"/>
            </w:tcMar>
          </w:tcPr>
          <w:p>
            <w:pPr>
              <w:spacing w:after="40"/>
            </w:pPr>
            <w:r>
              <w:rPr>
                <w:rFonts w:ascii="Arial" w:cs="Arial" w:eastAsia="Arial" w:hAnsi="Arial"/>
                <w:b/>
                <w:bCs/>
                <w:i w:val="false"/>
                <w:iCs w:val="false"/>
                <w:color w:val="1A1A1A"/>
                <w:sz w:val="19"/>
                <w:szCs w:val="19"/>
              </w:rPr>
              <w:t xml:space="preserve">Uso</w:t>
            </w:r>
          </w:p>
          <w:p>
            <w:r>
              <w:rPr>
                <w:rFonts w:ascii="Arial" w:cs="Arial" w:eastAsia="Arial" w:hAnsi="Arial"/>
                <w:b w:val="false"/>
                <w:bCs w:val="false"/>
                <w:i w:val="false"/>
                <w:iCs w:val="false"/>
                <w:color w:val="2C2C2A"/>
                <w:sz w:val="19"/>
                <w:szCs w:val="19"/>
              </w:rPr>
              <w:t xml:space="preserve">Referencia interna y onboarding</w:t>
            </w:r>
          </w:p>
        </w:tc>
      </w:tr>
    </w:tbl>
    <w:p>
      <w:r>
        <w:br w:type="page"/>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A1A1A" w:color="auto" w:val="clear"/>
            <w:tcMar>
              <w:top w:type="dxa" w:w="600"/>
              <w:left w:type="dxa" w:w="800"/>
              <w:bottom w:type="dxa" w:w="600"/>
              <w:right w:type="dxa" w:w="800"/>
            </w:tcMar>
          </w:tcPr>
          <w:p>
            <w:pPr>
              <w:spacing w:after="100"/>
            </w:pPr>
            <w:r>
              <w:rPr>
                <w:rFonts w:ascii="Arial" w:cs="Arial" w:eastAsia="Arial" w:hAnsi="Arial"/>
                <w:b/>
                <w:bCs/>
                <w:i w:val="false"/>
                <w:iCs w:val="false"/>
                <w:color w:val="F0B429"/>
                <w:sz w:val="18"/>
                <w:szCs w:val="18"/>
              </w:rPr>
              <w:t xml:space="preserve">PARTE 1</w:t>
            </w:r>
          </w:p>
          <w:p>
            <w:pPr>
              <w:spacing w:after="60"/>
            </w:pPr>
            <w:r>
              <w:rPr>
                <w:rFonts w:ascii="Arial" w:cs="Arial" w:eastAsia="Arial" w:hAnsi="Arial"/>
                <w:b/>
                <w:bCs/>
                <w:i w:val="false"/>
                <w:iCs w:val="false"/>
                <w:color w:val="FFFFFF"/>
                <w:sz w:val="36"/>
                <w:szCs w:val="36"/>
              </w:rPr>
              <w:t xml:space="preserve">Misión</w:t>
            </w:r>
          </w:p>
          <w:p>
            <w:r>
              <w:rPr>
                <w:rFonts w:ascii="Arial" w:cs="Arial" w:eastAsia="Arial" w:hAnsi="Arial"/>
                <w:b w:val="false"/>
                <w:bCs w:val="false"/>
                <w:i/>
                <w:iCs/>
                <w:color w:val="9B9B96"/>
                <w:sz w:val="20"/>
                <w:szCs w:val="20"/>
              </w:rPr>
              <w:t xml:space="preserve">Por qué existe Natio</w:t>
            </w:r>
          </w:p>
        </w:tc>
      </w:tr>
    </w:tbl>
    <w:p>
      <w:pPr>
        <w:spacing w:before="200"/>
      </w:pPr>
    </w:p>
    <w:p>
      <w:pPr>
        <w:spacing w:after="140" w:before="340"/>
      </w:pPr>
      <w:r>
        <w:rPr>
          <w:rFonts w:ascii="Arial" w:cs="Arial" w:eastAsia="Arial" w:hAnsi="Arial"/>
          <w:b/>
          <w:bCs/>
          <w:i w:val="false"/>
          <w:iCs w:val="false"/>
          <w:color w:val="1A1A1A"/>
          <w:sz w:val="28"/>
          <w:szCs w:val="28"/>
        </w:rPr>
        <w:t xml:space="preserve">1.1 Origen</w:t>
      </w:r>
    </w:p>
    <w:p>
      <w:pPr>
        <w:spacing w:after="160" w:before="40"/>
      </w:pPr>
      <w:r>
        <w:rPr>
          <w:rFonts w:ascii="Arial" w:cs="Arial" w:eastAsia="Arial" w:hAnsi="Arial"/>
          <w:b w:val="false"/>
          <w:bCs w:val="false"/>
          <w:i w:val="false"/>
          <w:iCs w:val="false"/>
          <w:color w:val="2C2C2A"/>
          <w:sz w:val="22"/>
          <w:szCs w:val="22"/>
        </w:rPr>
        <w:t xml:space="preserve">El fútbol profesional tiene un problema que nadie ha querido nombrar con claridad: el talento no fracasa por falta de capacidad. Fracasa por falta de arquitectura. Los jugadores toman las decisiones más importantes de su carrera sin sistema, sin diagnóstico y sin dirección real — dependiendo de intermediarios que aparecen cuando hay comisión y desaparecen cuando no.</w:t>
      </w:r>
    </w:p>
    <w:p>
      <w:pPr>
        <w:spacing w:after="160" w:before="40"/>
      </w:pPr>
      <w:r>
        <w:rPr>
          <w:rFonts w:ascii="Arial" w:cs="Arial" w:eastAsia="Arial" w:hAnsi="Arial"/>
          <w:b w:val="false"/>
          <w:bCs w:val="false"/>
          <w:i w:val="false"/>
          <w:iCs w:val="false"/>
          <w:color w:val="2C2C2A"/>
          <w:sz w:val="22"/>
          <w:szCs w:val="22"/>
        </w:rPr>
        <w:t xml:space="preserve">Natio nació para resolver exactamente eso.</w:t>
      </w:r>
    </w:p>
    <w:p>
      <w:pPr>
        <w:spacing w:after="140" w:before="340"/>
      </w:pPr>
      <w:r>
        <w:rPr>
          <w:rFonts w:ascii="Arial" w:cs="Arial" w:eastAsia="Arial" w:hAnsi="Arial"/>
          <w:b/>
          <w:bCs/>
          <w:i w:val="false"/>
          <w:iCs w:val="false"/>
          <w:color w:val="1A1A1A"/>
          <w:sz w:val="28"/>
          <w:szCs w:val="28"/>
        </w:rPr>
        <w:t xml:space="preserve">1.2 Declaración de Misión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A1A1A" w:color="auto" w:val="clear"/>
            <w:tcMar>
              <w:top w:type="dxa" w:w="260"/>
              <w:left w:type="dxa" w:w="400"/>
              <w:bottom w:type="dxa" w:w="260"/>
              <w:right w:type="dxa" w:w="400"/>
            </w:tcMar>
          </w:tcPr>
          <w:p>
            <w:pPr>
              <w:spacing w:after="120" w:before="0"/>
            </w:pPr>
            <w:r>
              <w:rPr>
                <w:rFonts w:ascii="Arial" w:cs="Arial" w:eastAsia="Arial" w:hAnsi="Arial"/>
                <w:b/>
                <w:bCs/>
                <w:i w:val="false"/>
                <w:iCs w:val="false"/>
                <w:color w:val="F0B429"/>
                <w:sz w:val="24"/>
                <w:szCs w:val="24"/>
              </w:rPr>
              <w:t xml:space="preserve">Misión</w:t>
            </w:r>
          </w:p>
          <w:p>
            <w:pPr>
              <w:spacing w:after="60" w:before="60"/>
            </w:pPr>
            <w:r>
              <w:rPr>
                <w:rFonts w:ascii="Arial" w:cs="Arial" w:eastAsia="Arial" w:hAnsi="Arial"/>
                <w:b w:val="false"/>
                <w:bCs w:val="false"/>
                <w:i w:val="false"/>
                <w:iCs w:val="false"/>
                <w:color w:val="FFFFFF"/>
                <w:sz w:val="22"/>
                <w:szCs w:val="22"/>
              </w:rPr>
              <w:t xml:space="preserve">Dirigir, proteger y optimizar la trayectoria profesional del futbolista mediante una plataforma sistémica integrada que opera con arquitectura longitudinal, no con intermediación transaccional.</w:t>
            </w:r>
          </w:p>
        </w:tc>
      </w:tr>
    </w:tbl>
    <w:p>
      <w:pPr>
        <w:spacing w:after="140" w:before="340"/>
      </w:pPr>
      <w:r>
        <w:rPr>
          <w:rFonts w:ascii="Arial" w:cs="Arial" w:eastAsia="Arial" w:hAnsi="Arial"/>
          <w:b/>
          <w:bCs/>
          <w:i w:val="false"/>
          <w:iCs w:val="false"/>
          <w:color w:val="1A1A1A"/>
          <w:sz w:val="28"/>
          <w:szCs w:val="28"/>
        </w:rPr>
        <w:t xml:space="preserve">1.3 Los tres vacíos que la misión existe para resolver</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680"/>
      </w:tblGrid>
      <w:tr>
        <w:trPr>
          <w:cantSplit/>
        </w:trPr>
        <w:tc>
          <w:tcPr>
            <w:tcW w:type="dxa" w:w="2400"/>
            <w:tcBorders>
              <w:top w:val="single" w:color="CCCCCC" w:sz="4"/>
              <w:left w:val="single" w:color="CCCCCC" w:sz="4"/>
              <w:bottom w:val="single" w:color="CCCCCC" w:sz="4"/>
              <w:right w:val="single" w:color="CCCCCC" w:sz="4"/>
            </w:tcBorders>
            <w:shd w:fill="F5F5F3" w:color="auto" w:val="clear"/>
            <w:tcMar>
              <w:top w:type="dxa" w:w="120"/>
              <w:left w:type="dxa" w:w="150"/>
              <w:bottom w:type="dxa" w:w="120"/>
              <w:right w:type="dxa" w:w="150"/>
            </w:tcMar>
            <w:vAlign w:val="center"/>
          </w:tcPr>
          <w:p>
            <w:r>
              <w:rPr>
                <w:rFonts w:ascii="Arial" w:cs="Arial" w:eastAsia="Arial" w:hAnsi="Arial"/>
                <w:b/>
                <w:bCs/>
                <w:i w:val="false"/>
                <w:iCs w:val="false"/>
                <w:color w:val="1A1A1A"/>
                <w:sz w:val="20"/>
                <w:szCs w:val="20"/>
              </w:rPr>
              <w:t xml:space="preserve">Vacío 1 → NFB</w:t>
            </w:r>
          </w:p>
        </w:tc>
        <w:tc>
          <w:tcPr>
            <w:tcW w:type="dxa" w:w="7680"/>
            <w:tcBorders>
              <w:top w:val="single" w:color="CCCCCC" w:sz="4"/>
              <w:left w:val="single" w:color="CCCCCC" w:sz="4"/>
              <w:bottom w:val="single" w:color="CCCCCC" w:sz="4"/>
              <w:right w:val="single" w:color="CCCCCC" w:sz="4"/>
            </w:tcBorders>
            <w:shd w:fill="FFFFFF" w:color="auto" w:val="clear"/>
            <w:tcMar>
              <w:top w:type="dxa" w:w="120"/>
              <w:left w:type="dxa" w:w="150"/>
              <w:bottom w:type="dxa" w:w="120"/>
              <w:right w:type="dxa" w:w="150"/>
            </w:tcMar>
            <w:vAlign w:val="center"/>
          </w:tcPr>
          <w:p>
            <w:r>
              <w:rPr>
                <w:rFonts w:ascii="Arial" w:cs="Arial" w:eastAsia="Arial" w:hAnsi="Arial"/>
                <w:b w:val="false"/>
                <w:bCs w:val="false"/>
                <w:i w:val="false"/>
                <w:iCs w:val="false"/>
                <w:color w:val="2C2C2A"/>
                <w:sz w:val="20"/>
                <w:szCs w:val="20"/>
              </w:rPr>
              <w:t xml:space="preserve">Ausencia de dirección estratégica de carrera. NFB gobierna la trayectoria del jugador con diagnóstico, método y timing disciplinado.</w:t>
            </w:r>
          </w:p>
        </w:tc>
      </w:tr>
      <w:tr>
        <w:trPr>
          <w:cantSplit/>
        </w:trPr>
        <w:tc>
          <w:tcPr>
            <w:tcW w:type="dxa" w:w="2400"/>
            <w:tcBorders>
              <w:top w:val="single" w:color="CCCCCC" w:sz="4"/>
              <w:left w:val="single" w:color="CCCCCC" w:sz="4"/>
              <w:bottom w:val="single" w:color="CCCCCC" w:sz="4"/>
              <w:right w:val="single" w:color="CCCCCC" w:sz="4"/>
            </w:tcBorders>
            <w:shd w:fill="F5F5F3" w:color="auto" w:val="clear"/>
            <w:tcMar>
              <w:top w:type="dxa" w:w="120"/>
              <w:left w:type="dxa" w:w="150"/>
              <w:bottom w:type="dxa" w:w="120"/>
              <w:right w:type="dxa" w:w="150"/>
            </w:tcMar>
            <w:vAlign w:val="center"/>
          </w:tcPr>
          <w:p>
            <w:r>
              <w:rPr>
                <w:rFonts w:ascii="Arial" w:cs="Arial" w:eastAsia="Arial" w:hAnsi="Arial"/>
                <w:b/>
                <w:bCs/>
                <w:i w:val="false"/>
                <w:iCs w:val="false"/>
                <w:color w:val="1A1A1A"/>
                <w:sz w:val="20"/>
                <w:szCs w:val="20"/>
              </w:rPr>
              <w:t xml:space="preserve">Vacío 2 → NGL</w:t>
            </w:r>
          </w:p>
        </w:tc>
        <w:tc>
          <w:tcPr>
            <w:tcW w:type="dxa" w:w="7680"/>
            <w:tcBorders>
              <w:top w:val="single" w:color="CCCCCC" w:sz="4"/>
              <w:left w:val="single" w:color="CCCCCC" w:sz="4"/>
              <w:bottom w:val="single" w:color="CCCCCC" w:sz="4"/>
              <w:right w:val="single" w:color="CCCCCC" w:sz="4"/>
            </w:tcBorders>
            <w:shd w:fill="FFFFFF" w:color="auto" w:val="clear"/>
            <w:tcMar>
              <w:top w:type="dxa" w:w="120"/>
              <w:left w:type="dxa" w:w="150"/>
              <w:bottom w:type="dxa" w:w="120"/>
              <w:right w:type="dxa" w:w="150"/>
            </w:tcMar>
            <w:vAlign w:val="center"/>
          </w:tcPr>
          <w:p>
            <w:r>
              <w:rPr>
                <w:rFonts w:ascii="Arial" w:cs="Arial" w:eastAsia="Arial" w:hAnsi="Arial"/>
                <w:b w:val="false"/>
                <w:bCs w:val="false"/>
                <w:i w:val="false"/>
                <w:iCs w:val="false"/>
                <w:color w:val="2C2C2A"/>
                <w:sz w:val="20"/>
                <w:szCs w:val="20"/>
              </w:rPr>
              <w:t xml:space="preserve">Dependencia de un solo mercado o red. NGL expande rutas profesionales y poder negociador mediante movilidad estratégica internacional.</w:t>
            </w:r>
          </w:p>
        </w:tc>
      </w:tr>
      <w:tr>
        <w:trPr>
          <w:cantSplit/>
        </w:trPr>
        <w:tc>
          <w:tcPr>
            <w:tcW w:type="dxa" w:w="2400"/>
            <w:tcBorders>
              <w:top w:val="single" w:color="CCCCCC" w:sz="4"/>
              <w:left w:val="single" w:color="CCCCCC" w:sz="4"/>
              <w:bottom w:val="single" w:color="CCCCCC" w:sz="4"/>
              <w:right w:val="single" w:color="CCCCCC" w:sz="4"/>
            </w:tcBorders>
            <w:shd w:fill="F5F5F3" w:color="auto" w:val="clear"/>
            <w:tcMar>
              <w:top w:type="dxa" w:w="120"/>
              <w:left w:type="dxa" w:w="150"/>
              <w:bottom w:type="dxa" w:w="120"/>
              <w:right w:type="dxa" w:w="150"/>
            </w:tcMar>
            <w:vAlign w:val="center"/>
          </w:tcPr>
          <w:p>
            <w:r>
              <w:rPr>
                <w:rFonts w:ascii="Arial" w:cs="Arial" w:eastAsia="Arial" w:hAnsi="Arial"/>
                <w:b/>
                <w:bCs/>
                <w:i w:val="false"/>
                <w:iCs w:val="false"/>
                <w:color w:val="1A1A1A"/>
                <w:sz w:val="20"/>
                <w:szCs w:val="20"/>
              </w:rPr>
              <w:t xml:space="preserve">Vacío 3 → N360</w:t>
            </w:r>
          </w:p>
        </w:tc>
        <w:tc>
          <w:tcPr>
            <w:tcW w:type="dxa" w:w="7680"/>
            <w:tcBorders>
              <w:top w:val="single" w:color="CCCCCC" w:sz="4"/>
              <w:left w:val="single" w:color="CCCCCC" w:sz="4"/>
              <w:bottom w:val="single" w:color="CCCCCC" w:sz="4"/>
              <w:right w:val="single" w:color="CCCCCC" w:sz="4"/>
            </w:tcBorders>
            <w:shd w:fill="FFFFFF" w:color="auto" w:val="clear"/>
            <w:tcMar>
              <w:top w:type="dxa" w:w="120"/>
              <w:left w:type="dxa" w:w="150"/>
              <w:bottom w:type="dxa" w:w="120"/>
              <w:right w:type="dxa" w:w="150"/>
            </w:tcMar>
            <w:vAlign w:val="center"/>
          </w:tcPr>
          <w:p>
            <w:r>
              <w:rPr>
                <w:rFonts w:ascii="Arial" w:cs="Arial" w:eastAsia="Arial" w:hAnsi="Arial"/>
                <w:b w:val="false"/>
                <w:bCs w:val="false"/>
                <w:i w:val="false"/>
                <w:iCs w:val="false"/>
                <w:color w:val="2C2C2A"/>
                <w:sz w:val="20"/>
                <w:szCs w:val="20"/>
              </w:rPr>
              <w:t xml:space="preserve">Impacto destructivo del entorno extra-deportivo y oportunidades de imagen no capturadas. N360 protege la estabilidad y construye la marca del jugador.</w:t>
            </w:r>
          </w:p>
        </w:tc>
      </w:tr>
    </w:tbl>
    <w:p>
      <w:pPr>
        <w:spacing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5F5F3" w:color="auto" w:val="clear"/>
            <w:tcMar>
              <w:top w:type="dxa" w:w="220"/>
              <w:left w:type="dxa" w:w="500"/>
              <w:bottom w:type="dxa" w:w="220"/>
              <w:right w:type="dxa" w:w="500"/>
            </w:tcMar>
          </w:tcPr>
          <w:p>
            <w:pPr>
              <w:jc w:val="center"/>
            </w:pPr>
            <w:r>
              <w:rPr>
                <w:rFonts w:ascii="Arial" w:cs="Arial" w:eastAsia="Arial" w:hAnsi="Arial"/>
                <w:b/>
                <w:bCs/>
                <w:i/>
                <w:iCs/>
                <w:color w:val="1A1A1A"/>
                <w:sz w:val="22"/>
                <w:szCs w:val="22"/>
              </w:rPr>
              <w:t xml:space="preserve">"Natio no es una agencia más. No es una plataforma de servicios. Es un sistema operativo de carrera: una arquitectura longitudinal que dirige, expande y protege la trayectoria profesional del futbolista desde sus primeros pasos hasta después de su retiro."</w:t>
            </w:r>
          </w:p>
          <w:p>
            <w:pPr>
              <w:spacing w:before="80"/>
              <w:jc w:val="center"/>
            </w:pPr>
            <w:r>
              <w:rPr>
                <w:rFonts w:ascii="Arial" w:cs="Arial" w:eastAsia="Arial" w:hAnsi="Arial"/>
                <w:b w:val="false"/>
                <w:bCs w:val="false"/>
                <w:i/>
                <w:iCs/>
                <w:color w:val="9B9B96"/>
                <w:sz w:val="18"/>
                <w:szCs w:val="18"/>
              </w:rPr>
              <w:t xml:space="preserve">— Carta de Fundadores, Natio</w:t>
            </w:r>
          </w:p>
        </w:tc>
      </w:tr>
    </w:tbl>
    <w:p>
      <w:pPr>
        <w:spacing w:before="200"/>
      </w:pPr>
    </w:p>
    <w:p>
      <w:pPr>
        <w:spacing w:after="140" w:before="340"/>
      </w:pPr>
      <w:r>
        <w:rPr>
          <w:rFonts w:ascii="Arial" w:cs="Arial" w:eastAsia="Arial" w:hAnsi="Arial"/>
          <w:b/>
          <w:bCs/>
          <w:i w:val="false"/>
          <w:iCs w:val="false"/>
          <w:color w:val="1A1A1A"/>
          <w:sz w:val="28"/>
          <w:szCs w:val="28"/>
        </w:rPr>
        <w:t xml:space="preserve">1.4 Propósito que sostiene la misión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A1A1A" w:color="auto" w:val="clear"/>
            <w:tcMar>
              <w:top w:type="dxa" w:w="260"/>
              <w:left w:type="dxa" w:w="400"/>
              <w:bottom w:type="dxa" w:w="260"/>
              <w:right w:type="dxa" w:w="400"/>
            </w:tcMar>
          </w:tcPr>
          <w:p>
            <w:pPr>
              <w:spacing w:after="120" w:before="0"/>
            </w:pPr>
            <w:r>
              <w:rPr>
                <w:rFonts w:ascii="Arial" w:cs="Arial" w:eastAsia="Arial" w:hAnsi="Arial"/>
                <w:b/>
                <w:bCs/>
                <w:i w:val="false"/>
                <w:iCs w:val="false"/>
                <w:color w:val="F0B429"/>
                <w:sz w:val="24"/>
                <w:szCs w:val="24"/>
              </w:rPr>
              <w:t xml:space="preserve">Propósito</w:t>
            </w:r>
          </w:p>
          <w:p>
            <w:pPr>
              <w:spacing w:after="60" w:before="60"/>
            </w:pPr>
            <w:r>
              <w:rPr>
                <w:rFonts w:ascii="Arial" w:cs="Arial" w:eastAsia="Arial" w:hAnsi="Arial"/>
                <w:b w:val="false"/>
                <w:bCs w:val="false"/>
                <w:i w:val="false"/>
                <w:iCs w:val="false"/>
                <w:color w:val="FFFFFF"/>
                <w:sz w:val="22"/>
                <w:szCs w:val="22"/>
              </w:rPr>
              <w:t xml:space="preserve">Que ningún futbolista con talento real pierda su carrera por falta de sistema, dirección o entorno gobernado. Que cada decisión correcta en el momento correcto sea posible porque existe una arquitectura que la hace posible.</w:t>
            </w:r>
          </w:p>
        </w:tc>
      </w:tr>
    </w:tbl>
    <w:p>
      <w:pPr>
        <w:spacing w:before="20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A1A1A" w:color="auto" w:val="clear"/>
            <w:tcMar>
              <w:top w:type="dxa" w:w="600"/>
              <w:left w:type="dxa" w:w="800"/>
              <w:bottom w:type="dxa" w:w="600"/>
              <w:right w:type="dxa" w:w="800"/>
            </w:tcMar>
          </w:tcPr>
          <w:p>
            <w:pPr>
              <w:spacing w:after="100"/>
            </w:pPr>
            <w:r>
              <w:rPr>
                <w:rFonts w:ascii="Arial" w:cs="Arial" w:eastAsia="Arial" w:hAnsi="Arial"/>
                <w:b/>
                <w:bCs/>
                <w:i w:val="false"/>
                <w:iCs w:val="false"/>
                <w:color w:val="F0B429"/>
                <w:sz w:val="18"/>
                <w:szCs w:val="18"/>
              </w:rPr>
              <w:t xml:space="preserve">PARTE 2</w:t>
            </w:r>
          </w:p>
          <w:p>
            <w:pPr>
              <w:spacing w:after="60"/>
            </w:pPr>
            <w:r>
              <w:rPr>
                <w:rFonts w:ascii="Arial" w:cs="Arial" w:eastAsia="Arial" w:hAnsi="Arial"/>
                <w:b/>
                <w:bCs/>
                <w:i w:val="false"/>
                <w:iCs w:val="false"/>
                <w:color w:val="FFFFFF"/>
                <w:sz w:val="36"/>
                <w:szCs w:val="36"/>
              </w:rPr>
              <w:t xml:space="preserve">Visión 2040</w:t>
            </w:r>
          </w:p>
          <w:p>
            <w:r>
              <w:rPr>
                <w:rFonts w:ascii="Arial" w:cs="Arial" w:eastAsia="Arial" w:hAnsi="Arial"/>
                <w:b w:val="false"/>
                <w:bCs w:val="false"/>
                <w:i/>
                <w:iCs/>
                <w:color w:val="9B9B96"/>
                <w:sz w:val="20"/>
                <w:szCs w:val="20"/>
              </w:rPr>
              <w:t xml:space="preserve">Hacia dónde va Natio</w:t>
            </w:r>
          </w:p>
        </w:tc>
      </w:tr>
    </w:tbl>
    <w:p>
      <w:pPr>
        <w:spacing w:before="200"/>
      </w:pPr>
    </w:p>
    <w:p>
      <w:pPr>
        <w:spacing w:after="140" w:before="340"/>
      </w:pPr>
      <w:r>
        <w:rPr>
          <w:rFonts w:ascii="Arial" w:cs="Arial" w:eastAsia="Arial" w:hAnsi="Arial"/>
          <w:b/>
          <w:bCs/>
          <w:i w:val="false"/>
          <w:iCs w:val="false"/>
          <w:color w:val="1A1A1A"/>
          <w:sz w:val="28"/>
          <w:szCs w:val="28"/>
        </w:rPr>
        <w:t xml:space="preserve">2.1 Reframe</w:t>
      </w:r>
    </w:p>
    <w:p>
      <w:pPr>
        <w:spacing w:after="160" w:before="40"/>
      </w:pPr>
      <w:r>
        <w:rPr>
          <w:rFonts w:ascii="Arial" w:cs="Arial" w:eastAsia="Arial" w:hAnsi="Arial"/>
          <w:b w:val="false"/>
          <w:bCs w:val="false"/>
          <w:i w:val="false"/>
          <w:iCs w:val="false"/>
          <w:color w:val="2C2C2A"/>
          <w:sz w:val="22"/>
          <w:szCs w:val="22"/>
        </w:rPr>
        <w:t xml:space="preserve">Natio no compite por ser una mejor versión de la industria tradicional. Compite por ser una categoría distinta — una que no existía antes y que, sostenida en el tiempo, se vuelve el estándar contra el que se mide todo lo demás. La visión no es una meta de crecimiento. Es la consecuencia lógica de operar el sistema con integridad durante suficiente tiempo.</w:t>
      </w:r>
    </w:p>
    <w:p>
      <w:pPr>
        <w:spacing w:after="140" w:before="340"/>
      </w:pPr>
      <w:r>
        <w:rPr>
          <w:rFonts w:ascii="Arial" w:cs="Arial" w:eastAsia="Arial" w:hAnsi="Arial"/>
          <w:b/>
          <w:bCs/>
          <w:i w:val="false"/>
          <w:iCs w:val="false"/>
          <w:color w:val="1A1A1A"/>
          <w:sz w:val="28"/>
          <w:szCs w:val="28"/>
        </w:rPr>
        <w:t xml:space="preserve">2.2 Declaración de Visión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A1A1A" w:color="auto" w:val="clear"/>
            <w:tcMar>
              <w:top w:type="dxa" w:w="260"/>
              <w:left w:type="dxa" w:w="400"/>
              <w:bottom w:type="dxa" w:w="260"/>
              <w:right w:type="dxa" w:w="400"/>
            </w:tcMar>
          </w:tcPr>
          <w:p>
            <w:pPr>
              <w:spacing w:after="120" w:before="0"/>
            </w:pPr>
            <w:r>
              <w:rPr>
                <w:rFonts w:ascii="Arial" w:cs="Arial" w:eastAsia="Arial" w:hAnsi="Arial"/>
                <w:b/>
                <w:bCs/>
                <w:i w:val="false"/>
                <w:iCs w:val="false"/>
                <w:color w:val="F0B429"/>
                <w:sz w:val="24"/>
                <w:szCs w:val="24"/>
              </w:rPr>
              <w:t xml:space="preserve">Visión</w:t>
            </w:r>
          </w:p>
          <w:p>
            <w:pPr>
              <w:spacing w:after="60" w:before="60"/>
            </w:pPr>
            <w:r>
              <w:rPr>
                <w:rFonts w:ascii="Arial" w:cs="Arial" w:eastAsia="Arial" w:hAnsi="Arial"/>
                <w:b w:val="false"/>
                <w:bCs w:val="false"/>
                <w:i w:val="false"/>
                <w:iCs w:val="false"/>
                <w:color w:val="FFFFFF"/>
                <w:sz w:val="22"/>
                <w:szCs w:val="22"/>
              </w:rPr>
              <w:t xml:space="preserve">Ser la plataforma de gobernanza de carrera más confiable y efectiva del fútbol profesional en América Latina, reconocida por convertir talento en trayectorias inevitables y carreras en legados estructurados.</w:t>
            </w:r>
          </w:p>
        </w:tc>
      </w:tr>
    </w:tbl>
    <w:p>
      <w:pPr>
        <w:spacing w:after="140" w:before="340"/>
      </w:pPr>
      <w:r>
        <w:rPr>
          <w:rFonts w:ascii="Arial" w:cs="Arial" w:eastAsia="Arial" w:hAnsi="Arial"/>
          <w:b/>
          <w:bCs/>
          <w:i w:val="false"/>
          <w:iCs w:val="false"/>
          <w:color w:val="1A1A1A"/>
          <w:sz w:val="28"/>
          <w:szCs w:val="28"/>
        </w:rPr>
        <w:t xml:space="preserve">2.3 Tres horizontes que definen el 2040</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2600"/>
        <w:gridCol w:w="7480"/>
      </w:tblGrid>
      <w:tr>
        <w:trPr>
          <w:cantSplit/>
        </w:trPr>
        <w:tc>
          <w:tcPr>
            <w:tcW w:type="dxa" w:w="2600"/>
            <w:tcBorders>
              <w:top w:val="single" w:color="CCCCCC" w:sz="4"/>
              <w:left w:val="single" w:color="CCCCCC" w:sz="4"/>
              <w:bottom w:val="single" w:color="CCCCCC" w:sz="4"/>
              <w:right w:val="single" w:color="CCCCCC" w:sz="4"/>
            </w:tcBorders>
            <w:shd w:fill="F5F5F3" w:color="auto" w:val="clear"/>
            <w:tcMar>
              <w:top w:type="dxa" w:w="120"/>
              <w:left w:type="dxa" w:w="150"/>
              <w:bottom w:type="dxa" w:w="120"/>
              <w:right w:type="dxa" w:w="150"/>
            </w:tcMar>
            <w:vAlign w:val="center"/>
          </w:tcPr>
          <w:p>
            <w:r>
              <w:rPr>
                <w:rFonts w:ascii="Arial" w:cs="Arial" w:eastAsia="Arial" w:hAnsi="Arial"/>
                <w:b/>
                <w:bCs/>
                <w:i w:val="false"/>
                <w:iCs w:val="false"/>
                <w:color w:val="1A1A1A"/>
                <w:sz w:val="20"/>
                <w:szCs w:val="20"/>
              </w:rPr>
              <w:t xml:space="preserve">Categoría, no mejora</w:t>
            </w:r>
          </w:p>
        </w:tc>
        <w:tc>
          <w:tcPr>
            <w:tcW w:type="dxa" w:w="7480"/>
            <w:tcBorders>
              <w:top w:val="single" w:color="CCCCCC" w:sz="4"/>
              <w:left w:val="single" w:color="CCCCCC" w:sz="4"/>
              <w:bottom w:val="single" w:color="CCCCCC" w:sz="4"/>
              <w:right w:val="single" w:color="CCCCCC" w:sz="4"/>
            </w:tcBorders>
            <w:shd w:fill="FFFFFF" w:color="auto" w:val="clear"/>
            <w:tcMar>
              <w:top w:type="dxa" w:w="120"/>
              <w:left w:type="dxa" w:w="150"/>
              <w:bottom w:type="dxa" w:w="120"/>
              <w:right w:type="dxa" w:w="150"/>
            </w:tcMar>
            <w:vAlign w:val="center"/>
          </w:tcPr>
          <w:p>
            <w:r>
              <w:rPr>
                <w:rFonts w:ascii="Arial" w:cs="Arial" w:eastAsia="Arial" w:hAnsi="Arial"/>
                <w:b w:val="false"/>
                <w:bCs w:val="false"/>
                <w:i w:val="false"/>
                <w:iCs w:val="false"/>
                <w:color w:val="2C2C2A"/>
                <w:sz w:val="20"/>
                <w:szCs w:val="20"/>
              </w:rPr>
              <w:t xml:space="preserve">De agencia a sistema operativo. Para 2040, Natio no se compara con agencias de representación — la comparación misma se vuelve obsoleta. El mercado distingue entre intermediación transaccional y gobernanza longitudinal, y Natio es sinónimo de la segunda categoría.</w:t>
            </w:r>
          </w:p>
        </w:tc>
      </w:tr>
      <w:tr>
        <w:trPr>
          <w:cantSplit/>
        </w:trPr>
        <w:tc>
          <w:tcPr>
            <w:tcW w:type="dxa" w:w="2600"/>
            <w:tcBorders>
              <w:top w:val="single" w:color="CCCCCC" w:sz="4"/>
              <w:left w:val="single" w:color="CCCCCC" w:sz="4"/>
              <w:bottom w:val="single" w:color="CCCCCC" w:sz="4"/>
              <w:right w:val="single" w:color="CCCCCC" w:sz="4"/>
            </w:tcBorders>
            <w:shd w:fill="F5F5F3" w:color="auto" w:val="clear"/>
            <w:tcMar>
              <w:top w:type="dxa" w:w="120"/>
              <w:left w:type="dxa" w:w="150"/>
              <w:bottom w:type="dxa" w:w="120"/>
              <w:right w:type="dxa" w:w="150"/>
            </w:tcMar>
            <w:vAlign w:val="center"/>
          </w:tcPr>
          <w:p>
            <w:r>
              <w:rPr>
                <w:rFonts w:ascii="Arial" w:cs="Arial" w:eastAsia="Arial" w:hAnsi="Arial"/>
                <w:b/>
                <w:bCs/>
                <w:i w:val="false"/>
                <w:iCs w:val="false"/>
                <w:color w:val="1A1A1A"/>
                <w:sz w:val="20"/>
                <w:szCs w:val="20"/>
              </w:rPr>
              <w:t xml:space="preserve">Confianza como activo</w:t>
            </w:r>
          </w:p>
        </w:tc>
        <w:tc>
          <w:tcPr>
            <w:tcW w:type="dxa" w:w="7480"/>
            <w:tcBorders>
              <w:top w:val="single" w:color="CCCCCC" w:sz="4"/>
              <w:left w:val="single" w:color="CCCCCC" w:sz="4"/>
              <w:bottom w:val="single" w:color="CCCCCC" w:sz="4"/>
              <w:right w:val="single" w:color="CCCCCC" w:sz="4"/>
            </w:tcBorders>
            <w:shd w:fill="FFFFFF" w:color="auto" w:val="clear"/>
            <w:tcMar>
              <w:top w:type="dxa" w:w="120"/>
              <w:left w:type="dxa" w:w="150"/>
              <w:bottom w:type="dxa" w:w="120"/>
              <w:right w:type="dxa" w:w="150"/>
            </w:tcMar>
            <w:vAlign w:val="center"/>
          </w:tcPr>
          <w:p>
            <w:r>
              <w:rPr>
                <w:rFonts w:ascii="Arial" w:cs="Arial" w:eastAsia="Arial" w:hAnsi="Arial"/>
                <w:b w:val="false"/>
                <w:bCs w:val="false"/>
                <w:i w:val="false"/>
                <w:iCs w:val="false"/>
                <w:color w:val="2C2C2A"/>
                <w:sz w:val="20"/>
                <w:szCs w:val="20"/>
              </w:rPr>
              <w:t xml:space="preserve">El estándar de confiabilidad en LATAM. Reconocida como la plataforma más confiable del fútbol profesional en América Latina — no por tamaño, sino porque cada activación fue justificada y cada frontera institucional fue respetada durante años.</w:t>
            </w:r>
          </w:p>
        </w:tc>
      </w:tr>
      <w:tr>
        <w:trPr>
          <w:cantSplit/>
        </w:trPr>
        <w:tc>
          <w:tcPr>
            <w:tcW w:type="dxa" w:w="2600"/>
            <w:tcBorders>
              <w:top w:val="single" w:color="CCCCCC" w:sz="4"/>
              <w:left w:val="single" w:color="CCCCCC" w:sz="4"/>
              <w:bottom w:val="single" w:color="CCCCCC" w:sz="4"/>
              <w:right w:val="single" w:color="CCCCCC" w:sz="4"/>
            </w:tcBorders>
            <w:shd w:fill="F5F5F3" w:color="auto" w:val="clear"/>
            <w:tcMar>
              <w:top w:type="dxa" w:w="120"/>
              <w:left w:type="dxa" w:w="150"/>
              <w:bottom w:type="dxa" w:w="120"/>
              <w:right w:type="dxa" w:w="150"/>
            </w:tcMar>
            <w:vAlign w:val="center"/>
          </w:tcPr>
          <w:p>
            <w:r>
              <w:rPr>
                <w:rFonts w:ascii="Arial" w:cs="Arial" w:eastAsia="Arial" w:hAnsi="Arial"/>
                <w:b/>
                <w:bCs/>
                <w:i w:val="false"/>
                <w:iCs w:val="false"/>
                <w:color w:val="1A1A1A"/>
                <w:sz w:val="20"/>
                <w:szCs w:val="20"/>
              </w:rPr>
              <w:t xml:space="preserve">Trayectorias, no eventos</w:t>
            </w:r>
          </w:p>
        </w:tc>
        <w:tc>
          <w:tcPr>
            <w:tcW w:type="dxa" w:w="7480"/>
            <w:tcBorders>
              <w:top w:val="single" w:color="CCCCCC" w:sz="4"/>
              <w:left w:val="single" w:color="CCCCCC" w:sz="4"/>
              <w:bottom w:val="single" w:color="CCCCCC" w:sz="4"/>
              <w:right w:val="single" w:color="CCCCCC" w:sz="4"/>
            </w:tcBorders>
            <w:shd w:fill="FFFFFF" w:color="auto" w:val="clear"/>
            <w:tcMar>
              <w:top w:type="dxa" w:w="120"/>
              <w:left w:type="dxa" w:w="150"/>
              <w:bottom w:type="dxa" w:w="120"/>
              <w:right w:type="dxa" w:w="150"/>
            </w:tcMar>
            <w:vAlign w:val="center"/>
          </w:tcPr>
          <w:p>
            <w:r>
              <w:rPr>
                <w:rFonts w:ascii="Arial" w:cs="Arial" w:eastAsia="Arial" w:hAnsi="Arial"/>
                <w:b w:val="false"/>
                <w:bCs w:val="false"/>
                <w:i w:val="false"/>
                <w:iCs w:val="false"/>
                <w:color w:val="2C2C2A"/>
                <w:sz w:val="20"/>
                <w:szCs w:val="20"/>
              </w:rPr>
              <w:t xml:space="preserve">Talento convertido en legado. El talento gestionado por Natio no solo alcanza su techo competitivo — se convierte en trayectoria inevitable durante la carrera y en legado estructurado después de ella, incluyendo el retiro.</w:t>
            </w:r>
          </w:p>
        </w:tc>
      </w:tr>
    </w:tbl>
    <w:p>
      <w:pPr>
        <w:spacing w:before="16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5F5F3" w:color="auto" w:val="clear"/>
            <w:tcMar>
              <w:top w:type="dxa" w:w="220"/>
              <w:left w:type="dxa" w:w="500"/>
              <w:bottom w:type="dxa" w:w="220"/>
              <w:right w:type="dxa" w:w="500"/>
            </w:tcMar>
          </w:tcPr>
          <w:p>
            <w:pPr>
              <w:jc w:val="center"/>
            </w:pPr>
            <w:r>
              <w:rPr>
                <w:rFonts w:ascii="Arial" w:cs="Arial" w:eastAsia="Arial" w:hAnsi="Arial"/>
                <w:b/>
                <w:bCs/>
                <w:i/>
                <w:iCs/>
                <w:color w:val="1A1A1A"/>
                <w:sz w:val="22"/>
                <w:szCs w:val="22"/>
              </w:rPr>
              <w:t xml:space="preserve">"El sistema no depende de un individuo. Se replica. Se escala. Funciona independientemente de quién lo opere, siempre que domine los protocolos y capacidades. Esa es la única forma en que una visión a dos décadas sobrevive al tiempo."</w:t>
            </w:r>
          </w:p>
          <w:p>
            <w:pPr>
              <w:spacing w:before="80"/>
              <w:jc w:val="center"/>
            </w:pPr>
            <w:r>
              <w:rPr>
                <w:rFonts w:ascii="Arial" w:cs="Arial" w:eastAsia="Arial" w:hAnsi="Arial"/>
                <w:b w:val="false"/>
                <w:bCs w:val="false"/>
                <w:i/>
                <w:iCs/>
                <w:color w:val="9B9B96"/>
                <w:sz w:val="18"/>
                <w:szCs w:val="18"/>
              </w:rPr>
              <w:t xml:space="preserve">— Arquitectura del Ecosistema, Natio</w:t>
            </w:r>
          </w:p>
        </w:tc>
      </w:tr>
    </w:tbl>
    <w:p>
      <w:pPr>
        <w:spacing w:before="200"/>
      </w:pPr>
    </w:p>
    <w:p>
      <w:pPr>
        <w:spacing w:after="140" w:before="340"/>
      </w:pPr>
      <w:r>
        <w:rPr>
          <w:rFonts w:ascii="Arial" w:cs="Arial" w:eastAsia="Arial" w:hAnsi="Arial"/>
          <w:b/>
          <w:bCs/>
          <w:i w:val="false"/>
          <w:iCs w:val="false"/>
          <w:color w:val="1A1A1A"/>
          <w:sz w:val="28"/>
          <w:szCs w:val="28"/>
        </w:rPr>
        <w:t xml:space="preserve">2.4 Lo que hace defendible esta visión</w:t>
      </w:r>
    </w:p>
    <w:p>
      <w:pPr>
        <w:spacing w:after="160" w:before="40"/>
      </w:pPr>
      <w:r>
        <w:rPr>
          <w:rFonts w:ascii="Arial" w:cs="Arial" w:eastAsia="Arial" w:hAnsi="Arial"/>
          <w:b w:val="false"/>
          <w:bCs w:val="false"/>
          <w:i w:val="false"/>
          <w:iCs w:val="false"/>
          <w:color w:val="2C2C2A"/>
          <w:sz w:val="22"/>
          <w:szCs w:val="22"/>
        </w:rPr>
        <w:t xml:space="preserve">No es una promesa de tamaño ni de expansión geográfica. Es una promesa de método: capacidades institucionales replicables, fronteras protegidas entre unidades y una cadencia de confianza construida deal por deal, año tras año, hasta que la categoría que Natio inventó sea, para 2040, la categoría que el mercado da por hecha.</w:t>
      </w:r>
    </w:p>
    <w:p>
      <w:pPr>
        <w:spacing w:before="20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1A1A1A" w:color="auto" w:val="clear"/>
            <w:tcMar>
              <w:top w:type="dxa" w:w="600"/>
              <w:left w:type="dxa" w:w="800"/>
              <w:bottom w:type="dxa" w:w="600"/>
              <w:right w:type="dxa" w:w="800"/>
            </w:tcMar>
          </w:tcPr>
          <w:p>
            <w:pPr>
              <w:spacing w:after="100"/>
            </w:pPr>
            <w:r>
              <w:rPr>
                <w:rFonts w:ascii="Arial" w:cs="Arial" w:eastAsia="Arial" w:hAnsi="Arial"/>
                <w:b/>
                <w:bCs/>
                <w:i w:val="false"/>
                <w:iCs w:val="false"/>
                <w:color w:val="F0B429"/>
                <w:sz w:val="18"/>
                <w:szCs w:val="18"/>
              </w:rPr>
              <w:t xml:space="preserve">PARTE 3</w:t>
            </w:r>
          </w:p>
          <w:p>
            <w:pPr>
              <w:spacing w:after="60"/>
            </w:pPr>
            <w:r>
              <w:rPr>
                <w:rFonts w:ascii="Arial" w:cs="Arial" w:eastAsia="Arial" w:hAnsi="Arial"/>
                <w:b/>
                <w:bCs/>
                <w:i w:val="false"/>
                <w:iCs w:val="false"/>
                <w:color w:val="FFFFFF"/>
                <w:sz w:val="36"/>
                <w:szCs w:val="36"/>
              </w:rPr>
              <w:t xml:space="preserve">Valores</w:t>
            </w:r>
          </w:p>
          <w:p>
            <w:r>
              <w:rPr>
                <w:rFonts w:ascii="Arial" w:cs="Arial" w:eastAsia="Arial" w:hAnsi="Arial"/>
                <w:b w:val="false"/>
                <w:bCs w:val="false"/>
                <w:i/>
                <w:iCs/>
                <w:color w:val="9B9B96"/>
                <w:sz w:val="20"/>
                <w:szCs w:val="20"/>
              </w:rPr>
              <w:t xml:space="preserve">Cómo decide Natio</w:t>
            </w:r>
          </w:p>
        </w:tc>
      </w:tr>
    </w:tbl>
    <w:p>
      <w:pPr>
        <w:spacing w:before="200"/>
      </w:pPr>
    </w:p>
    <w:p>
      <w:pPr>
        <w:spacing w:after="140" w:before="340"/>
      </w:pPr>
      <w:r>
        <w:rPr>
          <w:rFonts w:ascii="Arial" w:cs="Arial" w:eastAsia="Arial" w:hAnsi="Arial"/>
          <w:b/>
          <w:bCs/>
          <w:i w:val="false"/>
          <w:iCs w:val="false"/>
          <w:color w:val="1A1A1A"/>
          <w:sz w:val="28"/>
          <w:szCs w:val="28"/>
        </w:rPr>
        <w:t xml:space="preserve">3.1 Principio rector</w:t>
      </w:r>
    </w:p>
    <w:p>
      <w:pPr>
        <w:spacing w:after="160" w:before="40"/>
      </w:pPr>
      <w:r>
        <w:rPr>
          <w:rFonts w:ascii="Arial" w:cs="Arial" w:eastAsia="Arial" w:hAnsi="Arial"/>
          <w:b w:val="false"/>
          <w:bCs w:val="false"/>
          <w:i w:val="false"/>
          <w:iCs w:val="false"/>
          <w:color w:val="2C2C2A"/>
          <w:sz w:val="22"/>
          <w:szCs w:val="22"/>
        </w:rPr>
        <w:t xml:space="preserve">Natio opera con valores que no son decorativos. Son guardrails operativos: cuando una decisión entra en conflicto con uno de estos ocho principios, el principio gana — sin excepción, sin importar el tamaño de la comisión o la urgencia percibida.</w:t>
      </w:r>
    </w:p>
    <w:p>
      <w:pPr>
        <w:spacing w:after="140" w:before="340"/>
      </w:pPr>
      <w:r>
        <w:rPr>
          <w:rFonts w:ascii="Arial" w:cs="Arial" w:eastAsia="Arial" w:hAnsi="Arial"/>
          <w:b/>
          <w:bCs/>
          <w:i w:val="false"/>
          <w:iCs w:val="false"/>
          <w:color w:val="1A1A1A"/>
          <w:sz w:val="28"/>
          <w:szCs w:val="28"/>
        </w:rPr>
        <w:t xml:space="preserve">3.2 Los ocho valores institucionales</w:t>
      </w:r>
    </w:p>
    <w:tbl>
      <w:tblPr>
        <w:tblW w:type="dxa" w:w="10080"/>
        <w:tblBorders>
          <w:top w:val="single" w:color="CCCCCC" w:sz="4"/>
          <w:left w:val="single" w:color="CCCCCC" w:sz="4"/>
          <w:bottom w:val="single" w:color="CCCCCC" w:sz="4"/>
          <w:right w:val="single" w:color="CCCCCC" w:sz="4"/>
          <w:insideH w:val="single" w:color="auto" w:sz="4"/>
          <w:insideV w:val="single" w:color="auto" w:sz="4"/>
        </w:tblBorders>
      </w:tblPr>
      <w:tblGrid>
        <w:gridCol w:w="3120"/>
        <w:gridCol w:w="6960"/>
      </w:tblGrid>
      <w:tr>
        <w:trPr>
          <w:cantSplit/>
          <w:tblHeader/>
        </w:trPr>
        <w:tc>
          <w:tcPr>
            <w:tcW w:type="dxa" w:w="3120"/>
            <w:tcBorders>
              <w:top w:val="single" w:color="CCCCCC" w:sz="4"/>
              <w:left w:val="single" w:color="CCCCCC" w:sz="4"/>
              <w:bottom w:val="single" w:color="CCCCCC" w:sz="4"/>
              <w:right w:val="single" w:color="CCCCCC" w:sz="4"/>
            </w:tcBorders>
            <w:shd w:fill="1A1A1A" w:color="auto"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Valor Institucional</w:t>
            </w:r>
          </w:p>
        </w:tc>
        <w:tc>
          <w:tcPr>
            <w:tcW w:type="dxa" w:w="6960"/>
            <w:tcBorders>
              <w:top w:val="single" w:color="CCCCCC" w:sz="4"/>
              <w:left w:val="single" w:color="CCCCCC" w:sz="4"/>
              <w:bottom w:val="single" w:color="CCCCCC" w:sz="4"/>
              <w:right w:val="single" w:color="CCCCCC" w:sz="4"/>
            </w:tcBorders>
            <w:shd w:fill="1A1A1A" w:color="auto"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Cómo se Manifiesta en Operación</w:t>
            </w:r>
          </w:p>
        </w:tc>
      </w:tr>
      <w:tr>
        <w:trPr>
          <w:cantSplit/>
        </w:trPr>
        <w:tc>
          <w:tcPr>
            <w:tcW w:type="dxa" w:w="3120"/>
            <w:tcBorders>
              <w:top w:val="single" w:color="CCCCCC" w:sz="4"/>
              <w:left w:val="single" w:color="CCCCCC" w:sz="4"/>
              <w:bottom w:val="single" w:color="CCCCCC" w:sz="4"/>
              <w:right w:val="single" w:color="CCCCCC" w:sz="4"/>
            </w:tcBorders>
            <w:shd w:fill="F5F5F3" w:color="auto"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Gobernanza sobre improvisación</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2C2C2A"/>
                <w:sz w:val="20"/>
                <w:szCs w:val="20"/>
              </w:rPr>
              <w:t xml:space="preserve">Natio opera con protocolos, diagnósticos y cadencias. Nunca con intuición no respaldada o promesas sin sistema.</w:t>
            </w:r>
          </w:p>
        </w:tc>
      </w:tr>
      <w:tr>
        <w:trPr>
          <w:cantSplit/>
        </w:trPr>
        <w:tc>
          <w:tcPr>
            <w:tcW w:type="dxa" w:w="3120"/>
            <w:tcBorders>
              <w:top w:val="single" w:color="CCCCCC" w:sz="4"/>
              <w:left w:val="single" w:color="CCCCCC" w:sz="4"/>
              <w:bottom w:val="single" w:color="CCCCCC" w:sz="4"/>
              <w:right w:val="single" w:color="CCCCCC" w:sz="4"/>
            </w:tcBorders>
            <w:shd w:fill="F5F5F3" w:color="auto"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Verdad incómoda sobre confort cómodo</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2C2C2A"/>
                <w:sz w:val="20"/>
                <w:szCs w:val="20"/>
              </w:rPr>
              <w:t xml:space="preserve">Natio dice lo que el jugador necesita escuchar, no lo que quiere escuchar. El valor real está en la claridad, no en la validación.</w:t>
            </w:r>
          </w:p>
        </w:tc>
      </w:tr>
      <w:tr>
        <w:trPr>
          <w:cantSplit/>
        </w:trPr>
        <w:tc>
          <w:tcPr>
            <w:tcW w:type="dxa" w:w="3120"/>
            <w:tcBorders>
              <w:top w:val="single" w:color="CCCCCC" w:sz="4"/>
              <w:left w:val="single" w:color="CCCCCC" w:sz="4"/>
              <w:bottom w:val="single" w:color="CCCCCC" w:sz="4"/>
              <w:right w:val="single" w:color="CCCCCC" w:sz="4"/>
            </w:tcBorders>
            <w:shd w:fill="F5F5F3" w:color="auto"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Timing disciplinado sobre velocidad impulsiva</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2C2C2A"/>
                <w:sz w:val="20"/>
                <w:szCs w:val="20"/>
              </w:rPr>
              <w:t xml:space="preserve">No se mueve a un jugador por presión emocional, urgencia económica o ansiedad. Se mueve cuando la arquitectura lo justifica.</w:t>
            </w:r>
          </w:p>
        </w:tc>
      </w:tr>
      <w:tr>
        <w:trPr>
          <w:cantSplit/>
        </w:trPr>
        <w:tc>
          <w:tcPr>
            <w:tcW w:type="dxa" w:w="3120"/>
            <w:tcBorders>
              <w:top w:val="single" w:color="CCCCCC" w:sz="4"/>
              <w:left w:val="single" w:color="CCCCCC" w:sz="4"/>
              <w:bottom w:val="single" w:color="CCCCCC" w:sz="4"/>
              <w:right w:val="single" w:color="CCCCCC" w:sz="4"/>
            </w:tcBorders>
            <w:shd w:fill="F5F5F3" w:color="auto"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Reputación sobre deal</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2C2C2A"/>
                <w:sz w:val="20"/>
                <w:szCs w:val="20"/>
              </w:rPr>
              <w:t xml:space="preserve">Si un deal compromete la reputación de Natio, del jugador o del ecosistema, no se hace. Sin excepciones. La reputación vale más que cualquier comisión.</w:t>
            </w:r>
          </w:p>
        </w:tc>
      </w:tr>
      <w:tr>
        <w:trPr>
          <w:cantSplit/>
        </w:trPr>
        <w:tc>
          <w:tcPr>
            <w:tcW w:type="dxa" w:w="3120"/>
            <w:tcBorders>
              <w:top w:val="single" w:color="CCCCCC" w:sz="4"/>
              <w:left w:val="single" w:color="CCCCCC" w:sz="4"/>
              <w:bottom w:val="single" w:color="CCCCCC" w:sz="4"/>
              <w:right w:val="single" w:color="CCCCCC" w:sz="4"/>
            </w:tcBorders>
            <w:shd w:fill="F5F5F3" w:color="auto"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Sistema sobre individuo</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2C2C2A"/>
                <w:sz w:val="20"/>
                <w:szCs w:val="20"/>
              </w:rPr>
              <w:t xml:space="preserve">Natio no depende del carisma de una persona. Depende de protocolos, formatos, capacidades institucionales y cultura replicable.</w:t>
            </w:r>
          </w:p>
        </w:tc>
      </w:tr>
      <w:tr>
        <w:trPr>
          <w:cantSplit/>
        </w:trPr>
        <w:tc>
          <w:tcPr>
            <w:tcW w:type="dxa" w:w="3120"/>
            <w:tcBorders>
              <w:top w:val="single" w:color="CCCCCC" w:sz="4"/>
              <w:left w:val="single" w:color="CCCCCC" w:sz="4"/>
              <w:bottom w:val="single" w:color="CCCCCC" w:sz="4"/>
              <w:right w:val="single" w:color="CCCCCC" w:sz="4"/>
            </w:tcBorders>
            <w:shd w:fill="F5F5F3" w:color="auto"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Activación por necesidad, nunca por venta</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2C2C2A"/>
                <w:sz w:val="20"/>
                <w:szCs w:val="20"/>
              </w:rPr>
              <w:t xml:space="preserve">NGL y N360 se activan cuando la realidad lo justifica, no cuando hay una oportunidad comercial. Este principio protege la credibilidad del ecosistema.</w:t>
            </w:r>
          </w:p>
        </w:tc>
      </w:tr>
      <w:tr>
        <w:trPr>
          <w:cantSplit/>
        </w:trPr>
        <w:tc>
          <w:tcPr>
            <w:tcW w:type="dxa" w:w="3120"/>
            <w:tcBorders>
              <w:top w:val="single" w:color="CCCCCC" w:sz="4"/>
              <w:left w:val="single" w:color="CCCCCC" w:sz="4"/>
              <w:bottom w:val="single" w:color="CCCCCC" w:sz="4"/>
              <w:right w:val="single" w:color="CCCCCC" w:sz="4"/>
            </w:tcBorders>
            <w:shd w:fill="F5F5F3" w:color="auto"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Ética antes de oportunidad</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2C2C2A"/>
                <w:sz w:val="20"/>
                <w:szCs w:val="20"/>
              </w:rPr>
              <w:t xml:space="preserve">Especialmente en etapas juveniles, el estándar ético no se negocia. El comportamiento ético consistente es la barrera de entrada más difícil de replicar.</w:t>
            </w:r>
          </w:p>
        </w:tc>
      </w:tr>
      <w:tr>
        <w:trPr>
          <w:cantSplit/>
        </w:trPr>
        <w:tc>
          <w:tcPr>
            <w:tcW w:type="dxa" w:w="3120"/>
            <w:tcBorders>
              <w:top w:val="single" w:color="CCCCCC" w:sz="4"/>
              <w:left w:val="single" w:color="CCCCCC" w:sz="4"/>
              <w:bottom w:val="single" w:color="CCCCCC" w:sz="4"/>
              <w:right w:val="single" w:color="CCCCCC" w:sz="4"/>
            </w:tcBorders>
            <w:shd w:fill="F5F5F3" w:color="auto" w:val="clear"/>
            <w:tcMar>
              <w:top w:type="dxa" w:w="80"/>
              <w:left w:type="dxa" w:w="120"/>
              <w:bottom w:type="dxa" w:w="80"/>
              <w:right w:type="dxa" w:w="120"/>
            </w:tcMar>
          </w:tcPr>
          <w:p>
            <w:r>
              <w:rPr>
                <w:rFonts w:ascii="Arial" w:cs="Arial" w:eastAsia="Arial" w:hAnsi="Arial"/>
                <w:b/>
                <w:bCs/>
                <w:i w:val="false"/>
                <w:iCs w:val="false"/>
                <w:color w:val="1A1A1A"/>
                <w:sz w:val="20"/>
                <w:szCs w:val="20"/>
              </w:rPr>
              <w:t xml:space="preserve">Excelencia operativa como diferenciador</w:t>
            </w:r>
          </w:p>
        </w:tc>
        <w:tc>
          <w:tcPr>
            <w:tcW w:type="dxa" w:w="6960"/>
            <w:tcBorders>
              <w:top w:val="single" w:color="CCCCCC" w:sz="4"/>
              <w:left w:val="single" w:color="CCCCCC" w:sz="4"/>
              <w:bottom w:val="single" w:color="CCCCCC" w:sz="4"/>
              <w:right w:val="single" w:color="CCCCCC" w:sz="4"/>
            </w:tcBorders>
            <w:shd w:fill="FFFFFF" w:color="auto" w:val="clear"/>
            <w:tcMar>
              <w:top w:type="dxa" w:w="80"/>
              <w:left w:type="dxa" w:w="120"/>
              <w:bottom w:type="dxa" w:w="80"/>
              <w:right w:type="dxa" w:w="120"/>
            </w:tcMar>
          </w:tcPr>
          <w:p>
            <w:r>
              <w:rPr>
                <w:rFonts w:ascii="Arial" w:cs="Arial" w:eastAsia="Arial" w:hAnsi="Arial"/>
                <w:b w:val="false"/>
                <w:bCs w:val="false"/>
                <w:i w:val="false"/>
                <w:iCs w:val="false"/>
                <w:color w:val="2C2C2A"/>
                <w:sz w:val="20"/>
                <w:szCs w:val="20"/>
              </w:rPr>
              <w:t xml:space="preserve">La ejecución impecable no es un detalle. Es la diferencia entre ser una promesa y ser una plataforma. Los detalles sostenidos construyen confianza irreemplazable.</w:t>
            </w:r>
          </w:p>
        </w:tc>
      </w:tr>
    </w:tbl>
    <w:p>
      <w:pPr>
        <w:spacing w:before="20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5F5F3" w:color="auto" w:val="clear"/>
            <w:tcMar>
              <w:top w:type="dxa" w:w="220"/>
              <w:left w:type="dxa" w:w="500"/>
              <w:bottom w:type="dxa" w:w="220"/>
              <w:right w:type="dxa" w:w="500"/>
            </w:tcMar>
          </w:tcPr>
          <w:p>
            <w:pPr>
              <w:jc w:val="center"/>
            </w:pPr>
            <w:r>
              <w:rPr>
                <w:rFonts w:ascii="Arial" w:cs="Arial" w:eastAsia="Arial" w:hAnsi="Arial"/>
                <w:b/>
                <w:bCs/>
                <w:i/>
                <w:iCs/>
                <w:color w:val="1A1A1A"/>
                <w:sz w:val="22"/>
                <w:szCs w:val="22"/>
              </w:rPr>
              <w:t xml:space="preserve">"Los guardrails no son restricciones. Son lo que convierte a Natio en plataforma confiable en lugar de agencia oportunista. Cada guardrail protege la credibilidad que es el activo más escaso del mercado — y el más difícil de reconstruir una vez perdido."</w:t>
            </w:r>
          </w:p>
        </w:tc>
      </w:tr>
    </w:tbl>
    <w:p>
      <w:pPr>
        <w:spacing w:before="200"/>
      </w:pPr>
    </w:p>
    <w:p>
      <w:pPr>
        <w:spacing w:after="140" w:before="340"/>
      </w:pPr>
      <w:r>
        <w:rPr>
          <w:rFonts w:ascii="Arial" w:cs="Arial" w:eastAsia="Arial" w:hAnsi="Arial"/>
          <w:b/>
          <w:bCs/>
          <w:i w:val="false"/>
          <w:iCs w:val="false"/>
          <w:color w:val="1A1A1A"/>
          <w:sz w:val="28"/>
          <w:szCs w:val="28"/>
        </w:rPr>
        <w:t xml:space="preserve">3.3 Lo que estos valores protegen</w:t>
      </w:r>
    </w:p>
    <w:p>
      <w:pPr>
        <w:spacing w:after="160" w:before="40"/>
      </w:pPr>
      <w:r>
        <w:rPr>
          <w:rFonts w:ascii="Arial" w:cs="Arial" w:eastAsia="Arial" w:hAnsi="Arial"/>
          <w:b w:val="false"/>
          <w:bCs w:val="false"/>
          <w:i w:val="false"/>
          <w:iCs w:val="false"/>
          <w:color w:val="2C2C2A"/>
          <w:sz w:val="22"/>
          <w:szCs w:val="22"/>
        </w:rPr>
        <w:t xml:space="preserve">La diferencia entre Natio y una agencia que también dice operar "con sistema" no está en el discurso. Está en que estos ocho valores se cumplen incluso cuando cumplirlos cuesta una comisión, una relación o una oportunidad de corto plazo.</w:t>
      </w:r>
    </w:p>
    <w:p>
      <w:pPr>
        <w:spacing w:before="28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rPr>
          <w:cantSplit/>
        </w:trPr>
        <w:tc>
          <w:tcPr>
            <w:tcW w:type="dxa" w:w="10080"/>
            <w:tcBorders>
              <w:top w:val="none" w:color="FFFFFF" w:sz="0"/>
              <w:left w:val="none" w:color="FFFFFF" w:sz="0"/>
              <w:bottom w:val="none" w:color="FFFFFF" w:sz="0"/>
              <w:right w:val="none" w:color="FFFFFF" w:sz="0"/>
            </w:tcBorders>
            <w:shd w:fill="F0B429" w:color="auto" w:val="clear"/>
            <w:tcMar>
              <w:top w:type="dxa" w:w="280"/>
              <w:left w:type="dxa" w:w="420"/>
              <w:bottom w:type="dxa" w:w="280"/>
              <w:right w:type="dxa" w:w="420"/>
            </w:tcMar>
          </w:tcPr>
          <w:p>
            <w:pPr>
              <w:spacing w:after="120"/>
            </w:pPr>
            <w:r>
              <w:rPr>
                <w:rFonts w:ascii="Arial" w:cs="Arial" w:eastAsia="Arial" w:hAnsi="Arial"/>
                <w:b/>
                <w:bCs/>
                <w:i w:val="false"/>
                <w:iCs w:val="false"/>
                <w:color w:val="1A1A1A"/>
                <w:sz w:val="30"/>
                <w:szCs w:val="30"/>
              </w:rPr>
              <w:t xml:space="preserve">Dirigimos tu carrera.</w:t>
            </w:r>
          </w:p>
          <w:p>
            <w:pPr>
              <w:spacing w:after="120"/>
            </w:pPr>
            <w:r>
              <w:rPr>
                <w:rFonts w:ascii="Arial" w:cs="Arial" w:eastAsia="Arial" w:hAnsi="Arial"/>
                <w:b/>
                <w:bCs/>
                <w:i w:val="false"/>
                <w:iCs w:val="false"/>
                <w:color w:val="1A1A1A"/>
                <w:sz w:val="30"/>
                <w:szCs w:val="30"/>
              </w:rPr>
              <w:t xml:space="preserve">Expandimos tus opciones.</w:t>
            </w:r>
          </w:p>
          <w:p>
            <w:pPr>
              <w:spacing w:after="0"/>
            </w:pPr>
            <w:r>
              <w:rPr>
                <w:rFonts w:ascii="Arial" w:cs="Arial" w:eastAsia="Arial" w:hAnsi="Arial"/>
                <w:b/>
                <w:bCs/>
                <w:i w:val="false"/>
                <w:iCs w:val="false"/>
                <w:color w:val="1A1A1A"/>
                <w:sz w:val="30"/>
                <w:szCs w:val="30"/>
              </w:rPr>
              <w:t xml:space="preserve">Protegemos tu estabilidad.</w:t>
            </w:r>
          </w:p>
        </w:tc>
      </w:tr>
    </w:tbl>
    <w:p>
      <w:pPr>
        <w:spacing w:before="160"/>
      </w:pPr>
    </w:p>
    <w:p>
      <w:pPr>
        <w:jc w:val="center"/>
      </w:pPr>
      <w:r>
        <w:rPr>
          <w:rFonts w:ascii="Arial" w:cs="Arial" w:eastAsia="Arial" w:hAnsi="Arial"/>
          <w:b w:val="false"/>
          <w:bCs w:val="false"/>
          <w:i/>
          <w:iCs/>
          <w:color w:val="9B9B96"/>
          <w:sz w:val="18"/>
          <w:szCs w:val="18"/>
        </w:rPr>
        <w:t xml:space="preserve">Misión, Visión 2040 y Valores — destilados del Documento Institucional Natio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B429" w:sz="4" w:space="1"/>
      </w:pBdr>
      <w:spacing w:before="80"/>
      <w:jc w:val="right"/>
    </w:pPr>
    <w:r>
      <w:rPr>
        <w:rFonts w:ascii="Arial" w:cs="Arial" w:eastAsia="Arial" w:hAnsi="Arial"/>
        <w:b w:val="false"/>
        <w:bCs w:val="false"/>
        <w:i w:val="false"/>
        <w:iCs w:val="false"/>
        <w:color w:val="9B9B96"/>
        <w:sz w:val="18"/>
        <w:szCs w:val="18"/>
      </w:rPr>
      <w:t xml:space="preserve">Página </w:t>
    </w:r>
    <w:r>
      <w:rPr>
        <w:rFonts w:ascii="Arial" w:cs="Arial" w:eastAsia="Arial" w:hAnsi="Arial"/>
        <w:color w:val="9B9B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0B429" w:sz="4" w:space="1"/>
      </w:pBdr>
      <w:tabs>
        <w:tab w:val="right" w:pos="9026"/>
      </w:tabs>
      <w:spacing w:after="80"/>
    </w:pPr>
    <w:r>
      <w:rPr>
        <w:rFonts w:ascii="Arial" w:cs="Arial" w:eastAsia="Arial" w:hAnsi="Arial"/>
        <w:b w:val="false"/>
        <w:bCs w:val="false"/>
        <w:i w:val="false"/>
        <w:iCs w:val="false"/>
        <w:color w:val="2C2C2A"/>
        <w:sz w:val="18"/>
        <w:szCs w:val="18"/>
      </w:rPr>
      <w:t xml:space="preserve">Natio — Misión, Visión 2040 y Valores</w:t>
    </w:r>
    <w:r>
      <w:rPr>
        <w:rFonts w:ascii="Arial" w:cs="Arial" w:eastAsia="Arial" w:hAnsi="Arial"/>
      </w:rPr>
      <w:t xml:space="preserve">	</w:t>
    </w:r>
    <w:r>
      <w:rPr>
        <w:rFonts w:ascii="Arial" w:cs="Arial" w:eastAsia="Arial" w:hAnsi="Arial"/>
        <w:b w:val="false"/>
        <w:bCs w:val="false"/>
        <w:i w:val="false"/>
        <w:iCs w:val="false"/>
        <w:color w:val="9B9B96"/>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081a4ba1ceabd7f1a09d1e8ae7235c99a4d0dfc.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2026-08-27T10:11:32.698Z</dcterms:created>
  <dcterms:modified xsi:type="dcterms:W3CDTF">2026-08-27T10:11:32.698Z</dcterms:modified>
</cp:coreProperties>
</file>

<file path=docProps/custom.xml><?xml version="1.0" encoding="utf-8"?>
<Properties xmlns="http://schemas.openxmlformats.org/officeDocument/2006/custom-properties" xmlns:vt="http://schemas.openxmlformats.org/officeDocument/2006/docPropsVTypes"/>
</file>