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REGOLE DATABASE E VINCOLI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Appointment Manager</w:t>
      </w:r>
      <w:r w:rsidDel="00000000" w:rsidR="00000000" w:rsidRPr="00000000">
        <w:rPr>
          <w:rtl w:val="0"/>
        </w:rPr>
        <w:t xml:space="preserve"> segue regole tassative per la gestione dei dati. Tutte le interazioni con il database devono rispettare la struttura definita in database.types.ts.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Tabelle ammesse:</w:t>
      </w:r>
      <w:r w:rsidDel="00000000" w:rsidR="00000000" w:rsidRPr="00000000">
        <w:rPr>
          <w:rtl w:val="0"/>
        </w:rPr>
        <w:t xml:space="preserve"> appuntamenti, clienti, istruttori, veicoli, patenti.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Divieti:</w:t>
      </w:r>
      <w:r w:rsidDel="00000000" w:rsidR="00000000" w:rsidRPr="00000000">
        <w:rPr>
          <w:rtl w:val="0"/>
        </w:rPr>
        <w:t xml:space="preserve"> È assolutamente vietato creare tabelle in inglese o inventare colonne non presenti nello schema ufficiale.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Allineamento:</w:t>
      </w:r>
      <w:r w:rsidDel="00000000" w:rsidR="00000000" w:rsidRPr="00000000">
        <w:rPr>
          <w:rtl w:val="0"/>
        </w:rPr>
        <w:t xml:space="preserve"> Ogni modifica allo schema deve essere sincronizzata con database.types.ts.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