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WORKFLOW OPERATIVO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Linee guida per l'implementazione dei componenti core: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AppointmentForm:</w:t>
      </w:r>
      <w:r w:rsidDel="00000000" w:rsidR="00000000" w:rsidRPr="00000000">
        <w:rPr>
          <w:rtl w:val="0"/>
        </w:rPr>
        <w:t xml:space="preserve"> Deve essere l'unico modulo utilizzato per la Creazione e Modifica delle guide (durata: 30, 60, Personalizzato).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PhoneActions:</w:t>
      </w:r>
      <w:r w:rsidDel="00000000" w:rsidR="00000000" w:rsidRPr="00000000">
        <w:rPr>
          <w:rtl w:val="0"/>
        </w:rPr>
        <w:t xml:space="preserve"> Utilizzare questo componente per i link WhatsApp, forzando il prefisso internazionale 39 (wa.me/39...).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DetailsModal:</w:t>
      </w:r>
      <w:r w:rsidDel="00000000" w:rsidR="00000000" w:rsidRPr="00000000">
        <w:rPr>
          <w:rtl w:val="0"/>
        </w:rPr>
        <w:t xml:space="preserve"> Deve rispecchiare fedelmente il design di NewAppointmentModal.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