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Aplicación de IA para la predicción de tasas de degradación</w:t>
        <w:br/>
        <w:t>de polímeros biocompatibles</w:t>
      </w:r>
    </w:p>
    <w:p>
      <w:pPr>
        <w:jc w:val="center"/>
      </w:pPr>
      <w:r>
        <w:rPr>
          <w:i/>
          <w:sz w:val="32"/>
        </w:rPr>
        <w:t>Informe de avance — dataset real (HU1)</w:t>
      </w:r>
    </w:p>
    <w:p/>
    <w:p>
      <w:pPr>
        <w:jc w:val="center"/>
      </w:pPr>
      <w:r>
        <w:t>Trabajo Final — Carrera de Especialización en Inteligencia Artificial (FIUBA)</w:t>
      </w:r>
    </w:p>
    <w:p>
      <w:pPr>
        <w:jc w:val="center"/>
      </w:pPr>
      <w:r>
        <w:t>Autor: Lic. Gastón Corti</w:t>
      </w:r>
    </w:p>
    <w:p>
      <w:pPr>
        <w:jc w:val="center"/>
      </w:pPr>
      <w:r>
        <w:t>Director: Esp. Ing. Ariadna Garmendia</w:t>
      </w:r>
    </w:p>
    <w:p>
      <w:r>
        <w:br w:type="page"/>
      </w:r>
    </w:p>
    <w:p>
      <w:pPr>
        <w:pStyle w:val="Heading1"/>
      </w:pPr>
      <w:r>
        <w:t>1. Objetivo del proyecto</w:t>
      </w:r>
    </w:p>
    <w:p>
      <w:r>
        <w:t>Implementar un pipeline de IA que, a partir de curvas de degradación (pérdida de masa vs. tiempo) de polímeros biocompatibles en medios fisiológicos, estime la constante cinética k y clasifique la tasa de degradación (baja/media/alta), comparando modelos supervisados (Random Forest, XGBoost) para la clasificación y un modelo de deep learning (LSTM) para la regresión de k.</w:t>
      </w:r>
    </w:p>
    <w:p>
      <w:pPr>
        <w:pStyle w:val="Heading1"/>
      </w:pPr>
      <w:r>
        <w:t>2. Estado actual</w:t>
      </w:r>
    </w:p>
    <w:p>
      <w:r>
        <w:t>El pipeline ya corre de punta a punta sobre el dataset REAL extraído de publicaciones científicas (HU1, Épica 1, completada): 4689 puntos, 120 curvas, 27 papers, filtrados al subconjunto 'núcleo' (78 curvas) comparable a medios fisiológicos (PBS/SBF/saliva artificial a ~37°C), excluyendo condiciones extremas (NaOH, pH extremo) y ensayos acelerados. El esquema de datos se extendió respecto del sintético para aprovechar variables no disponibles antes: composición de copolímero, geometría, método de fabricación y porosidad.</w:t>
      </w:r>
    </w:p>
    <w:p>
      <w:pPr>
        <w:pStyle w:val="Heading1"/>
      </w:pPr>
      <w:r>
        <w:t>3. Metodología (CRISP-DM)</w:t>
      </w:r>
    </w:p>
    <w:p>
      <w:r>
        <w:t>El pipeline (main.py) ejecuta las siguientes fases en orden:</w:t>
      </w:r>
    </w:p>
    <w:p>
      <w:pPr>
        <w:pStyle w:val="ListBullet"/>
      </w:pPr>
      <w:r>
        <w:t>Carga de datos (sintéticos o reales, según el archivo de configuración).</w:t>
      </w:r>
    </w:p>
    <w:p>
      <w:pPr>
        <w:pStyle w:val="ListBullet"/>
      </w:pPr>
      <w:r>
        <w:t>Estandarización y limpieza de unidades (HU2).</w:t>
      </w:r>
    </w:p>
    <w:p>
      <w:pPr>
        <w:pStyle w:val="ListBullet"/>
      </w:pPr>
      <w:r>
        <w:t>Ajuste cinético de pseudo-primer orden por curva (mass_loss_pct(t) = 100·(1−exp(−k·t))) y categorización en clases baja/media/alta según el k ajustado.</w:t>
      </w:r>
    </w:p>
    <w:p>
      <w:pPr>
        <w:pStyle w:val="ListBullet"/>
      </w:pPr>
      <w:r>
        <w:t>Visualizaciones exploratorias: distribución de clases, matriz de correlaciones, muestra de curvas.</w:t>
      </w:r>
    </w:p>
    <w:p>
      <w:pPr>
        <w:pStyle w:val="ListBullet"/>
      </w:pPr>
      <w:r>
        <w:t>Entrenamiento y comparación de modelos, con tracking de parámetros/métricas/artefactos en MLflow (HU3, HU4, HU5).</w:t>
      </w:r>
    </w:p>
    <w:p>
      <w:pPr>
        <w:pStyle w:val="ListBullet"/>
      </w:pPr>
      <w:r>
        <w:t>Visualización comparativa de las curvas reconstruidas/clasificadas por cada modelo.</w:t>
      </w:r>
    </w:p>
    <w:p>
      <w:pPr>
        <w:pStyle w:val="ListBullet"/>
      </w:pPr>
      <w:r>
        <w:t>Evaluación detallada de clasificación (matrices de confusión, ROC/AUC) y explicabilidad (SHAP) para Random Forest y XGBoost.</w:t>
      </w:r>
    </w:p>
    <w:p>
      <w:pPr>
        <w:pStyle w:val="Heading1"/>
      </w:pPr>
      <w:r>
        <w:t>4. Datos utilizados</w:t>
      </w:r>
    </w:p>
    <w:p>
      <w:r>
        <w:t>Dataset actual: 78 curvas, con la siguiente distribución de clases de tasa de degradación: baja=26, media=28, alta=24.</w:t>
      </w:r>
    </w:p>
    <w:p>
      <w:r>
        <w:t>Cada curva incluye: familia de polímero (incluye blends, ej. PCL/PLLA, PLLA/PLGA/PCL), fracciones de composición de copolímero (PLLA/PLGA/PCL/PEG, y lactide:glycolide dentro de PLGA), geometría (scaffold, film, mesh, fibra, etc.), método de fabricación, porosidad, medio de ensayo, temperatura, pH, peso molecular inicial, y la serie temporal de pérdida de masa. No incluye cristalinidad ni área superficial (no reportadas en la literatura relevada).</w:t>
      </w:r>
    </w:p>
    <w:p>
      <w:pPr>
        <w:pStyle w:val="Heading1"/>
      </w:pPr>
      <w:r>
        <w:t>5. Modelos implementados</w:t>
      </w:r>
    </w:p>
    <w:p>
      <w:r>
        <w:t>Clasificación (baja/media/alta), comparando dos modelos supervisados:</w:t>
      </w:r>
    </w:p>
    <w:p>
      <w:pPr>
        <w:pStyle w:val="ListBullet"/>
      </w:pPr>
      <w:r>
        <w:t>Random Forest (scikit-learn).</w:t>
      </w:r>
    </w:p>
    <w:p>
      <w:pPr>
        <w:pStyle w:val="ListBullet"/>
      </w:pPr>
      <w:r>
        <w:t>XGBoost.</w:t>
      </w:r>
    </w:p>
    <w:p>
      <w:r>
        <w:t>Regresión de la constante cinética k, con una red LSTM (PyTorch) que toma la curva interpolada de pérdida de masa como secuencia de entrada.</w:t>
      </w:r>
    </w:p>
    <w:p>
      <w:r>
        <w:t>Todos los entrenamientos quedan registrados en MLflow (parámetros, métricas y el modelo serializado como artefacto), lo que permite comparar corridas entre sí desde la interfaz web de MLflow.</w:t>
      </w:r>
    </w:p>
    <w:p>
      <w:pPr>
        <w:pStyle w:val="Heading1"/>
      </w:pPr>
      <w:r>
        <w:t>6. Resultados</w:t>
      </w:r>
    </w:p>
    <w:p>
      <w:r>
        <w:t>Cuadro comparativo de la corrida más reciente (78 curvas reales, nivel de homogeneidad 'núcleo'):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Modelo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f1_macro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r2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0.7500</w:t>
            </w:r>
          </w:p>
        </w:tc>
        <w:tc>
          <w:tcPr>
            <w:tcW w:type="dxa" w:w="1440"/>
          </w:tcPr>
          <w:p>
            <w:r>
              <w:t>0.7609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0.6875</w:t>
            </w:r>
          </w:p>
        </w:tc>
        <w:tc>
          <w:tcPr>
            <w:tcW w:type="dxa" w:w="1440"/>
          </w:tcPr>
          <w:p>
            <w:r>
              <w:t>0.6940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LSTM (regresión de k)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0.0031</w:t>
            </w:r>
          </w:p>
        </w:tc>
        <w:tc>
          <w:tcPr>
            <w:tcW w:type="dxa" w:w="1440"/>
          </w:tcPr>
          <w:p>
            <w:r>
              <w:t>0.0020</w:t>
            </w:r>
          </w:p>
        </w:tc>
        <w:tc>
          <w:tcPr>
            <w:tcW w:type="dxa" w:w="1440"/>
          </w:tcPr>
          <w:p>
            <w:r>
              <w:t>0.7680</w:t>
            </w:r>
          </w:p>
        </w:tc>
      </w:tr>
    </w:tbl>
    <w:p/>
    <w:p>
      <w:r>
        <w:t>Random Forest (accuracy 0.75) y XGBoost (accuracy 0.69) clasifican con desempeño más modesto que sobre datos sintéticos, esperable dado el ruido y la heterogeneidad real entre 27 estudios distintos. El LSTM predice k con MAE≈0.002 día⁻¹ y R²≈0.77. Nota: los bins de clasificación (baja/media/alta) se recalibraron por terciles de la distribución real de k — los bins originales (pensados para el rango sintético) dejaban la clase 'alta' vacía, porque el k fisiológico real es 10-100x menor. Esta recalibración es provisoria y debe validarse con la dirección antes de reportar resultados finales.</w:t>
      </w:r>
    </w:p>
    <w:p>
      <w:pPr>
        <w:pStyle w:val="Heading2"/>
      </w:pPr>
      <w:r>
        <w:t>6.1. Distribución de clases y correlaciones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118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cl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1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1. Distribución de clases de tasa de degradación.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995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rrel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9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2. Matriz de correlaciones entre variables numéricas.</w:t>
      </w:r>
    </w:p>
    <w:p>
      <w:pPr>
        <w:pStyle w:val="Heading2"/>
      </w:pPr>
      <w:r>
        <w:t>6.2. Curvas de degradación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59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_degradacion_muest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5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3. Muestra de curvas de degradación del dataset.</w:t>
      </w:r>
    </w:p>
    <w:p>
      <w:pPr>
        <w:pStyle w:val="Heading2"/>
      </w:pPr>
      <w:r>
        <w:t>6.3. Comparación de modelos sobre curvas de test</w:t>
      </w:r>
    </w:p>
    <w:p>
      <w:r>
        <w:t>Para una muestra de curvas del conjunto de test: a la izquierda, la curva real (línea con marcadores) contra la reconstruida con el k predicho por el LSTM (punteada); al centro y a la derecha, la curva real coloreada según la clase que le asignó cada clasificador (línea sólida = acierto, punteada = error).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59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curvas_mode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4. Comparación de predicciones de los 3 modelos sobre curvas de test.</w:t>
      </w:r>
    </w:p>
    <w:p>
      <w:pPr>
        <w:pStyle w:val="Heading2"/>
      </w:pPr>
      <w:r>
        <w:t>6.4. Evaluación detallada de clasificación (RF vs XGBoost)</w:t>
      </w:r>
    </w:p>
    <w:p>
      <w:r>
        <w:t>Además de accuracy y f1_macro (Sección 6), se detalla la matriz de confusión, las curvas ROC one-vs-rest con AUC por clase, y el precision/recall/f1-score desglosado por clase, para ambos clasificadores sobre el mismo conjunto de test.</w:t>
      </w:r>
    </w:p>
    <w:p>
      <w:pPr>
        <w:pStyle w:val="Heading3"/>
      </w:pPr>
      <w:r>
        <w:t>Random Forest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Clase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0.571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0.727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0.889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873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random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7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5. Matriz de confusión — Random Forest.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7824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random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8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6. Curvas ROC one-vs-rest — Random Forest.</w:t>
      </w:r>
    </w:p>
    <w:p>
      <w:pPr>
        <w:pStyle w:val="Heading3"/>
      </w:pPr>
      <w:r>
        <w:t>XGBoost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Clase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0.615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0.667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0.800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873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7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7. Matriz de confusión — XGBoost.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7824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xgbo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8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8. Curvas ROC one-vs-rest — XGBoost.</w:t>
      </w:r>
    </w:p>
    <w:p>
      <w:pPr>
        <w:pStyle w:val="Heading2"/>
      </w:pPr>
      <w:r>
        <w:t>6.5. Explicabilidad (SHAP)</w:t>
      </w:r>
    </w:p>
    <w:p>
      <w:r>
        <w:t>Se usó SHAP (TreeExplainer, exacto para modelos de árboles) para explicar las predicciones de Random Forest y XGBoost: importancia global (promedio de |valor SHAP| entre todas las curvas de test) y una explicación local (por qué el modelo clasificó una curva particular como lo hizo). A diferencia del dataset sintético, acá emerge una señal fisicoquímica muy concreta: la fracción de PLGA (plga_fraction) y las fracciones de láctico/glicólico dentro del PLGA (lactide/glycolide_fraction_in_plga) son las variables más influyentes en ambos modelos — coincide exactamente con la literatura: la proporción láctico:glicólico es el factor clásico que gobierna la velocidad de degradación del PLGA. Esta señal era invisible con el esquema sintético/mínimo, que solo tenía 'tipo de polímero' como categoría única.</w:t>
      </w:r>
    </w:p>
    <w:p>
      <w:pPr>
        <w:pStyle w:val="Heading3"/>
      </w:pPr>
      <w:r>
        <w:t>Random Forest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562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random_for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9. Importancia global (SHAP) — Random Forest.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744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random_for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10. Explicación local (SHAP) de una curva de test — Random Forest.</w:t>
      </w:r>
    </w:p>
    <w:p>
      <w:pPr>
        <w:pStyle w:val="Heading3"/>
      </w:pPr>
      <w:r>
        <w:t>XGBoost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719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lobal_xgboo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11. Importancia global (SHAP) — XGBoost.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921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local_xgboo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12. Explicación local (SHAP) de una curva de test — XGBoost.</w:t>
      </w:r>
    </w:p>
    <w:p>
      <w:pPr>
        <w:pStyle w:val="Heading1"/>
      </w:pPr>
      <w:r>
        <w:t>7. Próximos pasos</w:t>
      </w:r>
    </w:p>
    <w:p>
      <w:pPr>
        <w:pStyle w:val="ListBullet"/>
      </w:pPr>
      <w:r>
        <w:t>Validar con la dirección los bins de clasificación baja/media/alta (actualmente por terciles de k, no por literatura clínica).</w:t>
      </w:r>
    </w:p>
    <w:p>
      <w:pPr>
        <w:pStyle w:val="ListBullet"/>
      </w:pPr>
      <w:r>
        <w:t>Revisar curvas con ajuste cinético de mala calidad (R² bajo o negativo, ej. por curvas no monótonas o con pocos puntos) y decidir si se filtran.</w:t>
      </w:r>
    </w:p>
    <w:p>
      <w:pPr>
        <w:pStyle w:val="ListBullet"/>
      </w:pPr>
      <w:r>
        <w:t>Evaluar incorporar los niveles 'acelerado' y 'extendido' (con la normalización a k equivalente a 37°C ya calculada en el dataset) para ampliar la muestra.</w:t>
      </w:r>
    </w:p>
    <w:p>
      <w:pPr>
        <w:pStyle w:val="ListBullet"/>
      </w:pPr>
      <w:r>
        <w:t>Ajuste de hiperparámetros (GridSearchCV, ya soportado por el pipeline) sobre el dataset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