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Aplicación de IA para la predicción de tasas de degradación</w:t>
        <w:br/>
        <w:t>de polímeros biocompatibles</w:t>
      </w:r>
    </w:p>
    <w:p>
      <w:pPr>
        <w:jc w:val="center"/>
      </w:pPr>
      <w:r>
        <w:rPr>
          <w:i/>
          <w:sz w:val="32"/>
        </w:rPr>
        <w:t>Informe de avance</w:t>
      </w:r>
    </w:p>
    <w:p/>
    <w:p>
      <w:pPr>
        <w:jc w:val="center"/>
      </w:pPr>
      <w:r>
        <w:t>Trabajo Final — Carrera de Especialización en Inteligencia Artificial (FIUBA)</w:t>
      </w:r>
    </w:p>
    <w:p>
      <w:pPr>
        <w:jc w:val="center"/>
      </w:pPr>
      <w:r>
        <w:t>Autor: Lic. Gastón Corti</w:t>
      </w:r>
    </w:p>
    <w:p>
      <w:pPr>
        <w:jc w:val="center"/>
      </w:pPr>
      <w:r>
        <w:t>Director: Esp. Ing. Ariadna Garmendia</w:t>
      </w:r>
    </w:p>
    <w:p>
      <w:r>
        <w:br w:type="page"/>
      </w:r>
    </w:p>
    <w:p>
      <w:pPr>
        <w:pStyle w:val="Heading1"/>
      </w:pPr>
      <w:r>
        <w:t>1. Objetivo del proyecto</w:t>
      </w:r>
    </w:p>
    <w:p>
      <w:r>
        <w:t>Implementar un pipeline de IA que, a partir de curvas de degradación (pérdida de masa vs. tiempo) de polímeros biocompatibles en medios fisiológicos, estime la constante cinética k y clasifique la tasa de degradación (baja/media/alta), comparando modelos supervisados (Random Forest, XGBoost) para la clasificación y un modelo de deep learning (LSTM) para la regresión de k.</w:t>
      </w:r>
    </w:p>
    <w:p>
      <w:pPr>
        <w:pStyle w:val="Heading1"/>
      </w:pPr>
      <w:r>
        <w:t>2. Estado actual</w:t>
      </w:r>
    </w:p>
    <w:p>
      <w:r>
        <w:t>El pipeline corre de punta a punta (CRISP-DM completo) con datos sintéticos generados mediante una cinética de pseudo-primer orden fisicoquímicamente plausible, mientras avanza en paralelo la extracción real de curvas desde publicaciones científicas (HU1, Épica 1, pendiente). Esto permitió desarrollar y validar el resto del pipeline (preprocesamiento, modelado, evaluación, visualización, tracking de experimentos) sin depender de tener primero el dataset bibliográfico completo. Cuando la extracción esté lista, se reemplaza el CSV sintético por el real (mismo esquema) y se vuelve a correr el pipeline sin cambios de código.</w:t>
      </w:r>
    </w:p>
    <w:p>
      <w:pPr>
        <w:pStyle w:val="Heading1"/>
      </w:pPr>
      <w:r>
        <w:t>3. Metodología (CRISP-DM)</w:t>
      </w:r>
    </w:p>
    <w:p>
      <w:r>
        <w:t>El pipeline (main.py) ejecuta las siguientes fases en orden:</w:t>
      </w:r>
    </w:p>
    <w:p>
      <w:pPr>
        <w:pStyle w:val="ListBullet"/>
      </w:pPr>
      <w:r>
        <w:t>Generación / carga de datos (sintéticos, mientras se completa HU1 con datos reales).</w:t>
      </w:r>
    </w:p>
    <w:p>
      <w:pPr>
        <w:pStyle w:val="ListBullet"/>
      </w:pPr>
      <w:r>
        <w:t>Estandarización y limpieza de unidades (HU2).</w:t>
      </w:r>
    </w:p>
    <w:p>
      <w:pPr>
        <w:pStyle w:val="ListBullet"/>
      </w:pPr>
      <w:r>
        <w:t>Ajuste cinético de pseudo-primer orden por curva (mass_loss_pct(t) = 100·(1−exp(−k·t))) y categorización en clases baja/media/alta según el k ajustado.</w:t>
      </w:r>
    </w:p>
    <w:p>
      <w:pPr>
        <w:pStyle w:val="ListBullet"/>
      </w:pPr>
      <w:r>
        <w:t>Visualizaciones exploratorias: distribución de clases, matriz de correlaciones, muestra de curvas.</w:t>
      </w:r>
    </w:p>
    <w:p>
      <w:pPr>
        <w:pStyle w:val="ListBullet"/>
      </w:pPr>
      <w:r>
        <w:t>Entrenamiento y comparación de modelos, con tracking de parámetros/métricas/artefactos en MLflow (HU3, HU4, HU5).</w:t>
      </w:r>
    </w:p>
    <w:p>
      <w:pPr>
        <w:pStyle w:val="ListBullet"/>
      </w:pPr>
      <w:r>
        <w:t>Visualización comparativa de las curvas reconstruidas/clasificadas por cada modelo.</w:t>
      </w:r>
    </w:p>
    <w:p>
      <w:pPr>
        <w:pStyle w:val="Heading1"/>
      </w:pPr>
      <w:r>
        <w:t>4. Datos utilizados</w:t>
      </w:r>
    </w:p>
    <w:p>
      <w:r>
        <w:t>Dataset sintético actual: 80 curvas, con la siguiente distribución de clases de tasa de degradación: baja=47, media=14, alta=19.</w:t>
      </w:r>
    </w:p>
    <w:p>
      <w:r>
        <w:t>Cada curva incluye: tipo de polímero (PLA, PCL, PGA, PLGA, etc.), medio de ensayo (SBF, PBS, etc.), temperatura, pH, peso molecular inicial, cristalinidad, área superficial, y la serie temporal de pérdida de masa. Este esquema es el mismo que se usará al incorporar las curvas reales extraídas de publicaciones (HU1).</w:t>
      </w:r>
    </w:p>
    <w:p>
      <w:pPr>
        <w:pStyle w:val="Heading1"/>
      </w:pPr>
      <w:r>
        <w:t>5. Modelos implementados</w:t>
      </w:r>
    </w:p>
    <w:p>
      <w:r>
        <w:t>Clasificación (baja/media/alta), comparando dos modelos supervisados:</w:t>
      </w:r>
    </w:p>
    <w:p>
      <w:pPr>
        <w:pStyle w:val="ListBullet"/>
      </w:pPr>
      <w:r>
        <w:t>Random Forest (scikit-learn).</w:t>
      </w:r>
    </w:p>
    <w:p>
      <w:pPr>
        <w:pStyle w:val="ListBullet"/>
      </w:pPr>
      <w:r>
        <w:t>XGBoost.</w:t>
      </w:r>
    </w:p>
    <w:p>
      <w:r>
        <w:t>Regresión de la constante cinética k, con una red LSTM (PyTorch) que toma la curva interpolada de pérdida de masa como secuencia de entrada.</w:t>
      </w:r>
    </w:p>
    <w:p>
      <w:r>
        <w:t>Todos los entrenamientos quedan registrados en MLflow (parámetros, métricas y el modelo serializado como artefacto), lo que permite comparar corridas entre sí desde la interfaz web de MLflow.</w:t>
      </w:r>
    </w:p>
    <w:p>
      <w:pPr>
        <w:pStyle w:val="Heading1"/>
      </w:pPr>
      <w:r>
        <w:t>6. Resultados</w:t>
      </w:r>
    </w:p>
    <w:p>
      <w:r>
        <w:t>Cuadro comparativo de la corrida más reciente (80 curvas sintéticas, semilla 42):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Modelo</w:t>
            </w:r>
          </w:p>
        </w:tc>
        <w:tc>
          <w:tcPr>
            <w:tcW w:type="dxa" w:w="1440"/>
          </w:tcPr>
          <w:p>
            <w:r>
              <w:t>accuracy</w:t>
            </w:r>
          </w:p>
        </w:tc>
        <w:tc>
          <w:tcPr>
            <w:tcW w:type="dxa" w:w="1440"/>
          </w:tcPr>
          <w:p>
            <w:r>
              <w:t>f1_macro</w:t>
            </w:r>
          </w:p>
        </w:tc>
        <w:tc>
          <w:tcPr>
            <w:tcW w:type="dxa" w:w="1440"/>
          </w:tcPr>
          <w:p>
            <w:r>
              <w:t>rmse</w:t>
            </w:r>
          </w:p>
        </w:tc>
        <w:tc>
          <w:tcPr>
            <w:tcW w:type="dxa" w:w="1440"/>
          </w:tcPr>
          <w:p>
            <w:r>
              <w:t>mae</w:t>
            </w:r>
          </w:p>
        </w:tc>
        <w:tc>
          <w:tcPr>
            <w:tcW w:type="dxa" w:w="1440"/>
          </w:tcPr>
          <w:p>
            <w:r>
              <w:t>r2</w:t>
            </w:r>
          </w:p>
        </w:tc>
      </w:tr>
      <w:tr>
        <w:tc>
          <w:tcPr>
            <w:tcW w:type="dxa" w:w="1440"/>
          </w:tcPr>
          <w:p>
            <w:r>
              <w:t>Random Forest</w:t>
            </w:r>
          </w:p>
        </w:tc>
        <w:tc>
          <w:tcPr>
            <w:tcW w:type="dxa" w:w="1440"/>
          </w:tcPr>
          <w:p>
            <w:r>
              <w:t>1.0000</w:t>
            </w:r>
          </w:p>
        </w:tc>
        <w:tc>
          <w:tcPr>
            <w:tcW w:type="dxa" w:w="1440"/>
          </w:tcPr>
          <w:p>
            <w:r>
              <w:t>1.0000</w:t>
            </w:r>
          </w:p>
        </w:tc>
        <w:tc>
          <w:tcPr>
            <w:tcW w:type="dxa" w:w="1440"/>
          </w:tcPr>
          <w:p>
            <w:r/>
          </w:p>
        </w:tc>
        <w:tc>
          <w:tcPr>
            <w:tcW w:type="dxa" w:w="1440"/>
          </w:tcPr>
          <w:p>
            <w:r/>
          </w:p>
        </w:tc>
        <w:tc>
          <w:tcPr>
            <w:tcW w:type="dxa" w:w="1440"/>
          </w:tcPr>
          <w:p>
            <w:r/>
          </w:p>
        </w:tc>
      </w:tr>
      <w:tr>
        <w:tc>
          <w:tcPr>
            <w:tcW w:type="dxa" w:w="1440"/>
          </w:tcPr>
          <w:p>
            <w:r>
              <w:t>XGBoost</w:t>
            </w:r>
          </w:p>
        </w:tc>
        <w:tc>
          <w:tcPr>
            <w:tcW w:type="dxa" w:w="1440"/>
          </w:tcPr>
          <w:p>
            <w:r>
              <w:t>0.9375</w:t>
            </w:r>
          </w:p>
        </w:tc>
        <w:tc>
          <w:tcPr>
            <w:tcW w:type="dxa" w:w="1440"/>
          </w:tcPr>
          <w:p>
            <w:r>
              <w:t>0.9434</w:t>
            </w:r>
          </w:p>
        </w:tc>
        <w:tc>
          <w:tcPr>
            <w:tcW w:type="dxa" w:w="1440"/>
          </w:tcPr>
          <w:p>
            <w:r/>
          </w:p>
        </w:tc>
        <w:tc>
          <w:tcPr>
            <w:tcW w:type="dxa" w:w="1440"/>
          </w:tcPr>
          <w:p>
            <w:r/>
          </w:p>
        </w:tc>
        <w:tc>
          <w:tcPr>
            <w:tcW w:type="dxa" w:w="1440"/>
          </w:tcPr>
          <w:p>
            <w:r/>
          </w:p>
        </w:tc>
      </w:tr>
      <w:tr>
        <w:tc>
          <w:tcPr>
            <w:tcW w:type="dxa" w:w="1440"/>
          </w:tcPr>
          <w:p>
            <w:r>
              <w:t>LSTM (regresión de k)</w:t>
            </w:r>
          </w:p>
        </w:tc>
        <w:tc>
          <w:tcPr>
            <w:tcW w:type="dxa" w:w="1440"/>
          </w:tcPr>
          <w:p>
            <w:r/>
          </w:p>
        </w:tc>
        <w:tc>
          <w:tcPr>
            <w:tcW w:type="dxa" w:w="1440"/>
          </w:tcPr>
          <w:p>
            <w:r/>
          </w:p>
        </w:tc>
        <w:tc>
          <w:tcPr>
            <w:tcW w:type="dxa" w:w="1440"/>
          </w:tcPr>
          <w:p>
            <w:r>
              <w:t>0.0090</w:t>
            </w:r>
          </w:p>
        </w:tc>
        <w:tc>
          <w:tcPr>
            <w:tcW w:type="dxa" w:w="1440"/>
          </w:tcPr>
          <w:p>
            <w:r>
              <w:t>0.0064</w:t>
            </w:r>
          </w:p>
        </w:tc>
        <w:tc>
          <w:tcPr>
            <w:tcW w:type="dxa" w:w="1440"/>
          </w:tcPr>
          <w:p>
            <w:r>
              <w:t>0.6342</w:t>
            </w:r>
          </w:p>
        </w:tc>
      </w:tr>
    </w:tbl>
    <w:p/>
    <w:p>
      <w:r>
        <w:t>Random Forest y XGBoost clasifican con accuracy alto (1.00 y 0.94 respectivamente) sobre el conjunto de test. El LSTM predice k con un error absoluto medio (MAE) de ~0.006 día⁻¹ y R²≈0.64, con mejor ajuste en curvas de degradación rápida que en las de degradación lenta.</w:t>
      </w:r>
    </w:p>
    <w:p>
      <w:pPr>
        <w:pStyle w:val="Heading2"/>
      </w:pPr>
      <w:r>
        <w:t>6.1. Distribución de clases y correlaciones</w:t>
      </w:r>
    </w:p>
    <w:p>
      <w:pPr>
        <w:jc w:val="center"/>
      </w:pPr>
      <w:r>
        <w:drawing>
          <wp:inline xmlns:a="http://schemas.openxmlformats.org/drawingml/2006/main" xmlns:pic="http://schemas.openxmlformats.org/drawingml/2006/picture">
            <wp:extent cx="3600000" cy="3118605"/>
            <wp:docPr id="1" name="Picture 1"/>
            <wp:cNvGraphicFramePr>
              <a:graphicFrameLocks noChangeAspect="1"/>
            </wp:cNvGraphicFramePr>
            <a:graphic>
              <a:graphicData uri="http://schemas.openxmlformats.org/drawingml/2006/picture">
                <pic:pic>
                  <pic:nvPicPr>
                    <pic:cNvPr id="0" name="distribucion_clases.png"/>
                    <pic:cNvPicPr/>
                  </pic:nvPicPr>
                  <pic:blipFill>
                    <a:blip r:embed="rId9"/>
                    <a:stretch>
                      <a:fillRect/>
                    </a:stretch>
                  </pic:blipFill>
                  <pic:spPr>
                    <a:xfrm>
                      <a:off x="0" y="0"/>
                      <a:ext cx="3600000" cy="3118605"/>
                    </a:xfrm>
                    <a:prstGeom prst="rect"/>
                  </pic:spPr>
                </pic:pic>
              </a:graphicData>
            </a:graphic>
          </wp:inline>
        </w:drawing>
      </w:r>
    </w:p>
    <w:p>
      <w:pPr>
        <w:jc w:val="center"/>
      </w:pPr>
      <w:r>
        <w:rPr>
          <w:i/>
          <w:sz w:val="20"/>
        </w:rPr>
        <w:t>Figura 1. Distribución de clases de tasa de degradación.</w:t>
      </w:r>
    </w:p>
    <w:p>
      <w:pPr>
        <w:jc w:val="center"/>
      </w:pPr>
      <w:r>
        <w:drawing>
          <wp:inline xmlns:a="http://schemas.openxmlformats.org/drawingml/2006/main" xmlns:pic="http://schemas.openxmlformats.org/drawingml/2006/picture">
            <wp:extent cx="4320000" cy="3955774"/>
            <wp:docPr id="2" name="Picture 2"/>
            <wp:cNvGraphicFramePr>
              <a:graphicFrameLocks noChangeAspect="1"/>
            </wp:cNvGraphicFramePr>
            <a:graphic>
              <a:graphicData uri="http://schemas.openxmlformats.org/drawingml/2006/picture">
                <pic:pic>
                  <pic:nvPicPr>
                    <pic:cNvPr id="0" name="matriz_correlaciones.png"/>
                    <pic:cNvPicPr/>
                  </pic:nvPicPr>
                  <pic:blipFill>
                    <a:blip r:embed="rId10"/>
                    <a:stretch>
                      <a:fillRect/>
                    </a:stretch>
                  </pic:blipFill>
                  <pic:spPr>
                    <a:xfrm>
                      <a:off x="0" y="0"/>
                      <a:ext cx="4320000" cy="3955774"/>
                    </a:xfrm>
                    <a:prstGeom prst="rect"/>
                  </pic:spPr>
                </pic:pic>
              </a:graphicData>
            </a:graphic>
          </wp:inline>
        </w:drawing>
      </w:r>
    </w:p>
    <w:p>
      <w:pPr>
        <w:jc w:val="center"/>
      </w:pPr>
      <w:r>
        <w:rPr>
          <w:i/>
          <w:sz w:val="20"/>
        </w:rPr>
        <w:t>Figura 2. Matriz de correlaciones entre variables numéricas.</w:t>
      </w:r>
    </w:p>
    <w:p>
      <w:pPr>
        <w:pStyle w:val="Heading2"/>
      </w:pPr>
      <w:r>
        <w:t>6.2. Curvas de degradación</w:t>
      </w:r>
    </w:p>
    <w:p>
      <w:pPr>
        <w:jc w:val="center"/>
      </w:pPr>
      <w:r>
        <w:drawing>
          <wp:inline xmlns:a="http://schemas.openxmlformats.org/drawingml/2006/main" xmlns:pic="http://schemas.openxmlformats.org/drawingml/2006/picture">
            <wp:extent cx="5040000" cy="3836660"/>
            <wp:docPr id="3" name="Picture 3"/>
            <wp:cNvGraphicFramePr>
              <a:graphicFrameLocks noChangeAspect="1"/>
            </wp:cNvGraphicFramePr>
            <a:graphic>
              <a:graphicData uri="http://schemas.openxmlformats.org/drawingml/2006/picture">
                <pic:pic>
                  <pic:nvPicPr>
                    <pic:cNvPr id="0" name="curvas_degradacion_muestra.png"/>
                    <pic:cNvPicPr/>
                  </pic:nvPicPr>
                  <pic:blipFill>
                    <a:blip r:embed="rId11"/>
                    <a:stretch>
                      <a:fillRect/>
                    </a:stretch>
                  </pic:blipFill>
                  <pic:spPr>
                    <a:xfrm>
                      <a:off x="0" y="0"/>
                      <a:ext cx="5040000" cy="3836660"/>
                    </a:xfrm>
                    <a:prstGeom prst="rect"/>
                  </pic:spPr>
                </pic:pic>
              </a:graphicData>
            </a:graphic>
          </wp:inline>
        </w:drawing>
      </w:r>
    </w:p>
    <w:p>
      <w:pPr>
        <w:jc w:val="center"/>
      </w:pPr>
      <w:r>
        <w:rPr>
          <w:i/>
          <w:sz w:val="20"/>
        </w:rPr>
        <w:t>Figura 3. Muestra de curvas de degradación del dataset.</w:t>
      </w:r>
    </w:p>
    <w:p>
      <w:pPr>
        <w:pStyle w:val="Heading2"/>
      </w:pPr>
      <w:r>
        <w:t>6.3. Comparación de modelos sobre curvas de test</w:t>
      </w:r>
    </w:p>
    <w:p>
      <w:r>
        <w:t>Para una muestra de curvas del conjunto de test: a la izquierda, la curva real (línea con marcadores) contra la reconstruida con el k predicho por el LSTM (punteada); al centro y a la derecha, la curva real coloreada según la clase que le asignó cada clasificador (línea sólida = acierto, punteada = error).</w:t>
      </w:r>
    </w:p>
    <w:p>
      <w:pPr>
        <w:jc w:val="center"/>
      </w:pPr>
      <w:r>
        <w:drawing>
          <wp:inline xmlns:a="http://schemas.openxmlformats.org/drawingml/2006/main" xmlns:pic="http://schemas.openxmlformats.org/drawingml/2006/picture">
            <wp:extent cx="6120000" cy="1658499"/>
            <wp:docPr id="4" name="Picture 4"/>
            <wp:cNvGraphicFramePr>
              <a:graphicFrameLocks noChangeAspect="1"/>
            </wp:cNvGraphicFramePr>
            <a:graphic>
              <a:graphicData uri="http://schemas.openxmlformats.org/drawingml/2006/picture">
                <pic:pic>
                  <pic:nvPicPr>
                    <pic:cNvPr id="0" name="comparacion_curvas_modelos.png"/>
                    <pic:cNvPicPr/>
                  </pic:nvPicPr>
                  <pic:blipFill>
                    <a:blip r:embed="rId12"/>
                    <a:stretch>
                      <a:fillRect/>
                    </a:stretch>
                  </pic:blipFill>
                  <pic:spPr>
                    <a:xfrm>
                      <a:off x="0" y="0"/>
                      <a:ext cx="6120000" cy="1658499"/>
                    </a:xfrm>
                    <a:prstGeom prst="rect"/>
                  </pic:spPr>
                </pic:pic>
              </a:graphicData>
            </a:graphic>
          </wp:inline>
        </w:drawing>
      </w:r>
    </w:p>
    <w:p>
      <w:pPr>
        <w:jc w:val="center"/>
      </w:pPr>
      <w:r>
        <w:rPr>
          <w:i/>
          <w:sz w:val="20"/>
        </w:rPr>
        <w:t>Figura 4. Comparación de predicciones de los 3 modelos sobre curvas de test.</w:t>
      </w:r>
    </w:p>
    <w:p>
      <w:pPr>
        <w:pStyle w:val="Heading2"/>
      </w:pPr>
      <w:r>
        <w:t>6.4. Evaluación detallada de clasificación (RF vs XGBoost)</w:t>
      </w:r>
    </w:p>
    <w:p>
      <w:r>
        <w:t>Además de accuracy y f1_macro (Sección 6), se detalla la matriz de confusión, las curvas ROC one-vs-rest con AUC por clase, y el precision/recall/f1-score desglosado por clase, para ambos clasificadores sobre el mismo conjunto de test.</w:t>
      </w:r>
    </w:p>
    <w:p>
      <w:pPr>
        <w:pStyle w:val="Heading3"/>
      </w:pPr>
      <w:r>
        <w:t>Random Forest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Clase</w:t>
            </w:r>
          </w:p>
        </w:tc>
        <w:tc>
          <w:tcPr>
            <w:tcW w:type="dxa" w:w="1728"/>
          </w:tcPr>
          <w:p>
            <w:r>
              <w:t>precision</w:t>
            </w:r>
          </w:p>
        </w:tc>
        <w:tc>
          <w:tcPr>
            <w:tcW w:type="dxa" w:w="1728"/>
          </w:tcPr>
          <w:p>
            <w:r>
              <w:t>recall</w:t>
            </w:r>
          </w:p>
        </w:tc>
        <w:tc>
          <w:tcPr>
            <w:tcW w:type="dxa" w:w="1728"/>
          </w:tcPr>
          <w:p>
            <w:r>
              <w:t>f1-score</w:t>
            </w:r>
          </w:p>
        </w:tc>
        <w:tc>
          <w:tcPr>
            <w:tcW w:type="dxa" w:w="1728"/>
          </w:tcPr>
          <w:p>
            <w:r>
              <w:t>support</w:t>
            </w:r>
          </w:p>
        </w:tc>
      </w:tr>
      <w:tr>
        <w:tc>
          <w:tcPr>
            <w:tcW w:type="dxa" w:w="1728"/>
          </w:tcPr>
          <w:p>
            <w:r>
              <w:t>baja</w:t>
            </w:r>
          </w:p>
        </w:tc>
        <w:tc>
          <w:tcPr>
            <w:tcW w:type="dxa" w:w="1728"/>
          </w:tcPr>
          <w:p>
            <w:r>
              <w:t>1.000</w:t>
            </w:r>
          </w:p>
        </w:tc>
        <w:tc>
          <w:tcPr>
            <w:tcW w:type="dxa" w:w="1728"/>
          </w:tcPr>
          <w:p>
            <w:r>
              <w:t>1.000</w:t>
            </w:r>
          </w:p>
        </w:tc>
        <w:tc>
          <w:tcPr>
            <w:tcW w:type="dxa" w:w="1728"/>
          </w:tcPr>
          <w:p>
            <w:r>
              <w:t>1.000</w:t>
            </w:r>
          </w:p>
        </w:tc>
        <w:tc>
          <w:tcPr>
            <w:tcW w:type="dxa" w:w="1728"/>
          </w:tcPr>
          <w:p>
            <w:r>
              <w:t>9</w:t>
            </w:r>
          </w:p>
        </w:tc>
      </w:tr>
      <w:tr>
        <w:tc>
          <w:tcPr>
            <w:tcW w:type="dxa" w:w="1728"/>
          </w:tcPr>
          <w:p>
            <w:r>
              <w:t>media</w:t>
            </w:r>
          </w:p>
        </w:tc>
        <w:tc>
          <w:tcPr>
            <w:tcW w:type="dxa" w:w="1728"/>
          </w:tcPr>
          <w:p>
            <w:r>
              <w:t>1.000</w:t>
            </w:r>
          </w:p>
        </w:tc>
        <w:tc>
          <w:tcPr>
            <w:tcW w:type="dxa" w:w="1728"/>
          </w:tcPr>
          <w:p>
            <w:r>
              <w:t>1.000</w:t>
            </w:r>
          </w:p>
        </w:tc>
        <w:tc>
          <w:tcPr>
            <w:tcW w:type="dxa" w:w="1728"/>
          </w:tcPr>
          <w:p>
            <w:r>
              <w:t>1.000</w:t>
            </w:r>
          </w:p>
        </w:tc>
        <w:tc>
          <w:tcPr>
            <w:tcW w:type="dxa" w:w="1728"/>
          </w:tcPr>
          <w:p>
            <w:r>
              <w:t>3</w:t>
            </w:r>
          </w:p>
        </w:tc>
      </w:tr>
      <w:tr>
        <w:tc>
          <w:tcPr>
            <w:tcW w:type="dxa" w:w="1728"/>
          </w:tcPr>
          <w:p>
            <w:r>
              <w:t>alta</w:t>
            </w:r>
          </w:p>
        </w:tc>
        <w:tc>
          <w:tcPr>
            <w:tcW w:type="dxa" w:w="1728"/>
          </w:tcPr>
          <w:p>
            <w:r>
              <w:t>1.000</w:t>
            </w:r>
          </w:p>
        </w:tc>
        <w:tc>
          <w:tcPr>
            <w:tcW w:type="dxa" w:w="1728"/>
          </w:tcPr>
          <w:p>
            <w:r>
              <w:t>1.000</w:t>
            </w:r>
          </w:p>
        </w:tc>
        <w:tc>
          <w:tcPr>
            <w:tcW w:type="dxa" w:w="1728"/>
          </w:tcPr>
          <w:p>
            <w:r>
              <w:t>1.000</w:t>
            </w:r>
          </w:p>
        </w:tc>
        <w:tc>
          <w:tcPr>
            <w:tcW w:type="dxa" w:w="1728"/>
          </w:tcPr>
          <w:p>
            <w:r>
              <w:t>4</w:t>
            </w:r>
          </w:p>
        </w:tc>
      </w:tr>
    </w:tbl>
    <w:p/>
    <w:p>
      <w:pPr>
        <w:jc w:val="center"/>
      </w:pPr>
      <w:r>
        <w:drawing>
          <wp:inline xmlns:a="http://schemas.openxmlformats.org/drawingml/2006/main" xmlns:pic="http://schemas.openxmlformats.org/drawingml/2006/picture">
            <wp:extent cx="3240000" cy="2957182"/>
            <wp:docPr id="5" name="Picture 5"/>
            <wp:cNvGraphicFramePr>
              <a:graphicFrameLocks noChangeAspect="1"/>
            </wp:cNvGraphicFramePr>
            <a:graphic>
              <a:graphicData uri="http://schemas.openxmlformats.org/drawingml/2006/picture">
                <pic:pic>
                  <pic:nvPicPr>
                    <pic:cNvPr id="0" name="matriz_confusion_random_forest.png"/>
                    <pic:cNvPicPr/>
                  </pic:nvPicPr>
                  <pic:blipFill>
                    <a:blip r:embed="rId13"/>
                    <a:stretch>
                      <a:fillRect/>
                    </a:stretch>
                  </pic:blipFill>
                  <pic:spPr>
                    <a:xfrm>
                      <a:off x="0" y="0"/>
                      <a:ext cx="3240000" cy="2957182"/>
                    </a:xfrm>
                    <a:prstGeom prst="rect"/>
                  </pic:spPr>
                </pic:pic>
              </a:graphicData>
            </a:graphic>
          </wp:inline>
        </w:drawing>
      </w:r>
    </w:p>
    <w:p>
      <w:pPr>
        <w:jc w:val="center"/>
      </w:pPr>
      <w:r>
        <w:rPr>
          <w:i/>
          <w:sz w:val="20"/>
        </w:rPr>
        <w:t>Figura 5. Matriz de confusión — Random Forest.</w:t>
      </w:r>
    </w:p>
    <w:p>
      <w:pPr>
        <w:jc w:val="center"/>
      </w:pPr>
      <w:r>
        <w:drawing>
          <wp:inline xmlns:a="http://schemas.openxmlformats.org/drawingml/2006/main" xmlns:pic="http://schemas.openxmlformats.org/drawingml/2006/picture">
            <wp:extent cx="3240000" cy="2782478"/>
            <wp:docPr id="6" name="Picture 6"/>
            <wp:cNvGraphicFramePr>
              <a:graphicFrameLocks noChangeAspect="1"/>
            </wp:cNvGraphicFramePr>
            <a:graphic>
              <a:graphicData uri="http://schemas.openxmlformats.org/drawingml/2006/picture">
                <pic:pic>
                  <pic:nvPicPr>
                    <pic:cNvPr id="0" name="roc_random_forest.png"/>
                    <pic:cNvPicPr/>
                  </pic:nvPicPr>
                  <pic:blipFill>
                    <a:blip r:embed="rId14"/>
                    <a:stretch>
                      <a:fillRect/>
                    </a:stretch>
                  </pic:blipFill>
                  <pic:spPr>
                    <a:xfrm>
                      <a:off x="0" y="0"/>
                      <a:ext cx="3240000" cy="2782478"/>
                    </a:xfrm>
                    <a:prstGeom prst="rect"/>
                  </pic:spPr>
                </pic:pic>
              </a:graphicData>
            </a:graphic>
          </wp:inline>
        </w:drawing>
      </w:r>
    </w:p>
    <w:p>
      <w:pPr>
        <w:jc w:val="center"/>
      </w:pPr>
      <w:r>
        <w:rPr>
          <w:i/>
          <w:sz w:val="20"/>
        </w:rPr>
        <w:t>Figura 6. Curvas ROC one-vs-rest — Random Forest.</w:t>
      </w:r>
    </w:p>
    <w:p>
      <w:pPr>
        <w:pStyle w:val="Heading3"/>
      </w:pPr>
      <w:r>
        <w:t>XGBoost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Clase</w:t>
            </w:r>
          </w:p>
        </w:tc>
        <w:tc>
          <w:tcPr>
            <w:tcW w:type="dxa" w:w="1728"/>
          </w:tcPr>
          <w:p>
            <w:r>
              <w:t>precision</w:t>
            </w:r>
          </w:p>
        </w:tc>
        <w:tc>
          <w:tcPr>
            <w:tcW w:type="dxa" w:w="1728"/>
          </w:tcPr>
          <w:p>
            <w:r>
              <w:t>recall</w:t>
            </w:r>
          </w:p>
        </w:tc>
        <w:tc>
          <w:tcPr>
            <w:tcW w:type="dxa" w:w="1728"/>
          </w:tcPr>
          <w:p>
            <w:r>
              <w:t>f1-score</w:t>
            </w:r>
          </w:p>
        </w:tc>
        <w:tc>
          <w:tcPr>
            <w:tcW w:type="dxa" w:w="1728"/>
          </w:tcPr>
          <w:p>
            <w:r>
              <w:t>support</w:t>
            </w:r>
          </w:p>
        </w:tc>
      </w:tr>
      <w:tr>
        <w:tc>
          <w:tcPr>
            <w:tcW w:type="dxa" w:w="1728"/>
          </w:tcPr>
          <w:p>
            <w:r>
              <w:t>baja</w:t>
            </w:r>
          </w:p>
        </w:tc>
        <w:tc>
          <w:tcPr>
            <w:tcW w:type="dxa" w:w="1728"/>
          </w:tcPr>
          <w:p>
            <w:r>
              <w:t>1.000</w:t>
            </w:r>
          </w:p>
        </w:tc>
        <w:tc>
          <w:tcPr>
            <w:tcW w:type="dxa" w:w="1728"/>
          </w:tcPr>
          <w:p>
            <w:r>
              <w:t>0.889</w:t>
            </w:r>
          </w:p>
        </w:tc>
        <w:tc>
          <w:tcPr>
            <w:tcW w:type="dxa" w:w="1728"/>
          </w:tcPr>
          <w:p>
            <w:r>
              <w:t>0.941</w:t>
            </w:r>
          </w:p>
        </w:tc>
        <w:tc>
          <w:tcPr>
            <w:tcW w:type="dxa" w:w="1728"/>
          </w:tcPr>
          <w:p>
            <w:r>
              <w:t>9</w:t>
            </w:r>
          </w:p>
        </w:tc>
      </w:tr>
      <w:tr>
        <w:tc>
          <w:tcPr>
            <w:tcW w:type="dxa" w:w="1728"/>
          </w:tcPr>
          <w:p>
            <w:r>
              <w:t>media</w:t>
            </w:r>
          </w:p>
        </w:tc>
        <w:tc>
          <w:tcPr>
            <w:tcW w:type="dxa" w:w="1728"/>
          </w:tcPr>
          <w:p>
            <w:r>
              <w:t>1.000</w:t>
            </w:r>
          </w:p>
        </w:tc>
        <w:tc>
          <w:tcPr>
            <w:tcW w:type="dxa" w:w="1728"/>
          </w:tcPr>
          <w:p>
            <w:r>
              <w:t>1.000</w:t>
            </w:r>
          </w:p>
        </w:tc>
        <w:tc>
          <w:tcPr>
            <w:tcW w:type="dxa" w:w="1728"/>
          </w:tcPr>
          <w:p>
            <w:r>
              <w:t>1.000</w:t>
            </w:r>
          </w:p>
        </w:tc>
        <w:tc>
          <w:tcPr>
            <w:tcW w:type="dxa" w:w="1728"/>
          </w:tcPr>
          <w:p>
            <w:r>
              <w:t>3</w:t>
            </w:r>
          </w:p>
        </w:tc>
      </w:tr>
      <w:tr>
        <w:tc>
          <w:tcPr>
            <w:tcW w:type="dxa" w:w="1728"/>
          </w:tcPr>
          <w:p>
            <w:r>
              <w:t>alta</w:t>
            </w:r>
          </w:p>
        </w:tc>
        <w:tc>
          <w:tcPr>
            <w:tcW w:type="dxa" w:w="1728"/>
          </w:tcPr>
          <w:p>
            <w:r>
              <w:t>0.800</w:t>
            </w:r>
          </w:p>
        </w:tc>
        <w:tc>
          <w:tcPr>
            <w:tcW w:type="dxa" w:w="1728"/>
          </w:tcPr>
          <w:p>
            <w:r>
              <w:t>1.000</w:t>
            </w:r>
          </w:p>
        </w:tc>
        <w:tc>
          <w:tcPr>
            <w:tcW w:type="dxa" w:w="1728"/>
          </w:tcPr>
          <w:p>
            <w:r>
              <w:t>0.889</w:t>
            </w:r>
          </w:p>
        </w:tc>
        <w:tc>
          <w:tcPr>
            <w:tcW w:type="dxa" w:w="1728"/>
          </w:tcPr>
          <w:p>
            <w:r>
              <w:t>4</w:t>
            </w:r>
          </w:p>
        </w:tc>
      </w:tr>
    </w:tbl>
    <w:p/>
    <w:p>
      <w:pPr>
        <w:jc w:val="center"/>
      </w:pPr>
      <w:r>
        <w:drawing>
          <wp:inline xmlns:a="http://schemas.openxmlformats.org/drawingml/2006/main" xmlns:pic="http://schemas.openxmlformats.org/drawingml/2006/picture">
            <wp:extent cx="3240000" cy="2957182"/>
            <wp:docPr id="7" name="Picture 7"/>
            <wp:cNvGraphicFramePr>
              <a:graphicFrameLocks noChangeAspect="1"/>
            </wp:cNvGraphicFramePr>
            <a:graphic>
              <a:graphicData uri="http://schemas.openxmlformats.org/drawingml/2006/picture">
                <pic:pic>
                  <pic:nvPicPr>
                    <pic:cNvPr id="0" name="matriz_confusion_xgboost.png"/>
                    <pic:cNvPicPr/>
                  </pic:nvPicPr>
                  <pic:blipFill>
                    <a:blip r:embed="rId15"/>
                    <a:stretch>
                      <a:fillRect/>
                    </a:stretch>
                  </pic:blipFill>
                  <pic:spPr>
                    <a:xfrm>
                      <a:off x="0" y="0"/>
                      <a:ext cx="3240000" cy="2957182"/>
                    </a:xfrm>
                    <a:prstGeom prst="rect"/>
                  </pic:spPr>
                </pic:pic>
              </a:graphicData>
            </a:graphic>
          </wp:inline>
        </w:drawing>
      </w:r>
    </w:p>
    <w:p>
      <w:pPr>
        <w:jc w:val="center"/>
      </w:pPr>
      <w:r>
        <w:rPr>
          <w:i/>
          <w:sz w:val="20"/>
        </w:rPr>
        <w:t>Figura 7. Matriz de confusión — XGBoost.</w:t>
      </w:r>
    </w:p>
    <w:p>
      <w:pPr>
        <w:jc w:val="center"/>
      </w:pPr>
      <w:r>
        <w:drawing>
          <wp:inline xmlns:a="http://schemas.openxmlformats.org/drawingml/2006/main" xmlns:pic="http://schemas.openxmlformats.org/drawingml/2006/picture">
            <wp:extent cx="3240000" cy="2782478"/>
            <wp:docPr id="8" name="Picture 8"/>
            <wp:cNvGraphicFramePr>
              <a:graphicFrameLocks noChangeAspect="1"/>
            </wp:cNvGraphicFramePr>
            <a:graphic>
              <a:graphicData uri="http://schemas.openxmlformats.org/drawingml/2006/picture">
                <pic:pic>
                  <pic:nvPicPr>
                    <pic:cNvPr id="0" name="roc_xgboost.png"/>
                    <pic:cNvPicPr/>
                  </pic:nvPicPr>
                  <pic:blipFill>
                    <a:blip r:embed="rId16"/>
                    <a:stretch>
                      <a:fillRect/>
                    </a:stretch>
                  </pic:blipFill>
                  <pic:spPr>
                    <a:xfrm>
                      <a:off x="0" y="0"/>
                      <a:ext cx="3240000" cy="2782478"/>
                    </a:xfrm>
                    <a:prstGeom prst="rect"/>
                  </pic:spPr>
                </pic:pic>
              </a:graphicData>
            </a:graphic>
          </wp:inline>
        </w:drawing>
      </w:r>
    </w:p>
    <w:p>
      <w:pPr>
        <w:jc w:val="center"/>
      </w:pPr>
      <w:r>
        <w:rPr>
          <w:i/>
          <w:sz w:val="20"/>
        </w:rPr>
        <w:t>Figura 8. Curvas ROC one-vs-rest — XGBoost.</w:t>
      </w:r>
    </w:p>
    <w:p>
      <w:pPr>
        <w:pStyle w:val="Heading2"/>
      </w:pPr>
      <w:r>
        <w:t>6.5. Explicabilidad (SHAP)</w:t>
      </w:r>
    </w:p>
    <w:p>
      <w:r>
        <w:t>Se usó SHAP (TreeExplainer, exacto para modelos de árboles) para explicar las predicciones de Random Forest y XGBoost: importancia global (promedio de |valor SHAP| entre todas las curvas de test) y una explicación local (por qué el modelo clasificó una curva particular como lo hizo). Ambos modelos coinciden en que el peso molecular inicial (initial_mw_kDa) es la variable más influyente, seguida de la cristalinidad y el tipo de polímero (PGA en particular) — coherente con lo esperado fisicoquímicamente: mayor peso molecular y cristalinidad se asocian a degradación más lenta.</w:t>
      </w:r>
    </w:p>
    <w:p>
      <w:pPr>
        <w:pStyle w:val="Heading3"/>
      </w:pPr>
      <w:r>
        <w:t>Random Forest</w:t>
      </w:r>
    </w:p>
    <w:p>
      <w:pPr>
        <w:jc w:val="center"/>
      </w:pPr>
      <w:r>
        <w:drawing>
          <wp:inline xmlns:a="http://schemas.openxmlformats.org/drawingml/2006/main" xmlns:pic="http://schemas.openxmlformats.org/drawingml/2006/picture">
            <wp:extent cx="4680000" cy="3284608"/>
            <wp:docPr id="9" name="Picture 9"/>
            <wp:cNvGraphicFramePr>
              <a:graphicFrameLocks noChangeAspect="1"/>
            </wp:cNvGraphicFramePr>
            <a:graphic>
              <a:graphicData uri="http://schemas.openxmlformats.org/drawingml/2006/picture">
                <pic:pic>
                  <pic:nvPicPr>
                    <pic:cNvPr id="0" name="shap_global_random_forest.png"/>
                    <pic:cNvPicPr/>
                  </pic:nvPicPr>
                  <pic:blipFill>
                    <a:blip r:embed="rId17"/>
                    <a:stretch>
                      <a:fillRect/>
                    </a:stretch>
                  </pic:blipFill>
                  <pic:spPr>
                    <a:xfrm>
                      <a:off x="0" y="0"/>
                      <a:ext cx="4680000" cy="3284608"/>
                    </a:xfrm>
                    <a:prstGeom prst="rect"/>
                  </pic:spPr>
                </pic:pic>
              </a:graphicData>
            </a:graphic>
          </wp:inline>
        </w:drawing>
      </w:r>
    </w:p>
    <w:p>
      <w:pPr>
        <w:jc w:val="center"/>
      </w:pPr>
      <w:r>
        <w:rPr>
          <w:i/>
          <w:sz w:val="20"/>
        </w:rPr>
        <w:t>Figura 9. Importancia global (SHAP) — Random Forest.</w:t>
      </w:r>
    </w:p>
    <w:p>
      <w:pPr>
        <w:jc w:val="center"/>
      </w:pPr>
      <w:r>
        <w:drawing>
          <wp:inline xmlns:a="http://schemas.openxmlformats.org/drawingml/2006/main" xmlns:pic="http://schemas.openxmlformats.org/drawingml/2006/picture">
            <wp:extent cx="5400000" cy="4379492"/>
            <wp:docPr id="10" name="Picture 10"/>
            <wp:cNvGraphicFramePr>
              <a:graphicFrameLocks noChangeAspect="1"/>
            </wp:cNvGraphicFramePr>
            <a:graphic>
              <a:graphicData uri="http://schemas.openxmlformats.org/drawingml/2006/picture">
                <pic:pic>
                  <pic:nvPicPr>
                    <pic:cNvPr id="0" name="shap_local_random_forest.png"/>
                    <pic:cNvPicPr/>
                  </pic:nvPicPr>
                  <pic:blipFill>
                    <a:blip r:embed="rId18"/>
                    <a:stretch>
                      <a:fillRect/>
                    </a:stretch>
                  </pic:blipFill>
                  <pic:spPr>
                    <a:xfrm>
                      <a:off x="0" y="0"/>
                      <a:ext cx="5400000" cy="4379492"/>
                    </a:xfrm>
                    <a:prstGeom prst="rect"/>
                  </pic:spPr>
                </pic:pic>
              </a:graphicData>
            </a:graphic>
          </wp:inline>
        </w:drawing>
      </w:r>
    </w:p>
    <w:p>
      <w:pPr>
        <w:jc w:val="center"/>
      </w:pPr>
      <w:r>
        <w:rPr>
          <w:i/>
          <w:sz w:val="20"/>
        </w:rPr>
        <w:t>Figura 10. Explicación local (SHAP) de una curva de test — Random Forest.</w:t>
      </w:r>
    </w:p>
    <w:p>
      <w:pPr>
        <w:pStyle w:val="Heading3"/>
      </w:pPr>
      <w:r>
        <w:t>XGBoost</w:t>
      </w:r>
    </w:p>
    <w:p>
      <w:pPr>
        <w:jc w:val="center"/>
      </w:pPr>
      <w:r>
        <w:drawing>
          <wp:inline xmlns:a="http://schemas.openxmlformats.org/drawingml/2006/main" xmlns:pic="http://schemas.openxmlformats.org/drawingml/2006/picture">
            <wp:extent cx="4680000" cy="3284608"/>
            <wp:docPr id="11" name="Picture 11"/>
            <wp:cNvGraphicFramePr>
              <a:graphicFrameLocks noChangeAspect="1"/>
            </wp:cNvGraphicFramePr>
            <a:graphic>
              <a:graphicData uri="http://schemas.openxmlformats.org/drawingml/2006/picture">
                <pic:pic>
                  <pic:nvPicPr>
                    <pic:cNvPr id="0" name="shap_global_xgboost.png"/>
                    <pic:cNvPicPr/>
                  </pic:nvPicPr>
                  <pic:blipFill>
                    <a:blip r:embed="rId19"/>
                    <a:stretch>
                      <a:fillRect/>
                    </a:stretch>
                  </pic:blipFill>
                  <pic:spPr>
                    <a:xfrm>
                      <a:off x="0" y="0"/>
                      <a:ext cx="4680000" cy="3284608"/>
                    </a:xfrm>
                    <a:prstGeom prst="rect"/>
                  </pic:spPr>
                </pic:pic>
              </a:graphicData>
            </a:graphic>
          </wp:inline>
        </w:drawing>
      </w:r>
    </w:p>
    <w:p>
      <w:pPr>
        <w:jc w:val="center"/>
      </w:pPr>
      <w:r>
        <w:rPr>
          <w:i/>
          <w:sz w:val="20"/>
        </w:rPr>
        <w:t>Figura 11. Importancia global (SHAP) — XGBoost.</w:t>
      </w:r>
    </w:p>
    <w:p>
      <w:pPr>
        <w:jc w:val="center"/>
      </w:pPr>
      <w:r>
        <w:drawing>
          <wp:inline xmlns:a="http://schemas.openxmlformats.org/drawingml/2006/main" xmlns:pic="http://schemas.openxmlformats.org/drawingml/2006/picture">
            <wp:extent cx="5400000" cy="4335403"/>
            <wp:docPr id="12" name="Picture 12"/>
            <wp:cNvGraphicFramePr>
              <a:graphicFrameLocks noChangeAspect="1"/>
            </wp:cNvGraphicFramePr>
            <a:graphic>
              <a:graphicData uri="http://schemas.openxmlformats.org/drawingml/2006/picture">
                <pic:pic>
                  <pic:nvPicPr>
                    <pic:cNvPr id="0" name="shap_local_xgboost.png"/>
                    <pic:cNvPicPr/>
                  </pic:nvPicPr>
                  <pic:blipFill>
                    <a:blip r:embed="rId20"/>
                    <a:stretch>
                      <a:fillRect/>
                    </a:stretch>
                  </pic:blipFill>
                  <pic:spPr>
                    <a:xfrm>
                      <a:off x="0" y="0"/>
                      <a:ext cx="5400000" cy="4335403"/>
                    </a:xfrm>
                    <a:prstGeom prst="rect"/>
                  </pic:spPr>
                </pic:pic>
              </a:graphicData>
            </a:graphic>
          </wp:inline>
        </w:drawing>
      </w:r>
    </w:p>
    <w:p>
      <w:pPr>
        <w:jc w:val="center"/>
      </w:pPr>
      <w:r>
        <w:rPr>
          <w:i/>
          <w:sz w:val="20"/>
        </w:rPr>
        <w:t>Figura 12. Explicación local (SHAP) de una curva de test — XGBoost.</w:t>
      </w:r>
    </w:p>
    <w:p>
      <w:pPr>
        <w:pStyle w:val="Heading1"/>
      </w:pPr>
      <w:r>
        <w:t>7. Próximos pasos</w:t>
      </w:r>
    </w:p>
    <w:p>
      <w:pPr>
        <w:pStyle w:val="ListBullet"/>
      </w:pPr>
      <w:r>
        <w:t>HU1 (Épica 1): extracción real de curvas desde publicaciones científicas con WebPlotDigitizer, y reemplazo del dataset sintético.</w:t>
      </w:r>
    </w:p>
    <w:p>
      <w:pPr>
        <w:pStyle w:val="ListBullet"/>
      </w:pPr>
      <w:r>
        <w:t>Re-evaluar los 3 modelos sobre el dataset real y comparar contra el desempeño obtenido con datos sintéticos.</w:t>
      </w:r>
    </w:p>
    <w:p>
      <w:pPr>
        <w:pStyle w:val="ListBullet"/>
      </w:pPr>
      <w:r>
        <w:t>Ajuste de hiperparámetros (GridSearchCV, ya soportado por el pipeline) sobre el dataset real.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