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62.png" ContentType="image/png"/>
  <Override PartName="/word/media/rId61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9.png" ContentType="image/png"/>
  <Override PartName="/word/media/rId64.png" ContentType="image/png"/>
  <Override PartName="/word/media/rId2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Bayeisan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fockfish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br w:type="textWrapping"/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(Sparce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only a single</w:t>
      </w:r>
      <w:r>
        <w:t xml:space="preserve"> </w:t>
      </w:r>
      <w:r>
        <w:t xml:space="preserve">cluster being taken, or the size of clusters taken to vary, from stratum to</w:t>
      </w:r>
      <w:r>
        <w:t xml:space="preserve"> </w:t>
      </w:r>
      <w:r>
        <w:t xml:space="preserve">stratum based on the particular challenges of sampling each stratum.</w:t>
      </w:r>
    </w:p>
    <w:p>
      <w:pPr>
        <w:pStyle w:val="BodyText"/>
      </w:pPr>
      <w:r>
        <w:t xml:space="preserve">[add more detailed description of data here; e.g. samples are recorded as</w:t>
      </w:r>
      <w:r>
        <w:t xml:space="preserve"> </w:t>
      </w:r>
      <w:r>
        <w:t xml:space="preserve">integer weights (pounds) by port samplers, number of market categories, range</w:t>
      </w:r>
      <w:r>
        <w:t xml:space="preserve"> </w:t>
      </w:r>
      <w:r>
        <w:t xml:space="preserve">of years, gears, port complexes, ignoring live fish for now, etc.; show map of</w:t>
      </w:r>
      <w:r>
        <w:t xml:space="preserve"> </w:t>
      </w:r>
      <w:r>
        <w:t xml:space="preserve">state with port complexes.]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statitiscal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(“sort requirements”).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“widow rockfish” market category (xxx), but</w:t>
      </w:r>
      <w:r>
        <w:t xml:space="preserve"> </w:t>
      </w:r>
      <w:r>
        <w:t xml:space="preserve">also the composition of other categories, including the “unspecified rockfish”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indicies.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copmuting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characteristics-of-the-landings-data"/>
      <w:bookmarkEnd w:id="39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Comparable figures for the periods</w:t>
      </w:r>
      <w:r>
        <w:t xml:space="preserve"> </w:t>
      </w:r>
      <w:r>
        <w:t xml:space="preserve">1991-1999 and 2000-2015 are provided in Appendix (bars), although we have not yet</w:t>
      </w:r>
      <w:r>
        <w:t xml:space="preserve"> </w:t>
      </w:r>
      <w:r>
        <w:t xml:space="preserve">completed modeling for these time periods. It is important to notice that since</w:t>
      </w:r>
      <w:r>
        <w:t xml:space="preserve"> </w:t>
      </w:r>
      <w:r>
        <w:t xml:space="preserve">port sampling effort prioritizes heavily landed market categories, and our</w:t>
      </w:r>
      <w:r>
        <w:t xml:space="preserve"> </w:t>
      </w:r>
      <w:r>
        <w:t xml:space="preserve">model is only fit to market categories with more data than parameters, then</w:t>
      </w:r>
      <w:r>
        <w:t xml:space="preserve"> </w:t>
      </w:r>
      <w:r>
        <w:t xml:space="preserve">market categories left with too few samples to fit our model, tend to be less</w:t>
      </w:r>
      <w:r>
        <w:t xml:space="preserve"> </w:t>
      </w:r>
      <w:r>
        <w:t xml:space="preserve">landed. Thus our model is appied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edictor-and-prior-selection"/>
      <w:bookmarkEnd w:id="43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4" w:name="model-exploration-averaging-1"/>
      <w:bookmarkEnd w:id="44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6" w:name="prediction"/>
      <w:bookmarkEnd w:id="46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7" w:name="section"/>
      <w:bookmarkEnd w:id="47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48" w:name="section-1"/>
      <w:bookmarkEnd w:id="48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49" w:name="nuisance-parameters"/>
      <w:bookmarkEnd w:id="49"/>
      <w:r>
        <w:t xml:space="preserve">Nuisance Parameters</w:t>
      </w:r>
    </w:p>
    <w:p>
      <w:pPr>
        <w:pStyle w:val="Heading3"/>
      </w:pPr>
      <w:bookmarkStart w:id="50" w:name="section-2"/>
      <w:bookmarkEnd w:id="50"/>
      <w:r>
        <w:t xml:space="preserve">78-82</w:t>
      </w:r>
    </w:p>
    <w:p>
      <w:pPr>
        <w:pStyle w:val="Heading4"/>
      </w:pPr>
      <w:bookmarkStart w:id="51" w:name="rho"/>
      <w:bookmarkEnd w:id="51"/>
      <m:oMath>
        <m:r>
          <m:rPr/>
          <m:t>ρ</m:t>
        </m:r>
      </m:oMath>
    </w:p>
    <w:p>
      <w:pPr>
        <w:pStyle w:val="Heading4"/>
      </w:pPr>
      <w:bookmarkStart w:id="52" w:name="v"/>
      <w:bookmarkEnd w:id="52"/>
      <m:oMath>
        <m:r>
          <m:rPr/>
          <m:t>v</m:t>
        </m:r>
      </m:oMath>
    </w:p>
    <w:p>
      <w:pPr>
        <w:pStyle w:val="Heading3"/>
      </w:pPr>
      <w:bookmarkStart w:id="53" w:name="section-3"/>
      <w:bookmarkEnd w:id="53"/>
      <w:r>
        <w:t xml:space="preserve">83-90</w:t>
      </w:r>
    </w:p>
    <w:p>
      <w:pPr>
        <w:pStyle w:val="Heading4"/>
      </w:pPr>
      <w:bookmarkStart w:id="54" w:name="rho-1"/>
      <w:bookmarkEnd w:id="54"/>
      <m:oMath>
        <m:r>
          <m:rPr/>
          <m:t>ρ</m:t>
        </m:r>
      </m:oMath>
    </w:p>
    <w:p>
      <w:pPr>
        <w:pStyle w:val="Compact"/>
        <w:numPr>
          <w:numId w:val="1003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3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5" w:name="v-1"/>
      <w:bookmarkEnd w:id="55"/>
      <m:oMath>
        <m:r>
          <m:rPr/>
          <m:t>v</m:t>
        </m:r>
      </m:oMath>
    </w:p>
    <w:p>
      <w:pPr>
        <w:pStyle w:val="Compact"/>
        <w:numPr>
          <w:numId w:val="1004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4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56" w:name="discussion"/>
      <w:bookmarkEnd w:id="56"/>
      <w:r>
        <w:t xml:space="preserve">Discussion</w:t>
      </w:r>
    </w:p>
    <w:p>
      <w:pPr>
        <w:pStyle w:val="Compact"/>
        <w:numPr>
          <w:numId w:val="1005"/>
          <w:ilvl w:val="0"/>
        </w:numPr>
      </w:pPr>
      <w:r>
        <w:t xml:space="preserve">Sampling</w:t>
      </w:r>
    </w:p>
    <w:p>
      <w:pPr>
        <w:pStyle w:val="Compact"/>
        <w:numPr>
          <w:numId w:val="1006"/>
          <w:ilvl w:val="1"/>
        </w:numPr>
      </w:pPr>
      <w:r>
        <w:t xml:space="preserve">Since the our model requires separate</w:t>
      </w:r>
      <w:r>
        <w:t xml:space="preserve"> </w:t>
      </w:r>
      <w:r>
        <w:t xml:space="preserve">parameters for each species and rockfish market categories tend to have many</w:t>
      </w:r>
      <w:r>
        <w:t xml:space="preserve"> </w:t>
      </w:r>
      <w:r>
        <w:t xml:space="preserve">species, the number of species in a market category should, and appearantly is,</w:t>
      </w:r>
    </w:p>
    <w:p>
      <w:pPr>
        <w:numPr>
          <w:numId w:val="1005"/>
          <w:ilvl w:val="0"/>
        </w:numPr>
      </w:pPr>
      <w:r>
        <w:t xml:space="preserve">Variance Estimates; Justify Model based statistics</w:t>
      </w:r>
    </w:p>
    <w:p>
      <w:pPr>
        <w:numPr>
          <w:numId w:val="1005"/>
          <w:ilvl w:val="0"/>
        </w:numPr>
      </w:pPr>
      <w:r>
        <w:t xml:space="preserve">Biase/Variance trade off; hierarchical modeling</w:t>
      </w:r>
    </w:p>
    <w:p>
      <w:pPr>
        <w:pStyle w:val="Compact"/>
        <w:numPr>
          <w:numId w:val="1005"/>
          <w:ilvl w:val="0"/>
        </w:numPr>
      </w:pPr>
      <w:r>
        <w:t xml:space="preserve">Prediction: tails lighter due to inla?</w:t>
      </w:r>
    </w:p>
    <w:p>
      <w:pPr>
        <w:pStyle w:val="Compact"/>
        <w:numPr>
          <w:numId w:val="1007"/>
          <w:ilvl w:val="1"/>
        </w:numPr>
      </w:pPr>
      <w:r>
        <w:t xml:space="preserve">higher degree Laplace approximation will better capture higher moments of posterior and thus may better capture information in the tails</w:t>
      </w:r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Compact"/>
        <w:numPr>
          <w:numId w:val="1005"/>
          <w:ilvl w:val="0"/>
        </w:numPr>
      </w:pPr>
      <w:r>
        <w:t xml:space="preserve">Model averaging</w:t>
      </w:r>
    </w:p>
    <w:p>
      <w:pPr>
        <w:pStyle w:val="Compact"/>
        <w:numPr>
          <w:numId w:val="1008"/>
          <w:ilvl w:val="1"/>
        </w:numPr>
      </w:pPr>
      <w:r>
        <w:t xml:space="preserve">Interpret/Speculate</w:t>
      </w:r>
    </w:p>
    <w:p>
      <w:pPr>
        <w:pStyle w:val="Compact"/>
        <w:numPr>
          <w:numId w:val="1005"/>
          <w:ilvl w:val="0"/>
        </w:numPr>
      </w:pPr>
      <w:r>
        <w:t xml:space="preserve">Looking Forward</w:t>
      </w:r>
    </w:p>
    <w:p>
      <w:pPr>
        <w:pStyle w:val="Compact"/>
        <w:numPr>
          <w:numId w:val="1009"/>
          <w:ilvl w:val="1"/>
        </w:numPr>
      </w:pPr>
      <w:r>
        <w:t xml:space="preserve">forecasting/hindcasting</w:t>
      </w:r>
    </w:p>
    <w:p>
      <w:pPr>
        <w:pStyle w:val="Compact"/>
        <w:numPr>
          <w:numId w:val="1010"/>
          <w:ilvl w:val="2"/>
        </w:numPr>
      </w:pPr>
      <w:r>
        <w:t xml:space="preserve">simple</w:t>
      </w:r>
    </w:p>
    <w:p>
      <w:pPr>
        <w:pStyle w:val="Compact"/>
        <w:numPr>
          <w:numId w:val="1010"/>
          <w:ilvl w:val="2"/>
        </w:numPr>
      </w:pPr>
      <w:r>
        <w:t xml:space="preserve">time series models</w:t>
      </w:r>
    </w:p>
    <w:p>
      <w:pPr>
        <w:pStyle w:val="Compact"/>
        <w:numPr>
          <w:numId w:val="1009"/>
          <w:ilvl w:val="1"/>
        </w:numPr>
      </w:pPr>
      <w:r>
        <w:t xml:space="preserve">more computation faster</w:t>
      </w:r>
    </w:p>
    <w:p>
      <w:pPr>
        <w:pStyle w:val="Compact"/>
        <w:numPr>
          <w:numId w:val="1011"/>
          <w:ilvl w:val="2"/>
        </w:numPr>
      </w:pPr>
      <w:r>
        <w:t xml:space="preserve">broader model exploration</w:t>
      </w:r>
    </w:p>
    <w:p>
      <w:pPr>
        <w:pStyle w:val="Compact"/>
        <w:numPr>
          <w:numId w:val="1011"/>
          <w:ilvl w:val="2"/>
        </w:numPr>
      </w:pPr>
      <w:r>
        <w:t xml:space="preserve">broader spatial expansion</w:t>
      </w:r>
    </w:p>
    <w:p>
      <w:pPr>
        <w:pStyle w:val="Compact"/>
        <w:numPr>
          <w:numId w:val="1009"/>
          <w:ilvl w:val="1"/>
        </w:numPr>
      </w:pPr>
      <w:r>
        <w:t xml:space="preserve">Hierarchical Spatial Models</w:t>
      </w:r>
    </w:p>
    <w:p>
      <w:pPr>
        <w:pStyle w:val="Compact"/>
        <w:numPr>
          <w:numId w:val="1009"/>
          <w:ilvl w:val="1"/>
        </w:numPr>
      </w:pPr>
      <w:r>
        <w:t xml:space="preserve">DP Models</w:t>
      </w:r>
    </w:p>
    <w:p>
      <w:pPr>
        <w:pStyle w:val="Heading1"/>
      </w:pPr>
      <w:bookmarkStart w:id="57" w:name="appendix"/>
      <w:bookmarkEnd w:id="57"/>
      <w:r>
        <w:t xml:space="preserve">Appendix</w:t>
      </w:r>
    </w:p>
    <w:p>
      <w:pPr>
        <w:pStyle w:val="Heading2"/>
      </w:pPr>
      <w:bookmarkStart w:id="58" w:name="appendix-a"/>
      <w:bookmarkEnd w:id="58"/>
      <w:r>
        <w:t xml:space="preserve">Appendix A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0" w:name="appendix-b-subset-motivating-example"/>
      <w:bookmarkEnd w:id="60"/>
      <w:r>
        <w:t xml:space="preserve">Appendix B: Subset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3" w:name="appendix-c"/>
      <w:bookmarkEnd w:id="63"/>
      <w:r>
        <w:t xml:space="preserve">Appendix C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65" w:name="appendix-d"/>
      <w:bookmarkEnd w:id="65"/>
      <w:r>
        <w:t xml:space="preserve">Appendix D</w:t>
      </w:r>
    </w:p>
    <w:p>
      <w:pPr>
        <w:pStyle w:val="FirstParagraph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0cb6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6900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