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df" ContentType="application/pdf"/>
  <Override PartName="/word/media/rId44.pdf" ContentType="application/pdf"/>
  <Override PartName="/word/media/rId26.pdf" ContentType="application/pdf"/>
  <Override PartName="/word/media/rId46.pdf" ContentType="application/pdf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2"/>
      </w:pPr>
      <w:bookmarkStart w:id="23" w:name="context"/>
      <w:bookmarkEnd w:id="23"/>
      <w:r>
        <w:t xml:space="preserve">Context</w:t>
      </w:r>
    </w:p>
    <w:p>
      <w:pPr>
        <w:pStyle w:val="Heading2"/>
      </w:pPr>
      <w:bookmarkStart w:id="24" w:name="data"/>
      <w:bookmarkEnd w:id="24"/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Collection issues</w:t>
      </w:r>
    </w:p>
    <w:p>
      <w:pPr>
        <w:pStyle w:val="Compact"/>
        <w:numPr>
          <w:numId w:val="1002"/>
          <w:ilvl w:val="1"/>
        </w:numPr>
      </w:pPr>
      <w:r>
        <w:t xml:space="preserve">funding =&gt; nature of sparcity</w:t>
      </w:r>
    </w:p>
    <w:p>
      <w:pPr>
        <w:pStyle w:val="Compact"/>
        <w:numPr>
          <w:numId w:val="1001"/>
          <w:ilvl w:val="0"/>
        </w:numPr>
      </w:pPr>
      <w:r>
        <w:t xml:space="preserve">Lay down goal modeling goal</w:t>
      </w:r>
    </w:p>
    <w:p>
      <w:pPr>
        <w:pStyle w:val="Compact"/>
        <w:numPr>
          <w:numId w:val="1003"/>
          <w:ilvl w:val="1"/>
        </w:numPr>
      </w:pPr>
      <w:r>
        <w:t xml:space="preserve">mean</w:t>
      </w:r>
    </w:p>
    <w:p>
      <w:pPr>
        <w:pStyle w:val="Compact"/>
        <w:numPr>
          <w:numId w:val="1003"/>
          <w:ilvl w:val="1"/>
        </w:numPr>
      </w:pPr>
      <w:r>
        <w:t xml:space="preserve">uncertainty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Spase Data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</w:t>
      </w:r>
    </w:p>
    <w:p>
      <w:pPr>
        <w:pStyle w:val="Heading1"/>
      </w:pPr>
      <w:bookmarkStart w:id="27" w:name="methods"/>
      <w:bookmarkEnd w:id="27"/>
      <w:r>
        <w:t xml:space="preserve">Methods</w:t>
      </w:r>
    </w:p>
    <w:p>
      <w:pPr>
        <w:pStyle w:val="Heading2"/>
      </w:pPr>
      <w:bookmarkStart w:id="28" w:name="data-generating-model"/>
      <w:bookmarkEnd w:id="28"/>
      <w:r>
        <w:t xml:space="preserve">Data Generating Model</w:t>
      </w:r>
    </w:p>
    <w:p>
      <w:pPr>
        <w:pStyle w:val="FirstParagraph"/>
      </w:pPr>
      <w:r>
        <w:t xml:space="preserve">Something something heirarchical poisson model. Something something (Shelton, 2012).</w:t>
      </w:r>
    </w:p>
    <w:p>
      <w:pPr>
        <w:pStyle w:val="BodyText"/>
      </w:pPr>
      <w:r>
        <w:t xml:space="preserve">For the purposes of accuratly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neccisary to recognize model limitations with respect to over-dispersed data.</w:t>
      </w:r>
      <w:r>
        <w:t xml:space="preserve"> </w:t>
      </w:r>
      <w:r>
        <w:t xml:space="preserve">Amoung the simplest models for count data are the poisson and binomial models.</w:t>
      </w:r>
      <w:r>
        <w:t xml:space="preserve"> </w:t>
      </w:r>
      <w:r>
        <w:t xml:space="preserve">Both models are typically specificed with a single degree of freedom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9" w:name="an-example"/>
      <w:bookmarkEnd w:id="29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is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variance; in better modeling</w:t>
      </w:r>
      <w:r>
        <w:t xml:space="preserve"> </w:t>
      </w:r>
      <w:r>
        <w:t xml:space="preserve">the variance, these models may often prduce more accurate estimates of the</w:t>
      </w:r>
      <w:r>
        <w:t xml:space="preserve"> </w:t>
      </w:r>
      <w:r>
        <w:t xml:space="preserve">mean.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Figure(1)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Figure(1).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likelyhood model probabilities are computed for each model</w:t>
      </w:r>
      <w:r>
        <w:t xml:space="preserve"> </w:t>
      </w:r>
      <w:r>
        <w:t xml:space="preserve">as measures of model fit as seen in Table(1).</w:t>
      </w:r>
    </w:p>
    <w:p>
      <w:pPr>
        <w:pStyle w:val="BodyText"/>
      </w:pPr>
      <w:r>
        <w:t xml:space="preserve">Table(1)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30" w:name="operationalized-model"/>
      <w:bookmarkEnd w:id="30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Figure(1) and Table(1),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</w:t>
      </w:r>
      <w:r>
        <w:t xml:space="preserve"> </w:t>
      </w:r>
      <w:r>
        <w:t xml:space="preserve">beta-binomial 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known cluster size for each sample. 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 overdispersion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amoung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amoug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section(XX).</w:t>
      </w:r>
    </w:p>
    <w:p>
      <w:pPr>
        <w:pStyle w:val="Heading2"/>
      </w:pPr>
      <w:bookmarkStart w:id="31" w:name="priors"/>
      <w:bookmarkEnd w:id="31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choosen arbitarily,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offests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methodolgy may</w:t>
      </w:r>
      <w:r>
        <w:t xml:space="preserve"> </w:t>
      </w:r>
      <w:r>
        <w:t xml:space="preserve">produce better performing estimates, more quickly, than unbiased counterparts.</w:t>
      </w:r>
      <w:r>
        <w:br w:type="textWrapping"/>
      </w:r>
      <w:r>
        <w:t xml:space="preserve">Amoung the simlest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mimimize bias, without reguard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2" w:name="m1"/>
      <w:bookmarkEnd w:id="32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3" w:name="m2"/>
      <w:bookmarkEnd w:id="33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heirarchical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3"/>
      <w:bookmarkEnd w:id="34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heirarchical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heirarchically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extranious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5" w:name="m4"/>
      <w:bookmarkEnd w:id="35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reqresents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heirarchically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6" w:name="m5"/>
      <w:bookmarkEnd w:id="36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heirarchical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7" w:name="m6"/>
      <w:bookmarkEnd w:id="37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Heirarchical variance parameters are estimated from the data. As the above</w:t>
      </w:r>
      <w:r>
        <w:t xml:space="preserve"> </w:t>
      </w:r>
      <w:r>
        <w:t xml:space="preserve">models learn the posteriors of the hierarchical variance parameters, it effects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heirarchies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heirarchical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</w:t>
      </w:r>
      <w:r>
        <w:t xml:space="preserve"> </w:t>
      </w:r>
      <w:r>
        <w:t xml:space="preserve">symmetric, and far reaching, prior when back transformed to the unit interval.</w:t>
      </w:r>
      <w:r>
        <w:t xml:space="preserve"> </w:t>
      </w:r>
      <w:r>
        <w:t xml:space="preserve">To notice this, it is helpful to realize that the central 95% inverval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 of the back</w:t>
      </w:r>
      <w:r>
        <w:t xml:space="preserve"> </w:t>
      </w:r>
      <w:r>
        <w:t xml:space="preserve">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Heading2"/>
      </w:pPr>
      <w:bookmarkStart w:id="38" w:name="species-composition-prediction"/>
      <w:bookmarkEnd w:id="38"/>
      <w:r>
        <w:t xml:space="preserve">Species Composition Prediction</w:t>
      </w:r>
    </w:p>
    <w:p>
      <w:pPr>
        <w:pStyle w:val="FirstParagraph"/>
      </w:pPr>
      <w:r>
        <w:t xml:space="preserve">Estimating model (M4) in a Bayesain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handeled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obtainted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distribition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9" w:name="model-exploration-averaging"/>
      <w:bookmarkEnd w:id="39"/>
      <w:r>
        <w:t xml:space="preserve">Model Exploration &amp; Averaging</w:t>
      </w:r>
    </w:p>
    <w:p>
      <w:pPr>
        <w:pStyle w:val="FirstParagraph"/>
      </w:pPr>
      <w:r>
        <w:t xml:space="preserve">Presently, stratum with deminishingly small sample sizes are managed by an ad-</w:t>
      </w:r>
      <w:r>
        <w:t xml:space="preserve"> </w:t>
      </w:r>
      <w:r>
        <w:t xml:space="preserve">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Handeling these data with heirarchical models allows the models described in</w:t>
      </w:r>
      <w:r>
        <w:t xml:space="preserve"> </w:t>
      </w:r>
      <w:r>
        <w:t xml:space="preserve">section (XX) to avoid the temporal ad-hoc "borrowing" protocols used in Pearson</w:t>
      </w:r>
      <w:r>
        <w:t xml:space="preserve"> </w:t>
      </w:r>
      <w:r>
        <w:t xml:space="preserve">and Erwin (1997). The heirarchical structures proposed here use the data to estimate</w:t>
      </w:r>
      <w:r>
        <w:t xml:space="preserve"> </w:t>
      </w:r>
      <w:r>
        <w:t xml:space="preserve">the degree of pooling appropriate through time, rather than ad-hoc</w:t>
      </w:r>
      <w:r>
        <w:t xml:space="preserve"> </w:t>
      </w:r>
      <w:r>
        <w:t xml:space="preserve">"data borrowing". Furthermore the Bayesian predictive framework, allows holes</w:t>
      </w:r>
      <w:r>
        <w:t xml:space="preserve"> </w:t>
      </w:r>
      <w:r>
        <w:t xml:space="preserve">in the data to be filled with posterior predictive distributions for any</w:t>
      </w:r>
      <w:r>
        <w:t xml:space="preserve"> </w:t>
      </w:r>
      <w:r>
        <w:t xml:space="preserve">unobserved strata.</w:t>
      </w:r>
    </w:p>
    <w:p>
      <w:pPr>
        <w:pStyle w:val="BodyText"/>
      </w:pPr>
      <w:r>
        <w:t xml:space="preserve">Despite the benefits of modeling these data as Bayesian heirarchical models,</w:t>
      </w:r>
      <w:r>
        <w:t xml:space="preserve"> </w:t>
      </w:r>
      <w:r>
        <w:t xml:space="preserve">port sampling data still remains sparce. Given the degree of sparcity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  <w:r>
        <w:t xml:space="preserve"> 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heirarchical regularization priors amoung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partionings of the port complexes. Insisting that</w:t>
      </w:r>
      <w:r>
        <w:t xml:space="preserve"> </w:t>
      </w:r>
      <w:r>
        <w:t xml:space="preserve">the port complex groupings be partitions of the availiable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  <w:r>
        <w:t xml:space="preserve"> 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 in theory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essetially allows the</w:t>
      </w:r>
      <w:r>
        <w:t xml:space="preserve"> </w:t>
      </w:r>
      <w:r>
        <w:t xml:space="preserve">model exploration strategy to average across all realavent port complex partionings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μ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μ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μ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μ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μ</m:t>
                  </m:r>
                </m:sub>
              </m:sSub>
            </m:e>
            <m:sub/>
            <m:sup>
              <m:r>
                <m:rPr/>
                <m:t>μ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μ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40" w:name="results"/>
      <w:bookmarkEnd w:id="40"/>
      <w:r>
        <w:t xml:space="preserve">Results</w:t>
      </w:r>
    </w:p>
    <w:p>
      <w:pPr>
        <w:pStyle w:val="Heading2"/>
      </w:pPr>
      <w:bookmarkStart w:id="41" w:name="data-generating-model-1"/>
      <w:bookmarkEnd w:id="41"/>
      <w:r>
        <w:t xml:space="preserve">Data Generating Model</w:t>
      </w:r>
    </w:p>
    <w:p>
      <w:pPr>
        <w:pStyle w:val="Heading2"/>
      </w:pPr>
      <w:bookmarkStart w:id="42" w:name="example"/>
      <w:bookmarkEnd w:id="42"/>
      <w:r>
        <w:t xml:space="preserve">Example</w:t>
      </w:r>
    </w:p>
    <w:p>
      <w:pPr>
        <w:pStyle w:val="FirstParagraph"/>
      </w:pPr>
      <w:r>
        <w:t xml:space="preserve">Table(1) shows model performance metrics for the toy example considered from</w:t>
      </w:r>
      <w:r>
        <w:t xml:space="preserve"> </w:t>
      </w:r>
      <w:r>
        <w:t xml:space="preserve">market category 250 for the Montery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Piosson</w:t>
      </w:r>
      <w:r>
        <w:t xml:space="preserve"> </w:t>
      </w:r>
      <w:r>
        <w:t xml:space="preserve">model showing the least support.</w:t>
      </w:r>
      <w:r>
        <w:t xml:space="preserve"> 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Figure(1)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disregaurd this overdispersion to</w:t>
      </w:r>
      <w:r>
        <w:t xml:space="preserve"> </w:t>
      </w:r>
      <w:r>
        <w:t xml:space="preserve">prioritize fitting the data mean. The NB and BB models explicatly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variablility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variablity</w:t>
      </w:r>
      <w:r>
        <w:t xml:space="preserve"> </w:t>
      </w:r>
      <w:r>
        <w:t xml:space="preserve">predictive density may aggragate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1"/>
      </w:pPr>
      <w:bookmarkStart w:id="45" w:name="predictor-and-prior-selection"/>
      <w:bookmarkEnd w:id="45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Table(XX) 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heirarchical variance parameters amoung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maintaing the ability to model differences in</w:t>
      </w:r>
      <w:r>
        <w:t xml:space="preserve"> </w:t>
      </w:r>
      <w:r>
        <w:t xml:space="preserve">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absense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Figure(XX) the prior predictive of (M4) is both symmetric and quite</w:t>
      </w:r>
      <w:r>
        <w:t xml:space="preserve"> </w:t>
      </w:r>
      <w:r>
        <w:t xml:space="preserve">diffuse over the 100 pound domain. The U shape of the distribution is a side</w:t>
      </w:r>
      <w:r>
        <w:t xml:space="preserve"> </w:t>
      </w:r>
      <w:r>
        <w:t xml:space="preserve">effect of the diffusion of the selected prior. As data are added to the model,</w:t>
      </w:r>
      <w:r>
        <w:t xml:space="preserve"> </w:t>
      </w:r>
      <w:r>
        <w:t xml:space="preserve">the indecisive U shape of this distribution collapses toward the data in the</w:t>
      </w:r>
      <w:r>
        <w:t xml:space="preserve"> </w:t>
      </w:r>
      <w:r>
        <w:t xml:space="preserve">posterior.</w:t>
      </w:r>
    </w:p>
    <w:p>
      <w:pPr>
        <w:pStyle w:val="Compact"/>
        <w:numPr>
          <w:numId w:val="1004"/>
          <w:ilvl w:val="0"/>
        </w:numPr>
      </w:pPr>
      <w:r>
        <w:t xml:space="preserve">Degree of smoothing (heirarchical parameters, rho)</w:t>
      </w:r>
    </w:p>
    <w:p>
      <w:pPr>
        <w:pStyle w:val="Heading1"/>
      </w:pPr>
      <w:bookmarkStart w:id="47" w:name="model-exploration-averaging-1"/>
      <w:bookmarkEnd w:id="47"/>
      <w:r>
        <w:t xml:space="preserve">Model Exploration &amp; Averaging</w:t>
      </w:r>
    </w:p>
    <w:p>
      <w:pPr>
        <w:pStyle w:val="Compact"/>
        <w:numPr>
          <w:numId w:val="1005"/>
          <w:ilvl w:val="0"/>
        </w:numPr>
      </w:pPr>
      <w:r>
        <w:t xml:space="preserve">Partitioning results</w:t>
      </w:r>
    </w:p>
    <w:p>
      <w:pPr>
        <w:pStyle w:val="Compact"/>
        <w:numPr>
          <w:numId w:val="1006"/>
          <w:ilvl w:val="1"/>
        </w:numPr>
      </w:pPr>
      <w:r>
        <w:t xml:space="preserve">WAIC =&gt; Biogeography</w:t>
      </w:r>
    </w:p>
    <w:p>
      <w:pPr>
        <w:pStyle w:val="Compact"/>
        <w:numPr>
          <w:numId w:val="1006"/>
          <w:ilvl w:val="1"/>
        </w:numPr>
      </w:pPr>
      <w:r>
        <w:t xml:space="preserve">Pr(M) =&gt; model averaging</w:t>
      </w:r>
      <w:r>
        <w:t xml:space="preserve"> </w:t>
      </w:r>
      <w:r>
        <w:t xml:space="preserve">&lt;!--</w:t>
      </w:r>
    </w:p>
    <w:p>
      <w:pPr>
        <w:pStyle w:val="Compact"/>
        <w:numPr>
          <w:numId w:val="1005"/>
          <w:ilvl w:val="0"/>
        </w:numPr>
      </w:pPr>
      <w:r>
        <w:t xml:space="preserve">Prediction v. Data</w:t>
      </w:r>
    </w:p>
    <w:p>
      <w:pPr>
        <w:pStyle w:val="Compact"/>
        <w:numPr>
          <w:numId w:val="1007"/>
          <w:ilvl w:val="1"/>
        </w:numPr>
      </w:pPr>
      <w:r>
        <w:t xml:space="preserve">Report predictive accuracy</w:t>
      </w:r>
      <w:r>
        <w:t xml:space="preserve"> </w:t>
      </w:r>
      <w:r>
        <w:t xml:space="preserve">--&gt;</w:t>
      </w:r>
    </w:p>
    <w:p>
      <w:pPr>
        <w:pStyle w:val="Heading2"/>
      </w:pPr>
      <w:bookmarkStart w:id="48" w:name="section"/>
      <w:bookmarkEnd w:id="48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ection-1"/>
      <w:bookmarkEnd w:id="49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</w:tbl>
    <w:p>
      <w:pPr>
        <w:pStyle w:val="Heading1"/>
      </w:pPr>
      <w:bookmarkStart w:id="50" w:name="compare-to-current-discussion"/>
      <w:bookmarkEnd w:id="50"/>
      <w:r>
        <w:t xml:space="preserve">Compare to Current (</w:t>
      </w:r>
      <m:oMath>
        <m:r>
          <m:rPr/>
          <m:t>D</m:t>
        </m:r>
        <m:r>
          <m:rPr/>
          <m:t>i</m:t>
        </m:r>
        <m:r>
          <m:rPr/>
          <m:t>s</m:t>
        </m:r>
        <m:r>
          <m:rPr/>
          <m:t>c</m:t>
        </m:r>
        <m:r>
          <m:rPr/>
          <m:t>u</m:t>
        </m:r>
        <m:r>
          <m:rPr/>
          <m:t>s</m:t>
        </m:r>
        <m:r>
          <m:rPr/>
          <m:t>s</m:t>
        </m:r>
        <m:r>
          <m:rPr/>
          <m:t>i</m:t>
        </m:r>
        <m:r>
          <m:rPr/>
          <m:t>o</m:t>
        </m:r>
        <m:r>
          <m:rPr/>
          <m:t>n</m:t>
        </m:r>
      </m:oMath>
      <w:r>
        <w:t xml:space="preserve">)</w:t>
      </w:r>
    </w:p>
    <w:p>
      <w:pPr>
        <w:pStyle w:val="Heading1"/>
      </w:pPr>
      <w:bookmarkStart w:id="51" w:name="discussion"/>
      <w:bookmarkEnd w:id="51"/>
      <w:r>
        <w:t xml:space="preserve">Discussion</w:t>
      </w:r>
    </w:p>
    <w:p>
      <w:pPr>
        <w:pStyle w:val="Compact"/>
        <w:numPr>
          <w:numId w:val="1008"/>
          <w:ilvl w:val="0"/>
        </w:numPr>
      </w:pPr>
      <w:r>
        <w:t xml:space="preserve">Looking Forward</w:t>
      </w:r>
    </w:p>
    <w:p>
      <w:pPr>
        <w:pStyle w:val="Compact"/>
        <w:numPr>
          <w:numId w:val="1009"/>
          <w:ilvl w:val="1"/>
        </w:numPr>
      </w:pPr>
      <w:r>
        <w:t xml:space="preserve">forcasting/hindcasting</w:t>
      </w:r>
    </w:p>
    <w:p>
      <w:pPr>
        <w:pStyle w:val="Compact"/>
        <w:numPr>
          <w:numId w:val="1010"/>
          <w:ilvl w:val="2"/>
        </w:numPr>
      </w:pPr>
      <w:r>
        <w:t xml:space="preserve">simple</w:t>
      </w:r>
    </w:p>
    <w:p>
      <w:pPr>
        <w:pStyle w:val="Compact"/>
        <w:numPr>
          <w:numId w:val="1010"/>
          <w:ilvl w:val="2"/>
        </w:numPr>
      </w:pPr>
      <w:r>
        <w:t xml:space="preserve">timeseries models</w:t>
      </w:r>
    </w:p>
    <w:p>
      <w:pPr>
        <w:pStyle w:val="Compact"/>
        <w:numPr>
          <w:numId w:val="1009"/>
          <w:ilvl w:val="1"/>
        </w:numPr>
      </w:pPr>
      <w:r>
        <w:t xml:space="preserve">more computation faster</w:t>
      </w:r>
    </w:p>
    <w:p>
      <w:pPr>
        <w:pStyle w:val="Compact"/>
        <w:numPr>
          <w:numId w:val="1011"/>
          <w:ilvl w:val="2"/>
        </w:numPr>
      </w:pPr>
      <w:r>
        <w:t xml:space="preserve">broader model exploration</w:t>
      </w:r>
    </w:p>
    <w:p>
      <w:pPr>
        <w:pStyle w:val="Compact"/>
        <w:numPr>
          <w:numId w:val="1011"/>
          <w:ilvl w:val="2"/>
        </w:numPr>
      </w:pPr>
      <w:r>
        <w:t xml:space="preserve">broader spatial expansion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796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eed6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df" /><Relationship Type="http://schemas.openxmlformats.org/officeDocument/2006/relationships/image" Id="rId44" Target="media/rId44.pdf" /><Relationship Type="http://schemas.openxmlformats.org/officeDocument/2006/relationships/image" Id="rId26" Target="media/rId26.pdf" /><Relationship Type="http://schemas.openxmlformats.org/officeDocument/2006/relationships/image" Id="rId46" Target="media/rId46.pdf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