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39.png" ContentType="image/png"/>
  <Override PartName="/word/media/rId40.png" ContentType="image/png"/>
  <Override PartName="/word/media/rId44.png" ContentType="image/png"/>
  <Override PartName="/word/media/rId68.png" ContentType="image/png"/>
  <Override PartName="/word/media/rId67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65.png" ContentType="image/png"/>
  <Override PartName="/word/media/rId70.png" ContentType="image/png"/>
  <Override PartName="/word/media/rId23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E.J.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Effective management of exploited fish populations requires accurate</w:t>
      </w:r>
      <w:r>
        <w:t xml:space="preserve"> </w:t>
      </w:r>
      <w:r>
        <w:t xml:space="preserve">estimates of commercial fisheries catches to inform monitoring and</w:t>
      </w:r>
      <w:r>
        <w:t xml:space="preserve"> </w:t>
      </w:r>
      <w:r>
        <w:t xml:space="preserve">assessment efforts. In California, the high degree of heterogeneity in</w:t>
      </w:r>
      <w:r>
        <w:t xml:space="preserve"> </w:t>
      </w:r>
      <w:r>
        <w:t xml:space="preserve">the species composition of many groundfish fisheries, particularly those</w:t>
      </w:r>
      <w:r>
        <w:t xml:space="preserve"> </w:t>
      </w:r>
      <w:r>
        <w:t xml:space="preserve">targeting rockfish (genus</w:t>
      </w:r>
      <w:r>
        <w:t xml:space="preserve"> </w:t>
      </w:r>
      <m:oMath>
        <m:r>
          <m:rPr/>
          <m:t>S</m:t>
        </m:r>
        <m:r>
          <m:rPr/>
          <m:t>e</m:t>
        </m:r>
        <m:r>
          <m:rPr/>
          <m:t>b</m:t>
        </m:r>
        <m:r>
          <m:rPr/>
          <m:t>a</m:t>
        </m:r>
        <m:r>
          <m:rPr/>
          <m:t>s</m:t>
        </m:r>
        <m:r>
          <m:rPr/>
          <m:t>t</m:t>
        </m:r>
        <m:r>
          <m:rPr/>
          <m:t>e</m:t>
        </m:r>
        <m:r>
          <m:rPr/>
          <m:t>s</m:t>
        </m:r>
      </m:oMath>
      <w:r>
        <w:t xml:space="preserve">), leads to challenges in sampling all</w:t>
      </w:r>
      <w:r>
        <w:t xml:space="preserve"> </w:t>
      </w:r>
      <w:r>
        <w:t xml:space="preserve">potential strata, or species, adequately. Limited resources and</w:t>
      </w:r>
      <w:r>
        <w:t xml:space="preserve"> </w:t>
      </w:r>
      <w:r>
        <w:t xml:space="preserve">increasingly complex stratification of the sampling system inevitably</w:t>
      </w:r>
      <w:r>
        <w:t xml:space="preserve"> </w:t>
      </w:r>
      <w:r>
        <w:t xml:space="preserve">leads to gaps in sample data. In the presence of sampling gaps, ad-hoc</w:t>
      </w:r>
      <w:r>
        <w:t xml:space="preserve"> </w:t>
      </w:r>
      <w:r>
        <w:t xml:space="preserve">species composition point estimation is currently obtained according to</w:t>
      </w:r>
      <w:r>
        <w:t xml:space="preserve"> </w:t>
      </w:r>
      <w:r>
        <w:t xml:space="preserve">historically derived "data borrowing" (imputation) protocols which do</w:t>
      </w:r>
      <w:r>
        <w:t xml:space="preserve"> </w:t>
      </w:r>
      <w:r>
        <w:t xml:space="preserve">not allow for uncertainty estimation or forecasting. In order to move</w:t>
      </w:r>
      <w:r>
        <w:t xml:space="preserve"> </w:t>
      </w:r>
      <w:r>
        <w:t xml:space="preserve">from the current ad-hoc "data-borrowing" point estimators, we have</w:t>
      </w:r>
      <w:r>
        <w:t xml:space="preserve"> </w:t>
      </w:r>
      <w:r>
        <w:t xml:space="preserve">constructed Bayesian hierarchical models to estimate species</w:t>
      </w:r>
      <w:r>
        <w:t xml:space="preserve"> </w:t>
      </w:r>
      <w:r>
        <w:t xml:space="preserve">compositions, complete with accurate measures of uncertainty, as well as</w:t>
      </w:r>
      <w:r>
        <w:t xml:space="preserve"> </w:t>
      </w:r>
      <w:r>
        <w:t xml:space="preserve">theoretically sound out-of-sample predictions. Furthermore, we introduce</w:t>
      </w:r>
      <w:r>
        <w:t xml:space="preserve"> </w:t>
      </w:r>
      <w:r>
        <w:t xml:space="preserve">a Bayesian model averaging approach for inferring spatial pooling</w:t>
      </w:r>
      <w:r>
        <w:t xml:space="preserve"> </w:t>
      </w:r>
      <w:r>
        <w:t xml:space="preserve">strategies across the over-stratified port sampling system. Our modeling</w:t>
      </w:r>
      <w:r>
        <w:t xml:space="preserve"> </w:t>
      </w:r>
      <w:r>
        <w:t xml:space="preserve">approach, along with a computationally robust system of inference and model</w:t>
      </w:r>
      <w:r>
        <w:t xml:space="preserve"> </w:t>
      </w:r>
      <w:r>
        <w:t xml:space="preserve">exploration, allows us to 1) quantify uncertainty in historical landings, and</w:t>
      </w:r>
      <w:r>
        <w:t xml:space="preserve"> </w:t>
      </w:r>
      <w:r>
        <w:t xml:space="preserve">2) understand the effect of the highly stratified, and sparse, sampling system</w:t>
      </w:r>
      <w:r>
        <w:t xml:space="preserve"> </w:t>
      </w:r>
      <w:r>
        <w:t xml:space="preserve">on the kinds of inference possible, while simultaneously making the most from</w:t>
      </w:r>
      <w:r>
        <w:t xml:space="preserve"> </w:t>
      </w:r>
      <w:r>
        <w:t xml:space="preserve">the available data.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``nearshore rockfish'', or species</w:t>
      </w:r>
      <w:r>
        <w:t xml:space="preserve"> </w:t>
      </w:r>
      <w:r>
        <w:t xml:space="preserve">within a particular genus or family). However, in some states, categories that</w:t>
      </w:r>
      <w:r>
        <w:t xml:space="preserve"> </w:t>
      </w:r>
      <w:r>
        <w:t xml:space="preserve">are named after a single species still contain several species, to varying</w:t>
      </w:r>
      <w:r>
        <w:t xml:space="preserve"> </w:t>
      </w:r>
      <w:r>
        <w:t xml:space="preserve">degrees, even after regulations require sorting into a particular</w:t>
      </w:r>
      <w:r>
        <w:t xml:space="preserve"> </w:t>
      </w:r>
      <w:r>
        <w:t xml:space="preserve">category (Pearson et al., 2008). As a result, estimation of landings for a</w:t>
      </w:r>
      <w:r>
        <w:t xml:space="preserve"> </w:t>
      </w:r>
      <w:r>
        <w:t xml:space="preserve">single species based on landing receipt data alone may produce biased</w:t>
      </w:r>
      <w:r>
        <w:t xml:space="preserve"> </w:t>
      </w:r>
      <w:r>
        <w:t xml:space="preserve">estimates of total catch.</w:t>
      </w:r>
    </w:p>
    <w:p>
      <w:pPr>
        <w:pStyle w:val="BodyText"/>
      </w:pPr>
      <w:r>
        <w:t xml:space="preserve">Fisherman, dealers, or processors typically decide how to sort species into</w:t>
      </w:r>
      <w:r>
        <w:t xml:space="preserve"> </w:t>
      </w:r>
      <w:r>
        <w:t xml:space="preserve">market categories on a landing receipt. Trained port samplers intercept</w:t>
      </w:r>
      <w:r>
        <w:t xml:space="preserve"> </w:t>
      </w:r>
      <w:r>
        <w:t xml:space="preserve">vessels offloading catch or during subsequent processing in order to determine</w:t>
      </w:r>
      <w:r>
        <w:t xml:space="preserve"> </w:t>
      </w:r>
      <w:r>
        <w:t xml:space="preserve">the species composition of catch landed in a given market category (Sen 1984,</w:t>
      </w:r>
      <w:r>
        <w:t xml:space="preserve"> </w:t>
      </w:r>
      <w:r>
        <w:t xml:space="preserve">Crone 1995, Tsou et al. 2015). These species composition data are used to</w:t>
      </w:r>
      <w:r>
        <w:t xml:space="preserve"> </w:t>
      </w:r>
      <w:r>
        <w:t xml:space="preserve">partition, or distribute, the weight of landed catch in a market category</w:t>
      </w:r>
      <w:r>
        <w:t xml:space="preserve"> </w:t>
      </w:r>
      <w:r>
        <w:t xml:space="preserve">across species, a process commonly referred to as catch expansion (Pearson and</w:t>
      </w:r>
      <w:r>
        <w:t xml:space="preserve"> </w:t>
      </w:r>
      <w:r>
        <w:t xml:space="preserve">Almany, 1995). To estimate total landings for a single species, the expanded</w:t>
      </w:r>
      <w:r>
        <w:t xml:space="preserve"> </w:t>
      </w:r>
      <w:r>
        <w:t xml:space="preserve">catch is summed across all relevant market categories. Assuming that landing</w:t>
      </w:r>
      <w:r>
        <w:t xml:space="preserve"> </w:t>
      </w:r>
      <w:r>
        <w:t xml:space="preserve">receipt data are a census of the landed catch, uncertainty in total catch for</w:t>
      </w:r>
      <w:r>
        <w:t xml:space="preserve"> </w:t>
      </w:r>
      <w:r>
        <w:t xml:space="preserve">a given species reflects variability in the species composition among port</w:t>
      </w:r>
      <w:r>
        <w:t xml:space="preserve"> </w:t>
      </w:r>
      <w:r>
        <w:t xml:space="preserve">samples. If information is available to estimate sources of bias in the</w:t>
      </w:r>
      <w:r>
        <w:t xml:space="preserve"> </w:t>
      </w:r>
      <w:r>
        <w:t xml:space="preserve">landing receipt data, e.g. underreporting, then it is possible to also</w:t>
      </w:r>
      <w:r>
        <w:t xml:space="preserve"> </w:t>
      </w:r>
      <w:r>
        <w:t xml:space="preserve">incorporate uncertainty in the bias correction factors as well</w:t>
      </w:r>
      <w:r>
        <w:t xml:space="preserve"> </w:t>
      </w:r>
      <w:r>
        <w:t xml:space="preserve">(Bousquet et al. 2010). In this study, we quantify sampling uncertainty for</w:t>
      </w:r>
      <w:r>
        <w:t xml:space="preserve"> </w:t>
      </w:r>
      <w:r>
        <w:t xml:space="preserve">estimates of landed catch, although the modeling framework could be extended</w:t>
      </w:r>
      <w:r>
        <w:t xml:space="preserve"> </w:t>
      </w:r>
      <w:r>
        <w:t xml:space="preserve">to include uncertainty or bias in landing receipt data.</w:t>
      </w:r>
    </w:p>
    <w:p>
      <w:pPr>
        <w:pStyle w:val="BodyText"/>
      </w:pPr>
      <w:r>
        <w:t xml:space="preserve">Within market categories, particularly those used historically for groupings</w:t>
      </w:r>
      <w:r>
        <w:t xml:space="preserve"> </w:t>
      </w:r>
      <w:r>
        <w:t xml:space="preserve">of highly speciose rockfish (Sebastes spp), the species composition of landed</w:t>
      </w:r>
      <w:r>
        <w:t xml:space="preserve"> </w:t>
      </w:r>
      <w:r>
        <w:t xml:space="preserve">catch can vary spatially, temporally, by fishing gear, and catch disposition</w:t>
      </w:r>
      <w:r>
        <w:t xml:space="preserve"> </w:t>
      </w:r>
      <w:r>
        <w:t xml:space="preserve">(e.g. fish sold alive or dead). These differences are attributable to many</w:t>
      </w:r>
      <w:r>
        <w:t xml:space="preserve"> </w:t>
      </w:r>
      <w:r>
        <w:t xml:space="preserve">factors, including market preference, fishing behavior, regulatory constraints</w:t>
      </w:r>
      <w:r>
        <w:t xml:space="preserve"> </w:t>
      </w:r>
      <w:r>
        <w:t xml:space="preserve">, and biological/ecological characteristics (e.g. spatial distribution)</w:t>
      </w:r>
      <w:r>
        <w:t xml:space="preserve"> </w:t>
      </w:r>
      <w:r>
        <w:t xml:space="preserve">of the landed species. As a result, estimates of species composition for</w:t>
      </w:r>
      <w:r>
        <w:t xml:space="preserve"> </w:t>
      </w:r>
      <w:r>
        <w:t xml:space="preserve">a given market category are often stratified over time (e.g. quarterly)</w:t>
      </w:r>
      <w:r>
        <w:t xml:space="preserve"> </w:t>
      </w:r>
      <w:r>
        <w:t xml:space="preserve">and across other relevant strata (e.g. ports, gears, catch disposition</w:t>
      </w:r>
      <w:r>
        <w:t xml:space="preserve"> </w:t>
      </w:r>
      <w:r>
        <w:t xml:space="preserve">). Sampling programs often have limited funds, and attempts to reduce bias</w:t>
      </w:r>
      <w:r>
        <w:t xml:space="preserve"> </w:t>
      </w:r>
      <w:r>
        <w:t xml:space="preserve">in species composition estimates through the introduction of additional</w:t>
      </w:r>
      <w:r>
        <w:t xml:space="preserve"> </w:t>
      </w:r>
      <w:r>
        <w:t xml:space="preserve">strata comes at a cost, namely reduced precision (Cochran, 1977; Tomlinson,</w:t>
      </w:r>
      <w:r>
        <w:t xml:space="preserve"> </w:t>
      </w:r>
      <w:r>
        <w:t xml:space="preserve">1971).</w:t>
      </w:r>
    </w:p>
    <w:p>
      <w:pPr>
        <w:pStyle w:val="BodyText"/>
      </w:pPr>
      <w:r>
        <w:t xml:space="preserve">On the U.S. West Coast, port sampling programs for rockfish and other</w:t>
      </w:r>
      <w:r>
        <w:t xml:space="preserve"> </w:t>
      </w:r>
      <w:r>
        <w:t xml:space="preserve">groundfish allocate effort both spatially and temporally, but many domains of</w:t>
      </w:r>
      <w:r>
        <w:t xml:space="preserve"> </w:t>
      </w:r>
      <w:r>
        <w:t xml:space="preserve">interest (e.g. market category, gear type, catch disposition) remain unsampled</w:t>
      </w:r>
      <w:r>
        <w:t xml:space="preserve"> </w:t>
      </w:r>
      <w:r>
        <w:t xml:space="preserve">or sparsely sampled due to a proliferation of categories over time, logistical</w:t>
      </w:r>
      <w:r>
        <w:t xml:space="preserve"> </w:t>
      </w:r>
      <w:r>
        <w:t xml:space="preserve">constraints, and limited resources (Sen 1986; Crone 1995; Pearson et al. 2008;</w:t>
      </w:r>
      <w:r>
        <w:t xml:space="preserve"> </w:t>
      </w:r>
      <w:r>
        <w:t xml:space="preserve">Tsou et al. 2015). In California, for example, commercial port sampling</w:t>
      </w:r>
      <w:r>
        <w:t xml:space="preserve"> </w:t>
      </w:r>
      <w:r>
        <w:t xml:space="preserve">effort has changed over time and space (Pearson and Almany 1995). For example,</w:t>
      </w:r>
      <w:r>
        <w:t xml:space="preserve"> </w:t>
      </w:r>
      <w:r>
        <w:t xml:space="preserve">regular sampling of California ports north of Point Conception (roughly</w:t>
      </w:r>
      <w:r>
        <w:t xml:space="preserve"> </w:t>
      </w:r>
      <m:oMath>
        <m:sSup>
          <m:e>
            <m:r>
              <m:rPr/>
              <m:t>34</m:t>
            </m:r>
          </m:e>
          <m:sup>
            <m:r>
              <m:rPr/>
              <m:t>∘</m:t>
            </m:r>
          </m:sup>
        </m:sSup>
      </m:oMath>
      <w:r>
        <w:t xml:space="preserve"> </w:t>
      </w:r>
      <w:r>
        <w:t xml:space="preserve">27' N. latitude) began as early as 1978, but the more southern ports</w:t>
      </w:r>
      <w:r>
        <w:t xml:space="preserve"> </w:t>
      </w:r>
      <w:r>
        <w:t xml:space="preserve">were rarely sampled prior to 1983. This allocation of effort was largely based</w:t>
      </w:r>
      <w:r>
        <w:t xml:space="preserve"> </w:t>
      </w:r>
      <w:r>
        <w:t xml:space="preserve">on the statewide distribution of landings, diffuse spatial distribution of</w:t>
      </w:r>
      <w:r>
        <w:t xml:space="preserve"> </w:t>
      </w:r>
      <w:r>
        <w:t xml:space="preserve">southern commercial ports, and limitations in funding for port samplers.</w:t>
      </w:r>
    </w:p>
    <w:p>
      <w:pPr>
        <w:pStyle w:val="BodyText"/>
      </w:pPr>
      <w:r>
        <w:t xml:space="preserve">When no port samples are collected for landed strata and domains, species</w:t>
      </w:r>
      <w:r>
        <w:t xml:space="preserve"> </w:t>
      </w:r>
      <w:r>
        <w:t xml:space="preserve">composition estimates are borrowed from other strata using deterministic</w:t>
      </w:r>
      <w:r>
        <w:t xml:space="preserve"> </w:t>
      </w:r>
      <w:r>
        <w:t xml:space="preserve">algorithms based on expert opinion. These algorithms have unknown bias and</w:t>
      </w:r>
      <w:r>
        <w:t xml:space="preserve"> </w:t>
      </w:r>
      <w:r>
        <w:t xml:space="preserve">precision. In contrast, model-based estimators are increasingly used to</w:t>
      </w:r>
      <w:r>
        <w:t xml:space="preserve"> </w:t>
      </w:r>
      <w:r>
        <w:t xml:space="preserve">estimate quantities of interest for domains with small sample sizes and/or</w:t>
      </w:r>
      <w:r>
        <w:t xml:space="preserve"> </w:t>
      </w:r>
      <w:r>
        <w:t xml:space="preserve">unsampled strata (sometimes referred to as small area estimation; Rao 2003).</w:t>
      </w:r>
      <w:r>
        <w:t xml:space="preserve"> </w:t>
      </w:r>
      <w:r>
        <w:t xml:space="preserve">As a pilot study, Shelton et al. (2012) developed a Bayesian hierarchical</w:t>
      </w:r>
      <w:r>
        <w:t xml:space="preserve"> </w:t>
      </w:r>
      <w:r>
        <w:t xml:space="preserve">statistical framework for estimating species compositions in rockfish market</w:t>
      </w:r>
      <w:r>
        <w:t xml:space="preserve"> </w:t>
      </w:r>
      <w:r>
        <w:t xml:space="preserve">categories from trawl fisheries from a single port in California in two</w:t>
      </w:r>
      <w:r>
        <w:t xml:space="preserve"> </w:t>
      </w:r>
      <w:r>
        <w:t xml:space="preserve">separate years. Their model has the ability to partially pool information</w:t>
      </w:r>
      <w:r>
        <w:t xml:space="preserve"> </w:t>
      </w:r>
      <w:r>
        <w:t xml:space="preserve">among sparsely sampled strata, predicts species compositions for unsampled</w:t>
      </w:r>
      <w:r>
        <w:t xml:space="preserve"> </w:t>
      </w:r>
      <w:r>
        <w:t xml:space="preserve">strata, and can be combined with landing receipts to estimate total landings</w:t>
      </w:r>
      <w:r>
        <w:t xml:space="preserve"> </w:t>
      </w:r>
      <w:r>
        <w:t xml:space="preserve">by species, across market categories and other strata, along with associated</w:t>
      </w:r>
      <w:r>
        <w:t xml:space="preserve"> </w:t>
      </w:r>
      <w:r>
        <w:t xml:space="preserve">estimates of uncertainty. However, their model considered hierarchical pooling</w:t>
      </w:r>
      <w:r>
        <w:t xml:space="preserve"> </w:t>
      </w:r>
      <w:r>
        <w:t xml:space="preserve">only among quarters within a single year, and the authors underscored the need</w:t>
      </w:r>
      <w:r>
        <w:t xml:space="preserve"> </w:t>
      </w:r>
      <w:r>
        <w:t xml:space="preserve">to better understand performance of alternative models, and to overcome issues</w:t>
      </w:r>
      <w:r>
        <w:t xml:space="preserve"> </w:t>
      </w:r>
      <w:r>
        <w:t xml:space="preserve">with computation time, particularly since commercial port sampling data sets</w:t>
      </w:r>
      <w:r>
        <w:t xml:space="preserve"> </w:t>
      </w:r>
      <w:r>
        <w:t xml:space="preserve">often include hundreds of landed strata spanning decades, multiple ports, gear</w:t>
      </w:r>
      <w:r>
        <w:t xml:space="preserve"> </w:t>
      </w:r>
      <w:r>
        <w:t xml:space="preserve">types, and other domains of interest.</w:t>
      </w:r>
    </w:p>
    <w:p>
      <w:pPr>
        <w:pStyle w:val="BodyText"/>
      </w:pPr>
      <w:r>
        <w:t xml:space="preserve">Among the U.S. West Coast states, the challenge of estimating landings for</w:t>
      </w:r>
      <w:r>
        <w:t xml:space="preserve"> </w:t>
      </w:r>
      <w:r>
        <w:t xml:space="preserve">sparsely-sampled mixed stock rockfish fisheries is perhaps greatest for</w:t>
      </w:r>
      <w:r>
        <w:t xml:space="preserve"> </w:t>
      </w:r>
      <w:r>
        <w:t xml:space="preserve">California. Although overall landings have historically been greater for</w:t>
      </w:r>
      <w:r>
        <w:t xml:space="preserve"> </w:t>
      </w:r>
      <w:r>
        <w:t xml:space="preserve">rockfish off of Oregon and Washington, California has a greater number of</w:t>
      </w:r>
      <w:r>
        <w:t xml:space="preserve"> </w:t>
      </w:r>
      <w:r>
        <w:t xml:space="preserve">commercial ports, market categories, and landed species</w:t>
      </w:r>
      <w:r>
        <w:t xml:space="preserve"> </w:t>
      </w:r>
      <w:r>
        <w:t xml:space="preserve">(Pearson and Irwin 1997), with greater species diversity among ports due to</w:t>
      </w:r>
      <w:r>
        <w:t xml:space="preserve"> </w:t>
      </w:r>
      <w:r>
        <w:t xml:space="preserve">the geographical range of the coast and the observation that species diversity</w:t>
      </w:r>
      <w:r>
        <w:t xml:space="preserve"> </w:t>
      </w:r>
      <w:r>
        <w:t xml:space="preserve">for this genus is greatest in the Southern California Bight (Love et al. 2002</w:t>
      </w:r>
      <w:r>
        <w:t xml:space="preserve"> </w:t>
      </w:r>
      <w:r>
        <w:t xml:space="preserve">). California also includes two major biogeographic features, Point Conception</w:t>
      </w:r>
      <w:r>
        <w:t xml:space="preserve"> </w:t>
      </w:r>
      <w:r>
        <w:t xml:space="preserve">and Cape Mendocino, that are associated with different physical oceanographic</w:t>
      </w:r>
      <w:r>
        <w:t xml:space="preserve"> </w:t>
      </w:r>
      <w:r>
        <w:t xml:space="preserve">conditions and biological community assemblages (Hickey 1979, Checkley and</w:t>
      </w:r>
      <w:r>
        <w:t xml:space="preserve"> </w:t>
      </w:r>
      <w:r>
        <w:t xml:space="preserve">Barth 2009, Gottscho 2016), and these features are also frequently used as</w:t>
      </w:r>
      <w:r>
        <w:t xml:space="preserve"> </w:t>
      </w:r>
      <w:r>
        <w:t xml:space="preserve">spatial boundaries for stock assessments and management measures. Of</w:t>
      </w:r>
      <w:r>
        <w:t xml:space="preserve"> </w:t>
      </w:r>
      <w:r>
        <w:t xml:space="preserve">particular consequence to the estimation of species compositions is the</w:t>
      </w:r>
      <w:r>
        <w:t xml:space="preserve"> </w:t>
      </w:r>
      <w:r>
        <w:t xml:space="preserve">proliferation of landed market categories over time, particularly during the</w:t>
      </w:r>
      <w:r>
        <w:t xml:space="preserve"> </w:t>
      </w:r>
      <w:r>
        <w:t xml:space="preserve">1990s (Figure (Sparse Data)). Sampling effort also leveled off in the mid-1990s,</w:t>
      </w:r>
      <w:r>
        <w:t xml:space="preserve"> </w:t>
      </w:r>
      <w:r>
        <w:t xml:space="preserve">with a reduction in effort in the early 2000s, associated with substantial</w:t>
      </w:r>
      <w:r>
        <w:t xml:space="preserve"> </w:t>
      </w:r>
      <w:r>
        <w:t xml:space="preserve">declines in total catches as well as reductions in sampling resources. The net</w:t>
      </w:r>
      <w:r>
        <w:t xml:space="preserve"> </w:t>
      </w:r>
      <w:r>
        <w:t xml:space="preserve">result of increased stratification and flat (or reduced) sampling effort over</w:t>
      </w:r>
      <w:r>
        <w:t xml:space="preserve"> </w:t>
      </w:r>
      <w:r>
        <w:t xml:space="preserve">time is a decline in mean sample size per stratum (Figure 1). In this situation</w:t>
      </w:r>
      <w:r>
        <w:t xml:space="preserve"> </w:t>
      </w:r>
      <w:r>
        <w:t xml:space="preserve">, it is critical to understand how efforts to reduce bias (e.g. increasing the</w:t>
      </w:r>
      <w:r>
        <w:t xml:space="preserve"> </w:t>
      </w:r>
      <w:r>
        <w:t xml:space="preserve">number of landed market categories) affect precision of the expanded catch</w:t>
      </w:r>
      <w:r>
        <w:t xml:space="preserve"> </w:t>
      </w:r>
      <w:r>
        <w:t xml:space="preserve">estimates.</w:t>
      </w:r>
    </w:p>
    <w:p>
      <w:pPr>
        <w:pStyle w:val="BodyText"/>
      </w:pPr>
      <w:r>
        <w:t xml:space="preserve">Models that take catch uncertainty into account are not new (c.f. Doubleday</w:t>
      </w:r>
      <w:r>
        <w:t xml:space="preserve"> </w:t>
      </w:r>
      <w:r>
        <w:t xml:space="preserve">1976), but most assessments on the U.S. West Coast assume catch is known</w:t>
      </w:r>
      <w:r>
        <w:t xml:space="preserve"> </w:t>
      </w:r>
      <w:r>
        <w:t xml:space="preserve">without error (PFMC 2018). As a result, catch uncertainty is not propagated</w:t>
      </w:r>
      <w:r>
        <w:t xml:space="preserve"> </w:t>
      </w:r>
      <w:r>
        <w:t xml:space="preserve">into management reference points. However, the implications of catch</w:t>
      </w:r>
      <w:r>
        <w:t xml:space="preserve"> </w:t>
      </w:r>
      <w:r>
        <w:t xml:space="preserve">uncertainty are not limited to stock assessment efforts. In a management</w:t>
      </w:r>
      <w:r>
        <w:t xml:space="preserve"> </w:t>
      </w:r>
      <w:r>
        <w:t xml:space="preserve">context, catch estimates with large (but unknown) uncertainty may cause</w:t>
      </w:r>
      <w:r>
        <w:t xml:space="preserve"> </w:t>
      </w:r>
      <w:r>
        <w:t xml:space="preserve">managers to react to large, high-frequency deviations in estimated catch, and</w:t>
      </w:r>
      <w:r>
        <w:t xml:space="preserve"> </w:t>
      </w:r>
      <w:r>
        <w:t xml:space="preserve">either impose unnecessary restrictions on a fishery, or mistakenly support</w:t>
      </w:r>
      <w:r>
        <w:t xml:space="preserve"> </w:t>
      </w:r>
      <w:r>
        <w:t xml:space="preserve">excessive harvest. This is particularly an issue for prohibited and/or "choke"</w:t>
      </w:r>
      <w:r>
        <w:t xml:space="preserve"> </w:t>
      </w:r>
      <w:r>
        <w:t xml:space="preserve">species, for which information is limited and may be based solely on estimates</w:t>
      </w:r>
      <w:r>
        <w:t xml:space="preserve"> </w:t>
      </w:r>
      <w:r>
        <w:t xml:space="preserve">of discarded catch.</w:t>
      </w:r>
    </w:p>
    <w:p>
      <w:pPr>
        <w:pStyle w:val="BodyText"/>
      </w:pPr>
      <w:r>
        <w:t xml:space="preserve">In this study,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Sparce Data: Number of commercial port samples per market category in California,</w:t>
      </w:r>
      <w:r>
        <w:t xml:space="preserve"> </w:t>
      </w:r>
      <w:r>
        <w:t xml:space="preserve">1978-2014 (upper panel), average sample size per stratum (middle panel), and</w:t>
      </w:r>
      <w:r>
        <w:t xml:space="preserve"> </w:t>
      </w:r>
      <w:r>
        <w:t xml:space="preserve">number of market categories recorded on landing receipts (lower panel). On the</w:t>
      </w:r>
      <w:r>
        <w:t xml:space="preserve"> </w:t>
      </w:r>
      <w:r>
        <w:t xml:space="preserve">lower panels, points indicate observed values, while the black lines represent</w:t>
      </w:r>
      <w:r>
        <w:t xml:space="preserve"> </w:t>
      </w:r>
      <w:r>
        <w:t xml:space="preserve">9 year moving averages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 Sen (1984, 1986) the data collection protocol for the species</w:t>
      </w:r>
      <w:r>
        <w:t xml:space="preserve"> </w:t>
      </w:r>
      <w:r>
        <w:t xml:space="preserve">composition port sampling data, held within the CALCOM database, are the result</w:t>
      </w:r>
      <w:r>
        <w:t xml:space="preserve"> </w:t>
      </w:r>
      <w:r>
        <w:t xml:space="preserve">of a design based cluster sampling procedure across the many strata of</w:t>
      </w:r>
      <w:r>
        <w:t xml:space="preserve"> </w:t>
      </w:r>
      <w:r>
        <w:t xml:space="preserve">California's commercial fisheries. Each sample is intended to be composed of</w:t>
      </w:r>
      <w:r>
        <w:t xml:space="preserve"> </w:t>
      </w:r>
      <w:r>
        <w:t xml:space="preserve">two fifty pound clusters selected at random from a stratum. Although port</w:t>
      </w:r>
      <w:r>
        <w:t xml:space="preserve"> </w:t>
      </w:r>
      <w:r>
        <w:t xml:space="preserve">samplers do their best to follow protocol, in reality the port sampling</w:t>
      </w:r>
      <w:r>
        <w:t xml:space="preserve"> </w:t>
      </w:r>
      <w:r>
        <w:t xml:space="preserve">environment does not always allow Sen's original protocol to be followed.</w:t>
      </w:r>
      <w:r>
        <w:t xml:space="preserve"> </w:t>
      </w:r>
      <w:r>
        <w:t xml:space="preserve">Variations in the sampling protocol may result in only a single cluster being</w:t>
      </w:r>
      <w:r>
        <w:t xml:space="preserve"> </w:t>
      </w:r>
      <w:r>
        <w:t xml:space="preserve">taken, or the size of clusters taken to vary from stratum to stratum based on</w:t>
      </w:r>
      <w:r>
        <w:t xml:space="preserve"> </w:t>
      </w:r>
      <w:r>
        <w:t xml:space="preserve">the particular challenges of sampling each stratum.</w:t>
      </w:r>
    </w:p>
    <w:p>
      <w:pPr>
        <w:pStyle w:val="BodyText"/>
      </w:pPr>
      <w:r>
        <w:t xml:space="preserve">Samples are recorded, by port samplers, as integer pounds for each observed</w:t>
      </w:r>
      <w:r>
        <w:t xml:space="preserve"> </w:t>
      </w:r>
      <w:r>
        <w:t xml:space="preserve">species, across the landed market categories, gear groups, and port complexes</w:t>
      </w:r>
      <w:r>
        <w:t xml:space="preserve"> </w:t>
      </w:r>
      <w:r>
        <w:t xml:space="preserve">in time (quarters within year). Presently there are 71 rockfish market</w:t>
      </w:r>
      <w:r>
        <w:t xml:space="preserve"> </w:t>
      </w:r>
      <w:r>
        <w:t xml:space="preserve">categories, although not all market categories are always used by fisherman.</w:t>
      </w:r>
      <w:r>
        <w:t xml:space="preserve"> </w:t>
      </w:r>
      <w:r>
        <w:t xml:space="preserve">The number of used market categories has gone from less than 25 in 1978 to</w:t>
      </w:r>
      <w:r>
        <w:t xml:space="preserve"> </w:t>
      </w:r>
      <w:r>
        <w:t xml:space="preserve">about 55 in</w:t>
      </w:r>
      <w:r>
        <w:t xml:space="preserve"> </w:t>
      </w:r>
      <m:oMath>
        <m:r>
          <m:rPr/>
          <m:t>2014</m:t>
        </m:r>
      </m:oMath>
      <w:r>
        <w:t xml:space="preserve">. Landings are grouped into major fishing gear groups</w:t>
      </w:r>
      <w:r>
        <w:t xml:space="preserve"> </w:t>
      </w:r>
      <w:r>
        <w:t xml:space="preserve">(trawl, hook and line, gillnet, fish pot, or other minor categories) and ten</w:t>
      </w:r>
      <w:r>
        <w:t xml:space="preserve"> </w:t>
      </w:r>
      <w:r>
        <w:t xml:space="preserve">major port complexes spanning the California coast.</w:t>
      </w:r>
    </w:p>
    <w:p>
      <w:pPr>
        <w:pStyle w:val="BodyText"/>
      </w:pPr>
      <w:r>
        <w:t xml:space="preserve">The model based methodology proposed here does not rely strongly upon the</w:t>
      </w:r>
      <w:r>
        <w:t xml:space="preserve"> </w:t>
      </w:r>
      <w:r>
        <w:t xml:space="preserve">cluster sampling structure, but rather simply views each sample as independent</w:t>
      </w:r>
      <w:r>
        <w:t xml:space="preserve"> </w:t>
      </w:r>
      <w:r>
        <w:t xml:space="preserve">and 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a data generating model,</w:t>
      </w:r>
      <w:r>
        <w:t xml:space="preserve"> </w:t>
      </w:r>
      <w:r>
        <w:t xml:space="preserve">conditional on a parameterization of the stratification system. So long as the</w:t>
      </w:r>
      <w:r>
        <w:t xml:space="preserve"> </w:t>
      </w:r>
      <w:r>
        <w:t xml:space="preserve">parameterization and data generating model are sufficiently robust for</w:t>
      </w:r>
      <w:r>
        <w:t xml:space="preserve"> </w:t>
      </w:r>
      <w:r>
        <w:t xml:space="preserve">handling the behavior of these data, a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will be practically useful for producing predictions about the data</w:t>
      </w:r>
      <w:r>
        <w:t xml:space="preserve"> </w:t>
      </w:r>
      <w:r>
        <w:t xml:space="preserve">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CALCOM, a</w:t>
      </w:r>
      <w:r>
        <w:t xml:space="preserve"> </w:t>
      </w:r>
      <w:r>
        <w:t xml:space="preserve">database maintained by the California Cooperative Groundfish Survey</w:t>
      </w:r>
      <w:r>
        <w:t xml:space="preserve"> </w:t>
      </w:r>
      <w:r>
        <w:t xml:space="preserve">(CALCOM 2018). Specifically, we aggregate all observed clusters across</w:t>
      </w:r>
      <w:r>
        <w:t xml:space="preserve"> </w:t>
      </w:r>
      <w:r>
        <w:t xml:space="preserve"> </w:t>
      </w:r>
      <w:r>
        <w:t xml:space="preserve">a unique sample so that the total weight sampled is the sum of all pounds in</w:t>
      </w:r>
      <w:r>
        <w:t xml:space="preserve"> </w:t>
      </w:r>
      <w:r>
        <w:t xml:space="preserve">each unique sample. Similarly the observed weight for a particular species in</w:t>
      </w:r>
      <w:r>
        <w:t xml:space="preserve"> </w:t>
      </w:r>
      <w:r>
        <w:t xml:space="preserve">each unique sample is the sum of all of the observed weights, for that</w:t>
      </w:r>
      <w:r>
        <w:t xml:space="preserve"> </w:t>
      </w:r>
      <w:r>
        <w:t xml:space="preserve">species, across each cluster of each unique 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 judicious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this reason,</w:t>
      </w:r>
      <w:r>
        <w:t xml:space="preserve"> </w:t>
      </w:r>
      <w:r>
        <w:t xml:space="preserve">we refrain from modeling any period where the minimum possible number of</w:t>
      </w:r>
      <w:r>
        <w:t xml:space="preserve"> </w:t>
      </w:r>
      <w:r>
        <w:t xml:space="preserve">effective parameters exceeds the number of samples for the modeled period.</w:t>
      </w:r>
      <w:r>
        <w:t xml:space="preserve"> </w:t>
      </w:r>
      <w:r>
        <w:t xml:space="preserve">Rather than apply models inappropriately, these landings are speciated as the</w:t>
      </w:r>
      <w:r>
        <w:t xml:space="preserve"> </w:t>
      </w:r>
      <w:r>
        <w:t xml:space="preserve">nominal species for their market category. We later demonstrate that due to</w:t>
      </w:r>
      <w:r>
        <w:t xml:space="preserve"> </w:t>
      </w:r>
      <w:r>
        <w:t xml:space="preserve">prioritization in sampling heavily landed, or otherwise commercially relevant</w:t>
      </w:r>
      <w:r>
        <w:t xml:space="preserve"> </w:t>
      </w:r>
      <w:r>
        <w:t xml:space="preserve">categories, this sample size heuristic leaves relatively few landings to be</w:t>
      </w:r>
      <w:r>
        <w:t xml:space="preserve"> </w:t>
      </w:r>
      <w:r>
        <w:t xml:space="preserve">speciated in a statistically uninformed way (i.e. ``nominal'' speciation).</w:t>
      </w:r>
      <w:r>
        <w:t xml:space="preserve"> </w:t>
      </w:r>
      <w:r>
        <w:t xml:space="preserve"> </w:t>
      </w:r>
      <w:r>
        <w:t xml:space="preserve">Thus nominal speciation represents a negligible component of the overall</w:t>
      </w:r>
      <w:r>
        <w:t xml:space="preserve"> </w:t>
      </w:r>
      <w:r>
        <w:t xml:space="preserve">expanded landings for most species.</w:t>
      </w:r>
    </w:p>
    <w:p>
      <w:pPr>
        <w:pStyle w:val="Compact"/>
        <w:numPr>
          <w:numId w:val="1001"/>
          <w:ilvl w:val="0"/>
        </w:numPr>
      </w:pPr>
      <w:r>
        <w:t xml:space="preserve">something about chuncking time at regulation time periods?</w:t>
      </w:r>
    </w:p>
    <w:p>
      <w:pPr>
        <w:pStyle w:val="Compact"/>
        <w:numPr>
          <w:numId w:val="1002"/>
          <w:ilvl w:val="1"/>
        </w:numPr>
      </w:pPr>
      <w:r>
        <w:t xml:space="preserve">introduce idea of modeled period (mcat/time chunk)</w:t>
      </w:r>
    </w:p>
    <w:p>
      <w:pPr>
        <w:pStyle w:val="Compact"/>
        <w:numPr>
          <w:numId w:val="1002"/>
          <w:ilvl w:val="1"/>
        </w:numPr>
      </w:pPr>
      <w:r>
        <w:t xml:space="preserve">a section got added later on by EJ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The</w:t>
      </w:r>
      <w:r>
        <w:t xml:space="preserve"> </w:t>
      </w:r>
      <w:r>
        <w:t xml:space="preserve">beta-binomial model is used as an over-dispersed extension of the binomial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data, with a single parameter for each species. By</w:t>
      </w:r>
      <w:r>
        <w:t xml:space="preserve"> </w:t>
      </w:r>
      <w:r>
        <w:t xml:space="preserve">definition these models do not have additional parameters to model the variance,</w:t>
      </w:r>
      <w:r>
        <w:t xml:space="preserve"> </w:t>
      </w:r>
      <w:r>
        <w:t xml:space="preserve">but rather, residual variances in these models are simply transformations</w:t>
      </w:r>
      <w:r>
        <w:t xml:space="preserve"> </w:t>
      </w:r>
      <w:r>
        <w:t xml:space="preserve">their mean parameters. Only estimating the mean parameters in these cases</w:t>
      </w:r>
      <w:r>
        <w:t xml:space="preserve"> </w:t>
      </w:r>
      <w:r>
        <w:t xml:space="preserve">may not be 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variance, while producing more</w:t>
      </w:r>
      <w:r>
        <w:t xml:space="preserve"> </w:t>
      </w:r>
      <w:r>
        <w:t xml:space="preserve">accurate measures of center. We develop an example for a subset of data to</w:t>
      </w:r>
      <w:r>
        <w:t xml:space="preserve"> </w:t>
      </w:r>
      <w:r>
        <w:t xml:space="preserve">demonstrate considerably greater statistical support for the beta-binomial</w:t>
      </w:r>
      <w:r>
        <w:t xml:space="preserve"> </w:t>
      </w:r>
      <w:r>
        <w:t xml:space="preserve">model (Appendix B), which we have subsequently used for the purposes of</w:t>
      </w:r>
      <w:r>
        <w:t xml:space="preserve"> </w:t>
      </w:r>
      <w:r>
        <w:t xml:space="preserve">applying at an operational scale.</w:t>
      </w:r>
      <w:r>
        <w:t xml:space="preserve"> </w:t>
      </w:r>
    </w:p>
    <w:p>
      <w:pPr>
        <w:pStyle w:val="Heading3"/>
      </w:pPr>
      <w:bookmarkStart w:id="27" w:name="full-scale-beta-binomial-model"/>
      <w:bookmarkEnd w:id="27"/>
      <w:r>
        <w:t xml:space="preserve">Full-Scale Beta-Binomial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results in</w:t>
      </w:r>
      <w:r>
        <w:t xml:space="preserve"> </w:t>
      </w:r>
      <w:r>
        <w:t xml:space="preserve">Appendix B,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</w:t>
      </w:r>
      <w:r>
        <w:t xml:space="preserve"> </w:t>
      </w:r>
      <w:r>
        <w:t xml:space="preserve">distribution 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Above,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mean weight,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within-cluster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strata within a market category,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 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 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port-complexes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gear-groups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8" w:name="priors"/>
      <w:bookmarkEnd w:id="28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overparameterized models</w:t>
      </w:r>
      <w:r>
        <w:t xml:space="preserve"> </w:t>
      </w:r>
      <w:r>
        <w:t xml:space="preserve"> </w:t>
      </w:r>
      <w:r>
        <w:t xml:space="preserve">may cause overfitting and weaken model performance through the bias-variance</w:t>
      </w:r>
      <w:r>
        <w:t xml:space="preserve"> </w:t>
      </w:r>
      <w:r>
        <w:t xml:space="preserve">dilemma (Ramasubramanian, K., &amp; Singh, A., 2016). Simply put, the</w:t>
      </w:r>
      <w:r>
        <w:t xml:space="preserve"> </w:t>
      </w:r>
      <w:r>
        <w:t xml:space="preserve">bias-variance dilemma means that model formulation is not simply a bias</w:t>
      </w:r>
      <w:r>
        <w:t xml:space="preserve"> </w:t>
      </w:r>
      <w:r>
        <w:t xml:space="preserve">reduction task, but rather the goal is to formulate models which reduce bias,</w:t>
      </w:r>
      <w:r>
        <w:t xml:space="preserve"> </w:t>
      </w:r>
      <w:r>
        <w:t xml:space="preserve">while jointly minimizing uncertainty. Janyes (2003, pg. 511) describes how the</w:t>
      </w:r>
      <w:r>
        <w:t xml:space="preserve"> </w:t>
      </w:r>
      <w:r>
        <w:t xml:space="preserve">inclusion of estimation bias via the Bayesian methodology may produce better</w:t>
      </w:r>
      <w:r>
        <w:t xml:space="preserve"> </w:t>
      </w:r>
      <w:r>
        <w:t xml:space="preserve">performing estimates, more quickly, than unbiased counterparts. Among the</w:t>
      </w:r>
      <w:r>
        <w:t xml:space="preserve"> </w:t>
      </w:r>
      <w:r>
        <w:t xml:space="preserve">simplest ways to see the principle is in the structure of the MSE performance</w:t>
      </w:r>
      <w:r>
        <w:t xml:space="preserve"> </w:t>
      </w:r>
      <w:r>
        <w:t xml:space="preserve">metric, and how it can be explicitly written to value both estimator bias and</w:t>
      </w:r>
      <w:r>
        <w:t xml:space="preserve"> </w:t>
      </w:r>
      <w:r>
        <w:t xml:space="preserve">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29" w:name="m1"/>
      <w:bookmarkEnd w:id="29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are assigned totally independent and diffuse priors.</w:t>
      </w:r>
    </w:p>
    <w:p>
      <w:pPr>
        <w:pStyle w:val="Heading3"/>
      </w:pPr>
      <w:bookmarkStart w:id="30" w:name="m2"/>
      <w:bookmarkEnd w:id="30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 (i.e.</w:t>
      </w:r>
      <w:r>
        <w:t xml:space="preserve"> </w:t>
      </w:r>
      <w:r>
        <w:t xml:space="preserve">treats both year and quarter as ``random effects''). The actual degree of</w:t>
      </w:r>
      <w:r>
        <w:t xml:space="preserve"> </w:t>
      </w:r>
      <w:r>
        <w:t xml:space="preserve">pooling among each of the years and quarters is determined by the data.</w:t>
      </w:r>
      <w:r>
        <w:br w:type="textWrapping"/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 the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(for small</w:t>
      </w:r>
      <w:r>
        <w:t xml:space="preserve"> </w:t>
      </w:r>
      <m:oMath>
        <m:r>
          <m:rPr/>
          <m:t>v</m:t>
        </m:r>
      </m:oMath>
      <w:r>
        <w:t xml:space="preserve">) or</w:t>
      </w:r>
      <w:r>
        <w:t xml:space="preserve"> </w:t>
      </w:r>
      <w:r>
        <w:t xml:space="preserve">allowed to take largely distinct values (in the case of large estimates of the</w:t>
      </w:r>
      <w:r>
        <w:t xml:space="preserve"> </w:t>
      </w:r>
      <m:oMath>
        <m:r>
          <m:rPr/>
          <m:t>v</m:t>
        </m:r>
      </m:oMath>
      <w:r>
        <w:t xml:space="preserve">).</w:t>
      </w:r>
    </w:p>
    <w:p>
      <w:pPr>
        <w:pStyle w:val="Heading3"/>
      </w:pPr>
      <w:bookmarkStart w:id="31" w:name="m3"/>
      <w:bookmarkEnd w:id="31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2" w:name="m4"/>
      <w:bookmarkEnd w:id="32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</w:t>
      </w:r>
      <w:r>
        <w:t xml:space="preserve"> </w:t>
      </w:r>
      <w:r>
        <w:t xml:space="preserve">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3" w:name="m5"/>
      <w:bookmarkEnd w:id="33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4" w:name="m6"/>
      <w:bookmarkEnd w:id="34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Historically, regulations have been enacted with the aim of isolating catch in</w:t>
      </w:r>
      <w:r>
        <w:t xml:space="preserve"> </w:t>
      </w:r>
      <w:r>
        <w:t xml:space="preserve">a market category to a single species (sort requirements). This clearly</w:t>
      </w:r>
      <w:r>
        <w:t xml:space="preserve"> </w:t>
      </w:r>
      <w:r>
        <w:t xml:space="preserve">affects the composition of the target market category, but these regulations</w:t>
      </w:r>
      <w:r>
        <w:t xml:space="preserve"> </w:t>
      </w:r>
      <w:r>
        <w:t xml:space="preserve">also affect the species composition of other market categories in which the</w:t>
      </w:r>
      <w:r>
        <w:t xml:space="preserve"> </w:t>
      </w:r>
      <w:r>
        <w:t xml:space="preserve">target species previously occurred. We incorporate this information into the</w:t>
      </w:r>
      <w:r>
        <w:t xml:space="preserve"> </w:t>
      </w:r>
      <w:r>
        <w:t xml:space="preserve">model structure by treating time periods with relatively stable regulatory</w:t>
      </w:r>
      <w:r>
        <w:t xml:space="preserve"> </w:t>
      </w:r>
      <w:r>
        <w:t xml:space="preserve">conditions as independent models. In other words, information is only shared</w:t>
      </w:r>
      <w:r>
        <w:t xml:space="preserve"> </w:t>
      </w:r>
      <w:r>
        <w:t xml:space="preserve">among years in which regulations were similar. For example, a sort requirement</w:t>
      </w:r>
      <w:r>
        <w:t xml:space="preserve"> </w:t>
      </w:r>
      <w:r>
        <w:t xml:space="preserve">for widow rockfish (S. entomelas) was initiated in 1983, which not only</w:t>
      </w:r>
      <w:r>
        <w:t xml:space="preserve"> </w:t>
      </w:r>
      <w:r>
        <w:t xml:space="preserve">affected the composition of the widow rockfish market category (269), but</w:t>
      </w:r>
      <w:r>
        <w:t xml:space="preserve"> </w:t>
      </w:r>
      <w:r>
        <w:t xml:space="preserve">also the composition of other categories, including the unspecified rockfish</w:t>
      </w:r>
      <w:r>
        <w:t xml:space="preserve"> </w:t>
      </w:r>
      <w:r>
        <w:t xml:space="preserve">market category (250). We model the first five years of available data</w:t>
      </w:r>
      <w:r>
        <w:t xml:space="preserve"> </w:t>
      </w:r>
      <w:r>
        <w:t xml:space="preserve">(1978-1982) independently from the years 1983-1990. In 1991, a sort</w:t>
      </w:r>
      <w:r>
        <w:t xml:space="preserve"> </w:t>
      </w:r>
      <w:r>
        <w:t xml:space="preserve">requirement for bocaccio rockfish (S. paucispinis) was enacted, which is known</w:t>
      </w:r>
      <w:r>
        <w:t xml:space="preserve"> </w:t>
      </w:r>
      <w:r>
        <w:t xml:space="preserve">to have affected the composition of other categories, including the</w:t>
      </w:r>
      <w:r>
        <w:t xml:space="preserve"> </w:t>
      </w:r>
      <w:r>
        <w:t xml:space="preserve">Chilipepper rockfish market category (254) and the Chilipepper/Bocaccio market</w:t>
      </w:r>
      <w:r>
        <w:t xml:space="preserve"> </w:t>
      </w:r>
      <w:r>
        <w:t xml:space="preserve">category (956).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 inverse gamma (IG) prior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Each of models M1-M6 are fit to data from 1978-1982 in market category 250, with</w:t>
      </w:r>
      <w:r>
        <w:t xml:space="preserve"> </w:t>
      </w: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guiding the use of model (M4) for the duration of the study.</w:t>
      </w:r>
    </w:p>
    <w:p>
      <w:pPr>
        <w:pStyle w:val="Heading2"/>
      </w:pPr>
      <w:bookmarkStart w:id="35" w:name="species-composition-prediction"/>
      <w:bookmarkEnd w:id="35"/>
      <w:r>
        <w:t xml:space="preserve">Species Composition Prediction</w:t>
      </w:r>
    </w:p>
    <w:p>
      <w:pPr>
        <w:pStyle w:val="FirstParagraph"/>
      </w:pPr>
      <w:r>
        <w:t xml:space="preserve">Bayesian inference of the above models gives access to the full posterior</w:t>
      </w:r>
      <w:r>
        <w:t xml:space="preserve"> </w:t>
      </w:r>
      <w:r>
        <w:t xml:space="preserve">distribution of all of the parameters of the model given the data. It is</w:t>
      </w:r>
      <w:r>
        <w:t xml:space="preserve"> </w:t>
      </w:r>
      <w:r>
        <w:t xml:space="preserve">useful to emphasize 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estimation;</w:t>
      </w:r>
      <w:r>
        <w:t xml:space="preserve"> </w:t>
      </w:r>
      <w:r>
        <w:t xml:space="preserve">required moments are simply obtained by computing the desired moments from the</w:t>
      </w:r>
      <w:r>
        <w:t xml:space="preserve"> </w:t>
      </w:r>
      <w:r>
        <w:t xml:space="preserve">posterior samples. Additionally, the fact that the parameters are full</w:t>
      </w:r>
      <w:r>
        <w:t xml:space="preserve"> </w:t>
      </w:r>
      <w:r>
        <w:t xml:space="preserve">distributions means that any functions of those parameters are themselves</w:t>
      </w:r>
      <w:r>
        <w:t xml:space="preserve"> </w:t>
      </w:r>
      <w:r>
        <w:t xml:space="preserve">random variables with the function representing a transformation of those</w:t>
      </w:r>
      <w:r>
        <w:t xml:space="preserve"> </w:t>
      </w:r>
      <w:r>
        <w:t xml:space="preserve">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For a particular market category,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predicted proportion of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6" w:name="expansion"/>
      <w:bookmarkEnd w:id="36"/>
      <w:r>
        <w:t xml:space="preserve">Expansion</w:t>
      </w:r>
    </w:p>
    <w:p>
      <w:pPr>
        <w:pStyle w:val="FirstParagraph"/>
      </w:pPr>
      <w:r>
        <w:t xml:space="preserve">For a particular market category, speciated landings simply amounts to the</w:t>
      </w:r>
      <w:r>
        <w:t xml:space="preserve"> </w:t>
      </w:r>
      <w:r>
        <w:t xml:space="preserve">multiplication of the known total landings (</w:t>
      </w:r>
      <m:oMath>
        <m:sSub>
          <m:e>
            <m:r>
              <m:rPr/>
              <m:t>λ</m:t>
            </m:r>
          </m:e>
          <m:sub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), reported on</w:t>
      </w:r>
      <w:r>
        <w:t xml:space="preserve"> </w:t>
      </w:r>
      <w:r>
        <w:t xml:space="preserve">landing receipts 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stratum, with the posterior predictive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 as follows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sSub>
            <m:e>
              <m:r>
                <m:rPr/>
                <m:t>λ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then the posterior predictive landings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 of a particular market category. Recall that</w:t>
      </w:r>
      <w:r>
        <w:t xml:space="preserve"> </w:t>
      </w:r>
      <w:r>
        <w:t xml:space="preserve">since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random variable, then so is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.</w:t>
      </w:r>
      <w:r>
        <w:t xml:space="preserve"> </w:t>
      </w:r>
      <w:r>
        <w:t xml:space="preserve">Computing the variance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simply amounts to computing</w:t>
      </w:r>
      <w:r>
        <w:t xml:space="preserve"> </w:t>
      </w:r>
      <w:r>
        <w:t xml:space="preserve">the variance of random draws from the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  <w:r>
        <w:t xml:space="preserve"> </w:t>
      </w:r>
      <w:r>
        <w:t xml:space="preserve">Furthermore, any level of aggregation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easily</w:t>
      </w:r>
      <w:r>
        <w:t xml:space="preserve"> </w:t>
      </w:r>
      <w:r>
        <w:t xml:space="preserve">obtained by summing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draws across the desired indices.</w:t>
      </w:r>
      <w:r>
        <w:t xml:space="preserve"> </w:t>
      </w:r>
      <w:r>
        <w:t xml:space="preserve">For example to obtain the distributions of yearly catch of Bocaccio in a</w:t>
      </w:r>
      <w:r>
        <w:t xml:space="preserve"> </w:t>
      </w:r>
      <w:r>
        <w:t xml:space="preserve">particular market category, one simply sets</w:t>
      </w:r>
      <w:r>
        <w:t xml:space="preserve"> </w:t>
      </w:r>
      <m:oMath>
        <m:r>
          <m:rPr/>
          <m:t>j</m:t>
        </m:r>
        <m:r>
          <m:rPr/>
          <m:t>=</m:t>
        </m:r>
        <m:r>
          <m:rPr/>
          <m:t>B</m:t>
        </m:r>
        <m:r>
          <m:rPr/>
          <m:t>C</m:t>
        </m:r>
        <m:r>
          <m:rPr/>
          <m:t>A</m:t>
        </m:r>
        <m:r>
          <m:rPr/>
          <m:t>C</m:t>
        </m:r>
      </m:oMath>
      <w:r>
        <w:t xml:space="preserve">, and computes the</w:t>
      </w:r>
      <w:r>
        <w:t xml:space="preserve"> </w:t>
      </w:r>
      <w:r>
        <w:t xml:space="preserve">following transformation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⋅</m:t>
              </m:r>
              <m:r>
                <m:rPr/>
                <m:t>⋅</m:t>
              </m:r>
              <m:r>
                <m:rPr/>
                <m:t>m</m:t>
              </m:r>
              <m:r>
                <m:rPr/>
                <m:t>⋅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nary>
                    <m:naryPr>
                      <m:chr m:val="∑"/>
                      <m:limLoc m:val="undOvr"/>
                      <m:subHide m:val="on"/>
                      <m:supHide m:val="off"/>
                    </m:naryPr>
                    <m:e>
                      <m:sSubSup>
                        <m:e>
                          <m:r>
                            <m:rPr/>
                            <m:t>λ</m:t>
                          </m:r>
                        </m:e>
                        <m:sub>
                          <m:r>
                            <m:rPr/>
                            <m:t>j</m:t>
                          </m:r>
                          <m:r>
                            <m:rPr/>
                            <m:t>k</m:t>
                          </m:r>
                          <m:r>
                            <m:rPr/>
                            <m:t>l</m:t>
                          </m:r>
                          <m:r>
                            <m:rPr/>
                            <m:t>m</m:t>
                          </m:r>
                          <m:r>
                            <m:rPr/>
                            <m:t>η</m:t>
                          </m:r>
                        </m:sub>
                        <m:sup>
                          <m:r>
                            <m:rPr/>
                            <m:t>*</m:t>
                          </m:r>
                        </m:sup>
                      </m:sSubSup>
                    </m:e>
                    <m:sub/>
                    <m:sup>
                      <m:r>
                        <m:rPr/>
                        <m:t>η</m:t>
                      </m:r>
                    </m:sup>
                  </m:nary>
                </m:e>
                <m:sub/>
                <m:sup>
                  <m:r>
                    <m:rPr/>
                    <m:t>l</m:t>
                  </m:r>
                </m:sup>
              </m:nary>
            </m:e>
            <m:sub/>
            <m:sup>
              <m:r>
                <m:rPr/>
                <m:t>k</m:t>
              </m:r>
            </m:sup>
          </m:nary>
        </m:oMath>
      </m:oMathPara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Distribution summaries such as quantiles, means, or variances may be computed</w:t>
      </w:r>
      <w:r>
        <w:t xml:space="preserve"> </w:t>
      </w:r>
      <w:r>
        <w:t xml:space="preserve">by computing those metrics from the random draws of the resulting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⋅</m:t>
            </m:r>
            <m:r>
              <m:rPr/>
              <m:t>⋅</m:t>
            </m:r>
            <m:r>
              <m:rPr/>
              <m:t>m</m:t>
            </m:r>
            <m:r>
              <m:rPr/>
              <m:t>⋅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strata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described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spatial structure, and complex behavior of, port complex parameters,</w:t>
      </w:r>
      <w:r>
        <w:t xml:space="preserve"> </w:t>
      </w:r>
      <w:r>
        <w:t xml:space="preserve">the typical zero mean hierarchical regularization priors are not appropriate</w:t>
      </w:r>
      <w:r>
        <w:t xml:space="preserve"> </w:t>
      </w:r>
      <w:r>
        <w:t xml:space="preserve">among port complexes. Pooling across spatial categorical parameters in this</w:t>
      </w:r>
      <w:r>
        <w:t xml:space="preserve"> </w:t>
      </w:r>
      <w:r>
        <w:t xml:space="preserve">setting requires the ability to pool port complex parameters back toward an</w:t>
      </w:r>
      <w:r>
        <w:t xml:space="preserve"> </w:t>
      </w:r>
      <w:r>
        <w:t xml:space="preserve">unknown number (</w:t>
      </w:r>
      <m:oMath>
        <m:r>
          <m:rPr/>
          <m:t>≤</m:t>
        </m:r>
        <m:r>
          <m:rPr/>
          <m:t>K</m:t>
        </m:r>
      </m:oMath>
      <w:r>
        <w:t xml:space="preserve">) of mean levels.</w:t>
      </w:r>
      <w:r>
        <w:t xml:space="preserve"> </w:t>
      </w:r>
      <w:r>
        <w:t xml:space="preserve"> </w:t>
      </w:r>
      <w:r>
        <w:t xml:space="preserve">Rather than hierarchically regularize port complex, we frame port complex</w:t>
      </w:r>
      <w:r>
        <w:t xml:space="preserve"> </w:t>
      </w:r>
      <w:r>
        <w:t xml:space="preserve">pooling as a model uncertainty problem, in which we consider some degree of</w:t>
      </w:r>
      <w:r>
        <w:t xml:space="preserve"> </w:t>
      </w:r>
      <w:r>
        <w:t xml:space="preserve">full pooling among port complex, but the exact degree of pooling, and the particular</w:t>
      </w:r>
      <w:r>
        <w:t xml:space="preserve"> </w:t>
      </w:r>
      <w:r>
        <w:t xml:space="preserve">partitioning of the pooled port complexes are not 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well-defined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it is likely reasonable to pool</w:t>
      </w:r>
      <w:r>
        <w:t xml:space="preserve"> </w:t>
      </w:r>
      <w:r>
        <w:t xml:space="preserve">only among adjacent ports (i.e. no discontinuities between port complex</w:t>
      </w:r>
      <w:r>
        <w:t xml:space="preserve"> </w:t>
      </w:r>
      <w:r>
        <w:t xml:space="preserve">pooling in space) due to species distributions and the presence of</w:t>
      </w:r>
      <w:r>
        <w:t xml:space="preserve"> </w:t>
      </w:r>
      <w:r>
        <w:t xml:space="preserve">biogeographical provinces, and it may be similarly reasonable to assert that</w:t>
      </w:r>
      <w:r>
        <w:t xml:space="preserve"> </w:t>
      </w:r>
      <w:r>
        <w:t xml:space="preserve">similar 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</w:t>
      </w:r>
      <w:r>
        <w:t xml:space="preserve"> </w:t>
      </w:r>
      <w:r>
        <w:t xml:space="preserve">allows for a concrete comparison of the relative predictive accuracy of each</w:t>
      </w:r>
      <w:r>
        <w:t xml:space="preserve"> </w:t>
      </w:r>
      <w:r>
        <w:t xml:space="preserve">partitioning. Additionally the partitioned models provide a set of candidate</w:t>
      </w:r>
      <w:r>
        <w:t xml:space="preserve"> </w:t>
      </w:r>
      <w:r>
        <w:t xml:space="preserve">models for use in Bayesian Model Averaging (BMA) (Hoeting et al., 1999). BMA,</w:t>
      </w:r>
      <w:r>
        <w:t xml:space="preserve"> </w:t>
      </w:r>
      <w:r>
        <w:t xml:space="preserve">as applied here, allows the model exploration strategy to average models</w:t>
      </w:r>
      <w:r>
        <w:t xml:space="preserve"> </w:t>
      </w:r>
      <w:r>
        <w:t xml:space="preserve">across all potentially relevant partitions of the port complexes, so as to add</w:t>
      </w:r>
      <w:r>
        <w:t xml:space="preserve"> </w:t>
      </w:r>
      <w:r>
        <w:t xml:space="preserve">robustness to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FirstParagraph"/>
      </w:pPr>
      <w:r>
        <w:drawing>
          <wp:inline>
            <wp:extent cx="5334000" cy="330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C_summary_table_par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898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C_summary_table_par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haracteristics-of-the-landings-data"/>
      <w:bookmarkEnd w:id="41"/>
      <w:r>
        <w:t xml:space="preserve">Characteristics of the Landings Data</w:t>
      </w:r>
    </w:p>
    <w:p>
      <w:pPr>
        <w:pStyle w:val="FirstParagraph"/>
      </w:pPr>
      <w:r>
        <w:t xml:space="preserve">In the two time periods examined here, Figures (bar78) and (bar83) show how</w:t>
      </w:r>
      <w:r>
        <w:t xml:space="preserve"> </w:t>
      </w:r>
      <w:r>
        <w:t xml:space="preserve">commercial port sampling effort tracks both total landed weight as well as the</w:t>
      </w:r>
      <w:r>
        <w:t xml:space="preserve"> </w:t>
      </w:r>
      <w:r>
        <w:t xml:space="preserve">number of species in each market category. Comparable figures for the periods</w:t>
      </w:r>
      <w:r>
        <w:t xml:space="preserve"> </w:t>
      </w:r>
      <w:r>
        <w:t xml:space="preserve">1991-1999 and 2000-2015 are provided in Appendix (bars), although we have not yet</w:t>
      </w:r>
      <w:r>
        <w:t xml:space="preserve"> </w:t>
      </w:r>
      <w:r>
        <w:t xml:space="preserve">completed modeling for these time periods. It is important to notice that since</w:t>
      </w:r>
      <w:r>
        <w:t xml:space="preserve"> </w:t>
      </w:r>
      <w:r>
        <w:t xml:space="preserve">port sampling effort prioritizes heavily landed market categories, and our</w:t>
      </w:r>
      <w:r>
        <w:t xml:space="preserve"> </w:t>
      </w:r>
      <w:r>
        <w:t xml:space="preserve">model is only fit to market categories with more data than parameters, then</w:t>
      </w:r>
      <w:r>
        <w:t xml:space="preserve"> </w:t>
      </w:r>
      <w:r>
        <w:t xml:space="preserve">market categories left with too few samples to fit our model tend to be less</w:t>
      </w:r>
      <w:r>
        <w:t xml:space="preserve"> </w:t>
      </w:r>
      <w:r>
        <w:t xml:space="preserve">landed. Thus our model is applied to a relatively large proportion of the landings</w:t>
      </w:r>
      <w:r>
        <w:t xml:space="preserve"> </w:t>
      </w:r>
      <w:r>
        <w:t xml:space="preserve">and nominal speciation occurs for a relatively negligible proportion of total</w:t>
      </w:r>
      <w:r>
        <w:t xml:space="preserve"> </w:t>
      </w:r>
      <w:r>
        <w:t xml:space="preserve">landings. Applying the sample size heuristic to determine which market categories</w:t>
      </w:r>
      <w:r>
        <w:t xml:space="preserve"> </w:t>
      </w:r>
      <w:r>
        <w:t xml:space="preserve">are expended by our model results in 96.8% of landed weight being expanded via</w:t>
      </w:r>
      <w:r>
        <w:t xml:space="preserve"> </w:t>
      </w:r>
      <w:r>
        <w:t xml:space="preserve">our model in the 1978-1982 time and 98.3% of landed weight expanded by our model</w:t>
      </w:r>
      <w:r>
        <w:t xml:space="preserve"> </w:t>
      </w:r>
      <w:r>
        <w:t xml:space="preserve">in 1983-1990.</w:t>
      </w:r>
      <w:r>
        <w:t xml:space="preserve"> </w:t>
      </w:r>
    </w:p>
    <w:p>
      <w:pPr>
        <w:pStyle w:val="BodyText"/>
      </w:pPr>
      <w:r>
        <w:t xml:space="preserve">The lower panels of Figures (bar78) and (bar83) demonstrate just how many</w:t>
      </w:r>
      <w:r>
        <w:t xml:space="preserve"> </w:t>
      </w:r>
      <w:r>
        <w:t xml:space="preserve">different species are landed into commercially relevant market categories.</w:t>
      </w:r>
      <w:r>
        <w:t xml:space="preserve"> </w:t>
      </w:r>
      <w:r>
        <w:t xml:space="preserve">Although market categories often carry names that label them with a nominal</w:t>
      </w:r>
      <w:r>
        <w:t xml:space="preserve"> </w:t>
      </w:r>
      <w:r>
        <w:t xml:space="preserve">species, Figure (bar78) makes it abundantly clear that these names can mislead</w:t>
      </w:r>
      <w:r>
        <w:t xml:space="preserve"> </w:t>
      </w:r>
      <w:r>
        <w:t xml:space="preserve">our thinking about the purity, and consistency, of these categories through time.</w:t>
      </w:r>
      <w:r>
        <w:t xml:space="preserve"> </w:t>
      </w:r>
      <w:r>
        <w:t xml:space="preserve">To drive this point, consider the sampled species in market category 267 in</w:t>
      </w:r>
      <w:r>
        <w:t xml:space="preserve"> </w:t>
      </w:r>
      <w:r>
        <w:t xml:space="preserve">1978-1982. The nominal label for market category 267 is Brown Rockfish, while</w:t>
      </w:r>
      <w:r>
        <w:t xml:space="preserve"> </w:t>
      </w:r>
      <w:r>
        <w:t xml:space="preserve">Brown Rockfish only amounts to a small fraction of that category in 1978-1982.</w:t>
      </w:r>
      <w:r>
        <w:t xml:space="preserve"> </w:t>
      </w:r>
      <w:r>
        <w:t xml:space="preserve">In fact, only 6.3% of the sampled weight in 1978-1982 consisted of Brown</w:t>
      </w:r>
      <w:r>
        <w:t xml:space="preserve"> </w:t>
      </w:r>
      <w:r>
        <w:t xml:space="preserve">Rockfish. In 1978-1982 market category 267 might be better named Widow</w:t>
      </w:r>
      <w:r>
        <w:t xml:space="preserve"> </w:t>
      </w:r>
      <w:r>
        <w:t xml:space="preserve">Rockfish as Widow amounts to 92.6% of sampled weight in this time period,</w:t>
      </w:r>
      <w:r>
        <w:t xml:space="preserve"> </w:t>
      </w:r>
      <w:r>
        <w:t xml:space="preserve">however market category 267 is composed of 99.6% Brown and 0% Widow in recent</w:t>
      </w:r>
      <w:r>
        <w:t xml:space="preserve"> </w:t>
      </w:r>
      <w:r>
        <w:t xml:space="preserve">time periods (see Appendix X Figure (bars)).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00400" cy="688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predictor-and-prior-selection"/>
      <w:bookmarkEnd w:id="45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2558.56</w:t>
            </w:r>
          </w:p>
        </w:tc>
        <w:tc>
          <w:p>
            <w:pPr>
              <w:pStyle w:val="Compact"/>
              <w:jc w:val="center"/>
            </w:pPr>
            <w:r>
              <w:t xml:space="preserve">2259.94</w:t>
            </w:r>
          </w:p>
        </w:tc>
        <w:tc>
          <w:p>
            <w:pPr>
              <w:pStyle w:val="Compact"/>
              <w:jc w:val="center"/>
            </w:pPr>
            <w:r>
              <w:t xml:space="preserve">2013.21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2175.32</w:t>
            </w:r>
          </w:p>
        </w:tc>
        <w:tc>
          <w:p>
            <w:pPr>
              <w:pStyle w:val="Compact"/>
              <w:jc w:val="center"/>
            </w:pPr>
            <w:r>
              <w:t xml:space="preserve">2174.71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2562.65</w:t>
            </w:r>
          </w:p>
        </w:tc>
        <w:tc>
          <w:p>
            <w:pPr>
              <w:pStyle w:val="Compact"/>
              <w:jc w:val="center"/>
            </w:pPr>
            <w:r>
              <w:t xml:space="preserve">2263.58</w:t>
            </w:r>
          </w:p>
        </w:tc>
        <w:tc>
          <w:p>
            <w:pPr>
              <w:pStyle w:val="Compact"/>
              <w:jc w:val="center"/>
            </w:pPr>
            <w:r>
              <w:t xml:space="preserve">2009.32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2171.18</w:t>
            </w:r>
          </w:p>
        </w:tc>
        <w:tc>
          <w:p>
            <w:pPr>
              <w:pStyle w:val="Compact"/>
              <w:jc w:val="center"/>
            </w:pPr>
            <w:r>
              <w:t xml:space="preserve">2170.56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result of fitting models M1-M6 to data from</w:t>
      </w:r>
      <w:r>
        <w:t xml:space="preserve"> </w:t>
      </w:r>
      <w:r>
        <w:t xml:space="preserve">1978-1982 in market category 250. Recall models M1-M6 differ in the structure</w:t>
      </w:r>
      <w:r>
        <w:t xml:space="preserve"> </w:t>
      </w:r>
      <w:r>
        <w:t xml:space="preserve">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shows the</w:t>
      </w:r>
      <w:r>
        <w:t xml:space="preserve"> </w:t>
      </w:r>
      <w:r>
        <w:t xml:space="preserve">relative support for those model structures.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It is worth mentioning that among all</w:t>
      </w:r>
      <w:r>
        <w:t xml:space="preserve"> </w:t>
      </w:r>
      <w:r>
        <w:t xml:space="preserve">of the models considered here, (M4) offers the largest potential for</w:t>
      </w:r>
      <w:r>
        <w:t xml:space="preserve"> </w:t>
      </w:r>
      <w:r>
        <w:t xml:space="preserve">hierarchical partial pooling among the time parameters. Model M4 represents a</w:t>
      </w:r>
      <w:r>
        <w:t xml:space="preserve"> </w:t>
      </w:r>
      <w:r>
        <w:t xml:space="preserve">model with maximal potential for pooling through time, while still maintain the</w:t>
      </w:r>
      <w:r>
        <w:t xml:space="preserve"> </w:t>
      </w:r>
      <w:r>
        <w:t xml:space="preserve">ability to model differences in seasonality from year to year.</w:t>
      </w:r>
    </w:p>
    <w:p>
      <w:pPr>
        <w:pStyle w:val="Heading2"/>
      </w:pPr>
      <w:bookmarkStart w:id="46" w:name="model-exploration-averaging-1"/>
      <w:bookmarkEnd w:id="46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selection: 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</w:t>
      </w:r>
      <w:r>
        <w:t xml:space="preserve"> </w:t>
      </w:r>
      <w:r>
        <w:t xml:space="preserve">(first column,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0.32</m:t>
        </m:r>
      </m:oMath>
      <w:r>
        <w:t xml:space="preserve">) gives distinct parameters to CRS and ERK, while</w:t>
      </w:r>
      <w:r>
        <w:t xml:space="preserve"> </w:t>
      </w:r>
      <w:r>
        <w:t xml:space="preserve">pooling BRG/BDG, OSF/MNT/MRO, and OSB/OLA/OSD. This model uses five parameters</w:t>
      </w:r>
      <w:r>
        <w:t xml:space="preserve"> </w:t>
      </w:r>
      <w:r>
        <w:t xml:space="preserve">to model the ten ports complexes in California. Given the set of candidate</w:t>
      </w:r>
      <w:r>
        <w:t xml:space="preserve"> </w:t>
      </w:r>
      <w:r>
        <w:t xml:space="preserve">models explained above, the BMA procedure weights this model at approximately</w:t>
      </w:r>
      <w:r>
        <w:t xml:space="preserve"> </w:t>
      </w:r>
      <w:r>
        <w:t xml:space="preserve">32% of the truth. Notice that the only difference among the top four models is</w:t>
      </w:r>
      <w:r>
        <w:t xml:space="preserve"> </w:t>
      </w:r>
      <w:r>
        <w:t xml:space="preserve">in how the port complexes south of Point Conception are handled. In fact, the</w:t>
      </w:r>
      <w:r>
        <w:t xml:space="preserve"> </w:t>
      </w:r>
      <w:r>
        <w:t xml:space="preserve">seven northerly port complexes are identically partitioned in the top four</w:t>
      </w:r>
      <w:r>
        <w:t xml:space="preserve"> </w:t>
      </w:r>
      <w:r>
        <w:t xml:space="preserve">models, which also represent all of the possible partitionings of the</w:t>
      </w:r>
      <w:r>
        <w:t xml:space="preserve"> </w:t>
      </w:r>
      <w:r>
        <w:t xml:space="preserve">southern three port complexes.</w:t>
      </w:r>
    </w:p>
    <w:p>
      <w:pPr>
        <w:pStyle w:val="BodyText"/>
      </w:pPr>
      <w:r>
        <w:t xml:space="preserve">In this modeled period it is known that no species composition sampling was</w:t>
      </w:r>
      <w:r>
        <w:t xml:space="preserve"> </w:t>
      </w:r>
      <w:r>
        <w:t xml:space="preserve">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it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Considering how the top four model configurations share identical structure</w:t>
      </w:r>
      <w:r>
        <w:t xml:space="preserve"> </w:t>
      </w:r>
      <w:r>
        <w:t xml:space="preserve">in the seven northerly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Heading2"/>
      </w:pPr>
      <w:bookmarkStart w:id="48" w:name="prediction"/>
      <w:bookmarkEnd w:id="48"/>
      <w:r>
        <w:t xml:space="preserve">Prediction</w:t>
      </w:r>
    </w:p>
    <w:p>
      <w:pPr>
        <w:pStyle w:val="FirstParagraph"/>
      </w:pPr>
      <w:r>
        <w:t xml:space="preserve">Repeatedly fitting model (M4) across port complex configurations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We evaluate species composition posterior predictive distributions via HDI at</w:t>
      </w:r>
      <w:r>
        <w:t xml:space="preserve"> </w:t>
      </w:r>
      <w:r>
        <w:t xml:space="preserve">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</w:t>
      </w:r>
      <w:r>
        <w:t xml:space="preserve"> </w:t>
      </w:r>
      <w:r>
        <w:t xml:space="preserve">each modeled period. For example, observed species compositions for market</w:t>
      </w:r>
      <w:r>
        <w:t xml:space="preserve"> </w:t>
      </w:r>
      <w:r>
        <w:t xml:space="preserve">category 250 in the 1978-1982 time period fell within the 68% HDI of the</w:t>
      </w:r>
      <w:r>
        <w:t xml:space="preserve"> </w:t>
      </w:r>
      <w:r>
        <w:t xml:space="preserve">posterior predictive distribution 67.1% of the time (Table X).</w:t>
      </w:r>
    </w:p>
    <w:p>
      <w:pPr>
        <w:pStyle w:val="Heading3"/>
      </w:pPr>
      <w:bookmarkStart w:id="49" w:name="section"/>
      <w:bookmarkEnd w:id="49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50" w:name="section-1"/>
      <w:bookmarkEnd w:id="50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Heading2"/>
      </w:pPr>
      <w:bookmarkStart w:id="51" w:name="nuisance-parameters"/>
      <w:bookmarkEnd w:id="51"/>
      <w:r>
        <w:t xml:space="preserve">Nuisance Parameters</w:t>
      </w:r>
    </w:p>
    <w:p>
      <w:pPr>
        <w:pStyle w:val="Heading3"/>
      </w:pPr>
      <w:bookmarkStart w:id="52" w:name="section-2"/>
      <w:bookmarkEnd w:id="52"/>
      <w:r>
        <w:t xml:space="preserve">78-82</w:t>
      </w:r>
    </w:p>
    <w:p>
      <w:pPr>
        <w:pStyle w:val="Heading4"/>
      </w:pPr>
      <w:bookmarkStart w:id="53" w:name="rho"/>
      <w:bookmarkEnd w:id="53"/>
      <m:oMath>
        <m:r>
          <m:rPr/>
          <m:t>ρ</m:t>
        </m:r>
      </m:oMath>
    </w:p>
    <w:p>
      <w:pPr>
        <w:pStyle w:val="Heading4"/>
      </w:pPr>
      <w:bookmarkStart w:id="54" w:name="v"/>
      <w:bookmarkEnd w:id="54"/>
      <m:oMath>
        <m:r>
          <m:rPr/>
          <m:t>v</m:t>
        </m:r>
      </m:oMath>
    </w:p>
    <w:p>
      <w:pPr>
        <w:pStyle w:val="Heading3"/>
      </w:pPr>
      <w:bookmarkStart w:id="55" w:name="section-3"/>
      <w:bookmarkEnd w:id="55"/>
      <w:r>
        <w:t xml:space="preserve">83-90</w:t>
      </w:r>
    </w:p>
    <w:p>
      <w:pPr>
        <w:pStyle w:val="Heading4"/>
      </w:pPr>
      <w:bookmarkStart w:id="56" w:name="rho-1"/>
      <w:bookmarkEnd w:id="56"/>
      <m:oMath>
        <m:r>
          <m:rPr/>
          <m:t>ρ</m:t>
        </m:r>
      </m:oMath>
    </w:p>
    <w:p>
      <w:pPr>
        <w:pStyle w:val="Compact"/>
        <w:numPr>
          <w:numId w:val="1003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3"/>
          <w:ilvl w:val="0"/>
        </w:numPr>
      </w:pPr>
      <w:r>
        <w:t xml:space="preserve">lower rho might predict more appropriately?</w:t>
      </w:r>
    </w:p>
    <w:p>
      <w:pPr>
        <w:pStyle w:val="Heading4"/>
      </w:pPr>
      <w:bookmarkStart w:id="57" w:name="v-1"/>
      <w:bookmarkEnd w:id="57"/>
      <m:oMath>
        <m:r>
          <m:rPr/>
          <m:t>v</m:t>
        </m:r>
      </m:oMath>
    </w:p>
    <w:p>
      <w:pPr>
        <w:pStyle w:val="Compact"/>
        <w:numPr>
          <w:numId w:val="1004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4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4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58" w:name="discussion"/>
      <w:bookmarkEnd w:id="58"/>
      <w:r>
        <w:t xml:space="preserve">Discussion</w:t>
      </w:r>
    </w:p>
    <w:p>
      <w:pPr>
        <w:pStyle w:val="Heading2"/>
      </w:pPr>
      <w:bookmarkStart w:id="59" w:name="modeling"/>
      <w:bookmarkEnd w:id="59"/>
      <w:r>
        <w:t xml:space="preserve">Modeling</w:t>
      </w:r>
    </w:p>
    <w:p>
      <w:pPr>
        <w:pStyle w:val="FirstParagraph"/>
      </w:pPr>
      <w:r>
        <w:t xml:space="preserve">Models that can incorporate catch uncertainty are not new (c.f. Doubleday</w:t>
      </w:r>
      <w:r>
        <w:t xml:space="preserve"> </w:t>
      </w:r>
      <w:r>
        <w:t xml:space="preserve">1976), but estimates of uncertainty in commercial landings are rarely made</w:t>
      </w:r>
      <w:r>
        <w:t xml:space="preserve"> </w:t>
      </w:r>
      <w:r>
        <w:t xml:space="preserve">available, at least on the U.S. West Coast. Previous research has focused on</w:t>
      </w:r>
      <w:r>
        <w:t xml:space="preserve"> </w:t>
      </w:r>
      <w:r>
        <w:t xml:space="preserve">discarded and biased (under- or over-reported) catch. Bousquet et al. (2010)</w:t>
      </w:r>
      <w:r>
        <w:t xml:space="preserve"> </w:t>
      </w:r>
      <w:r>
        <w:t xml:space="preserve">developed a model-based framework for estimation of catch and associated</w:t>
      </w:r>
      <w:r>
        <w:t xml:space="preserve"> </w:t>
      </w:r>
      <w:r>
        <w:t xml:space="preserve">uncertainty when underreporting is an issue. Their results included a</w:t>
      </w:r>
      <w:r>
        <w:t xml:space="preserve"> </w:t>
      </w:r>
      <w:r>
        <w:t xml:space="preserve">reduction in precision of management quantities.</w:t>
      </w:r>
    </w:p>
    <w:p>
      <w:pPr>
        <w:pStyle w:val="BodyText"/>
      </w:pPr>
      <w:r>
        <w:t xml:space="preserve">The model based statistical framework allows tremendous flexibility in</w:t>
      </w:r>
      <w:r>
        <w:t xml:space="preserve"> </w:t>
      </w:r>
      <w:r>
        <w:t xml:space="preserve">accounting for a dynamic port sampling program. Market forces, regulation</w:t>
      </w:r>
      <w:r>
        <w:t xml:space="preserve"> </w:t>
      </w:r>
      <w:r>
        <w:t xml:space="preserve">changes, and fisherman behavior are a few factors, among the many, which</w:t>
      </w:r>
      <w:r>
        <w:t xml:space="preserve"> </w:t>
      </w:r>
      <w:r>
        <w:t xml:space="preserve">complicate the task of speciating commercial catch. Unlike a purely</w:t>
      </w:r>
      <w:r>
        <w:t xml:space="preserve"> </w:t>
      </w:r>
      <w:r>
        <w:t xml:space="preserve">sample-based statistical framework, model based statistics allows analysts to</w:t>
      </w:r>
      <w:r>
        <w:t xml:space="preserve"> </w:t>
      </w:r>
      <w:r>
        <w:t xml:space="preserve">quickly explore a wide range of hypotheses for estimating species compositions.</w:t>
      </w:r>
      <w:r>
        <w:t xml:space="preserve"> </w:t>
      </w:r>
      <w:r>
        <w:t xml:space="preserve">The models entertained here manage to achieve generally well behaved predictive</w:t>
      </w:r>
      <w:r>
        <w:t xml:space="preserve"> </w:t>
      </w:r>
      <w:r>
        <w:t xml:space="preserve">accuracy (Tables pred78 and pred 83), however these models are by no means</w:t>
      </w:r>
      <w:r>
        <w:t xml:space="preserve"> </w:t>
      </w:r>
      <w:r>
        <w:t xml:space="preserve">perfect. The models presented here simply offer a few fundamental improvements toward</w:t>
      </w:r>
      <w:r>
        <w:t xml:space="preserve"> </w:t>
      </w:r>
      <w:r>
        <w:t xml:space="preserve">estimating species compositions.</w:t>
      </w:r>
    </w:p>
    <w:p>
      <w:pPr>
        <w:pStyle w:val="BodyText"/>
      </w:pPr>
      <w:r>
        <w:t xml:space="preserve">Among the largest structural changes improving from the Bayesian methodology</w:t>
      </w:r>
      <w:r>
        <w:t xml:space="preserve"> </w:t>
      </w:r>
      <w:r>
        <w:t xml:space="preserve">in Shelton et. al. (2012) is the recognition of overdispersion in port sampling</w:t>
      </w:r>
      <w:r>
        <w:t xml:space="preserve"> </w:t>
      </w:r>
      <w:r>
        <w:t xml:space="preserve">data. In the absence of highly predictive covariariates, modeling overdispersion</w:t>
      </w:r>
      <w:r>
        <w:t xml:space="preserve"> </w:t>
      </w:r>
      <w:r>
        <w:t xml:space="preserve">in port sampling data remains an important modeling consideration. Moving</w:t>
      </w:r>
      <w:r>
        <w:t xml:space="preserve"> </w:t>
      </w:r>
      <w:r>
        <w:t xml:space="preserve">forward, modeling decisions will require a careful consideration of</w:t>
      </w:r>
      <w:r>
        <w:t xml:space="preserve"> </w:t>
      </w:r>
      <w:r>
        <w:t xml:space="preserve">predictive accuracy and bias/variance trade-off, so as to tease better and</w:t>
      </w:r>
      <w:r>
        <w:t xml:space="preserve"> </w:t>
      </w:r>
      <w:r>
        <w:t xml:space="preserve">better performance out of further models. The models presented here offer a</w:t>
      </w:r>
      <w:r>
        <w:t xml:space="preserve"> </w:t>
      </w:r>
      <w:r>
        <w:t xml:space="preserve">great operational starting point and provide a basic framework for further</w:t>
      </w:r>
      <w:r>
        <w:t xml:space="preserve"> </w:t>
      </w:r>
      <w:r>
        <w:t xml:space="preserve">model exploration.</w:t>
      </w:r>
    </w:p>
    <w:p>
      <w:pPr>
        <w:pStyle w:val="BodyText"/>
      </w:pPr>
      <w:r>
        <w:t xml:space="preserve">The Bayesian models presented here provide easy access to estimates of uncertainty</w:t>
      </w:r>
      <w:r>
        <w:t xml:space="preserve"> </w:t>
      </w:r>
      <w:r>
        <w:t xml:space="preserve">in commercial catch, at any aggregation of the stratification system.</w:t>
      </w:r>
      <w:r>
        <w:t xml:space="preserve"> </w:t>
      </w:r>
      <w:r>
        <w:t xml:space="preserve">Making posterior predictive draws from these models widely available, allows scientists</w:t>
      </w:r>
      <w:r>
        <w:t xml:space="preserve"> </w:t>
      </w:r>
      <w:r>
        <w:t xml:space="preserve">the flexibility to easily compute whichever derived distributions or distributional</w:t>
      </w:r>
      <w:r>
        <w:t xml:space="preserve"> </w:t>
      </w:r>
      <w:r>
        <w:t xml:space="preserve">summaries that follow from this general modeling approach.</w:t>
      </w:r>
    </w:p>
    <w:p>
      <w:pPr>
        <w:pStyle w:val="Heading2"/>
      </w:pPr>
      <w:bookmarkStart w:id="60" w:name="data-1"/>
      <w:bookmarkEnd w:id="60"/>
      <w:r>
        <w:t xml:space="preserve">Data</w:t>
      </w:r>
    </w:p>
    <w:p>
      <w:pPr>
        <w:pStyle w:val="FirstParagraph"/>
      </w:pPr>
      <w:r>
        <w:t xml:space="preserve">Due to observed trends in the sampling of more heavily landed, or specious, market</w:t>
      </w:r>
      <w:r>
        <w:t xml:space="preserve"> </w:t>
      </w:r>
      <w:r>
        <w:t xml:space="preserve">categories, the vast majority of commercial landings from 1978-1990 are able to be</w:t>
      </w:r>
      <w:r>
        <w:t xml:space="preserve"> </w:t>
      </w:r>
      <w:r>
        <w:t xml:space="preserve">expanded by our model. Moving into the modern era, regulation changes including the</w:t>
      </w:r>
      <w:r>
        <w:t xml:space="preserve"> </w:t>
      </w:r>
      <w:r>
        <w:t xml:space="preserve">start of the live fish fishery, and the proliferation in the number of market</w:t>
      </w:r>
      <w:r>
        <w:t xml:space="preserve"> </w:t>
      </w:r>
      <w:r>
        <w:t xml:space="preserve">categories, due to mandatory sort requirements, may challenge species composition</w:t>
      </w:r>
      <w:r>
        <w:t xml:space="preserve"> </w:t>
      </w:r>
      <w:r>
        <w:t xml:space="preserve">estimation. However, due to the increased number of strata that these changes</w:t>
      </w:r>
      <w:r>
        <w:t xml:space="preserve"> </w:t>
      </w:r>
      <w:r>
        <w:t xml:space="preserve">introduce, uncertainty estimation for these time periods will prove to be</w:t>
      </w:r>
      <w:r>
        <w:t xml:space="preserve"> </w:t>
      </w:r>
      <w:r>
        <w:t xml:space="preserve">critical. Without a matched increase in sampling effort, alongside increased</w:t>
      </w:r>
      <w:r>
        <w:t xml:space="preserve"> </w:t>
      </w:r>
      <w:r>
        <w:t xml:space="preserve">stratification, the number of samples per stratum falls dramatically and</w:t>
      </w:r>
      <w:r>
        <w:t xml:space="preserve"> </w:t>
      </w:r>
      <w:r>
        <w:t xml:space="preserve">species composition estimation may well become very uncertain.</w:t>
      </w:r>
    </w:p>
    <w:p>
      <w:pPr>
        <w:pStyle w:val="BodyText"/>
      </w:pPr>
      <w:r>
        <w:t xml:space="preserve">Given a data sparse setting, model-based strategies of catch estimation provide</w:t>
      </w:r>
      <w:r>
        <w:t xml:space="preserve"> </w:t>
      </w:r>
      <w:r>
        <w:t xml:space="preserve">the best chance of a full statistical treatment of available data. However,</w:t>
      </w:r>
      <w:r>
        <w:t xml:space="preserve"> </w:t>
      </w:r>
      <w:r>
        <w:t xml:space="preserve">a more informed path forward involves either increasing sampling effort, or a</w:t>
      </w:r>
      <w:r>
        <w:t xml:space="preserve"> </w:t>
      </w:r>
      <w:r>
        <w:t xml:space="preserve">simplification of the stratification system. Either of these changes provide</w:t>
      </w:r>
      <w:r>
        <w:t xml:space="preserve"> </w:t>
      </w:r>
      <w:r>
        <w:t xml:space="preserve">models with more data to better infer parameters. Model flexibility and</w:t>
      </w:r>
      <w:r>
        <w:t xml:space="preserve"> </w:t>
      </w:r>
      <w:r>
        <w:t xml:space="preserve">justifiable stratum pooling strategies, will become vital for modeling</w:t>
      </w:r>
      <w:r>
        <w:t xml:space="preserve"> </w:t>
      </w:r>
      <w:r>
        <w:t xml:space="preserve">data-sparse time periods. Although estimates are likely estimable in these</w:t>
      </w:r>
      <w:r>
        <w:t xml:space="preserve"> </w:t>
      </w:r>
      <w:r>
        <w:t xml:space="preserve">sparse time periods, as pooling strategies become more extreme, model fit will</w:t>
      </w:r>
      <w:r>
        <w:t xml:space="preserve"> </w:t>
      </w:r>
      <w:r>
        <w:t xml:space="preserve">suffer as both bias and variance estimates increase.</w:t>
      </w:r>
    </w:p>
    <w:p>
      <w:pPr>
        <w:pStyle w:val="Heading2"/>
      </w:pPr>
      <w:bookmarkStart w:id="61" w:name="future-effort"/>
      <w:bookmarkEnd w:id="61"/>
      <w:r>
        <w:t xml:space="preserve">Future Effort</w:t>
      </w:r>
    </w:p>
    <w:p>
      <w:pPr>
        <w:pStyle w:val="FirstParagraph"/>
      </w:pPr>
      <w:r>
        <w:t xml:space="preserve">Future effort in developing models should include an exploration of the effect</w:t>
      </w:r>
      <w:r>
        <w:t xml:space="preserve"> </w:t>
      </w:r>
      <w:r>
        <w:t xml:space="preserve">of preferential sampling toward heavily landed stratum. The model-based</w:t>
      </w:r>
      <w:r>
        <w:t xml:space="preserve"> </w:t>
      </w:r>
      <w:r>
        <w:t xml:space="preserve">approach makes testing this hypothesis straight-forward, as the hypothesis may</w:t>
      </w:r>
      <w:r>
        <w:t xml:space="preserve"> </w:t>
      </w:r>
      <w:r>
        <w:t xml:space="preserve">amount to the inclusion of a single slope parameter, in the linear</w:t>
      </w:r>
      <w:r>
        <w:t xml:space="preserve"> </w:t>
      </w:r>
      <w:r>
        <w:t xml:space="preserve">predictor, regressing on landing size. Given the current model's agreement</w:t>
      </w:r>
      <w:r>
        <w:t xml:space="preserve"> </w:t>
      </w:r>
      <w:r>
        <w:t xml:space="preserve">with existing data, ?as well as comlands estimates?, it is unlikely that landing</w:t>
      </w:r>
      <w:r>
        <w:t xml:space="preserve"> </w:t>
      </w:r>
      <w:r>
        <w:t xml:space="preserve">size has an important predictive effect on estimates, however without testing</w:t>
      </w:r>
      <w:r>
        <w:t xml:space="preserve"> </w:t>
      </w:r>
      <w:r>
        <w:t xml:space="preserve">the hypothesis, we can not say whether the effect will prove to be</w:t>
      </w:r>
      <w:r>
        <w:t xml:space="preserve"> </w:t>
      </w:r>
      <w:r>
        <w:t xml:space="preserve">explanatory.</w:t>
      </w:r>
    </w:p>
    <w:p>
      <w:pPr>
        <w:pStyle w:val="BodyText"/>
      </w:pPr>
      <w:r>
        <w:t xml:space="preserve">In an attempt to add further flexibility to the models presented here, exploring</w:t>
      </w:r>
      <w:r>
        <w:t xml:space="preserve"> </w:t>
      </w:r>
      <w:r>
        <w:t xml:space="preserve">the posibilty of gear-species interactions, as random effects, may prove fruitful.</w:t>
      </w:r>
      <w:r>
        <w:t xml:space="preserve"> </w:t>
      </w:r>
      <w:r>
        <w:t xml:space="preserve">Furthermore the inclusion of random vessel effects may also find support.</w:t>
      </w:r>
    </w:p>
    <w:p>
      <w:pPr>
        <w:pStyle w:val="BodyText"/>
      </w:pPr>
      <w:r>
        <w:t xml:space="preserve">Finally, further large changes to the methods proposed here might include a</w:t>
      </w:r>
      <w:r>
        <w:t xml:space="preserve"> </w:t>
      </w:r>
      <w:r>
        <w:t xml:space="preserve">true multivariate handling of the likelihood. The Beta-Binomial univariate</w:t>
      </w:r>
      <w:r>
        <w:t xml:space="preserve"> </w:t>
      </w:r>
      <w:r>
        <w:t xml:space="preserve">model, used here, suggests that the multivariate Dirichelet-Multinomial</w:t>
      </w:r>
      <w:r>
        <w:t xml:space="preserve"> </w:t>
      </w:r>
      <w:r>
        <w:t xml:space="preserve">extension might be a good model for these data. We have yet to get these</w:t>
      </w:r>
      <w:r>
        <w:t xml:space="preserve"> </w:t>
      </w:r>
      <w:r>
        <w:t xml:space="preserve">models to practically compute, although they would likely impose much needed,</w:t>
      </w:r>
      <w:r>
        <w:t xml:space="preserve"> </w:t>
      </w:r>
      <w:r>
        <w:t xml:space="preserve">and appropriate, structure across the many species of this system.</w:t>
      </w:r>
    </w:p>
    <w:p>
      <w:pPr>
        <w:pStyle w:val="BodyText"/>
      </w:pPr>
      <w:r>
        <w:t xml:space="preserve">The BMA procedure presented here adds significant robustness and pooling</w:t>
      </w:r>
      <w:r>
        <w:t xml:space="preserve"> </w:t>
      </w:r>
      <w:r>
        <w:t xml:space="preserve">potential to our species composition estimates, however it does so at a</w:t>
      </w:r>
      <w:r>
        <w:t xml:space="preserve"> </w:t>
      </w:r>
      <w:r>
        <w:t xml:space="preserve">substantial computational cost. We have found ways (through parallel</w:t>
      </w:r>
      <w:r>
        <w:t xml:space="preserve"> </w:t>
      </w:r>
      <w:r>
        <w:t xml:space="preserve">computation and constraining the model search) to make the computation</w:t>
      </w:r>
      <w:r>
        <w:t xml:space="preserve"> </w:t>
      </w:r>
      <w:r>
        <w:t xml:space="preserve">tractable, however the solution is far from elegant. By using Dirichelet</w:t>
      </w:r>
      <w:r>
        <w:t xml:space="preserve"> </w:t>
      </w:r>
      <w:r>
        <w:t xml:space="preserve">process Bayesian nonparameteric models, among the port parameters, a far more</w:t>
      </w:r>
      <w:r>
        <w:t xml:space="preserve"> </w:t>
      </w:r>
      <w:r>
        <w:t xml:space="preserve">elegant, exhaustive, and potentially computationally cheaper model search may</w:t>
      </w:r>
      <w:r>
        <w:t xml:space="preserve"> </w:t>
      </w:r>
      <w:r>
        <w:t xml:space="preserve">be possible.</w:t>
      </w:r>
    </w:p>
    <w:p>
      <w:pPr>
        <w:pStyle w:val="Heading2"/>
      </w:pPr>
      <w:bookmarkStart w:id="62" w:name="misc.-other-ideas"/>
      <w:bookmarkEnd w:id="62"/>
      <w:r>
        <w:t xml:space="preserve">?? Misc. Other ideas ??</w:t>
      </w:r>
    </w:p>
    <w:p>
      <w:pPr>
        <w:pStyle w:val="Compact"/>
        <w:numPr>
          <w:numId w:val="1005"/>
          <w:ilvl w:val="0"/>
        </w:numPr>
      </w:pPr>
      <w:r>
        <w:t xml:space="preserve">Sen (1986)</w:t>
      </w:r>
    </w:p>
    <w:p>
      <w:pPr>
        <w:pStyle w:val="Compact"/>
        <w:numPr>
          <w:numId w:val="1006"/>
          <w:ilvl w:val="1"/>
        </w:numPr>
      </w:pPr>
      <w:r>
        <w:t xml:space="preserve">Recommended a minimum of 4 samples in each category (MC, gear, live) within</w:t>
      </w:r>
      <w:r>
        <w:t xml:space="preserve"> </w:t>
      </w:r>
      <w:r>
        <w:t xml:space="preserve">a port-month stratum, roughly 52 samples per year. Redirect sampling to</w:t>
      </w:r>
      <w:r>
        <w:t xml:space="preserve"> </w:t>
      </w:r>
      <w:r>
        <w:t xml:space="preserve">infrequently landed categories until 4 samples are obtained.</w:t>
      </w:r>
    </w:p>
    <w:p>
      <w:pPr>
        <w:pStyle w:val="Compact"/>
        <w:numPr>
          <w:numId w:val="1006"/>
          <w:ilvl w:val="1"/>
        </w:numPr>
      </w:pPr>
      <w:r>
        <w:t xml:space="preserve">An increased number of categories increases the chance that a category will</w:t>
      </w:r>
      <w:r>
        <w:t xml:space="preserve"> </w:t>
      </w:r>
      <w:r>
        <w:t xml:space="preserve">be missed by samplers.</w:t>
      </w:r>
    </w:p>
    <w:p>
      <w:pPr>
        <w:pStyle w:val="Compact"/>
        <w:numPr>
          <w:numId w:val="1006"/>
          <w:ilvl w:val="1"/>
        </w:numPr>
      </w:pPr>
      <w:r>
        <w:t xml:space="preserve">Boats are first stage samples within a stratum, with clusters used to avoid</w:t>
      </w:r>
      <w:r>
        <w:t xml:space="preserve"> </w:t>
      </w:r>
      <w:r>
        <w:t xml:space="preserve">sampling bias due to non-random sampling</w:t>
      </w:r>
    </w:p>
    <w:p>
      <w:pPr>
        <w:numPr>
          <w:numId w:val="1005"/>
          <w:ilvl w:val="0"/>
        </w:numPr>
      </w:pPr>
      <w:r>
        <w:t xml:space="preserve">Sort requirements do not eliminate the need for port sampling.</w:t>
      </w:r>
    </w:p>
    <w:p>
      <w:pPr>
        <w:numPr>
          <w:numId w:val="1005"/>
          <w:ilvl w:val="0"/>
        </w:numPr>
      </w:pPr>
      <w:r>
        <w:t xml:space="preserve">The proliferation of market categories over time in the sampled catch has</w:t>
      </w:r>
      <w:r>
        <w:t xml:space="preserve"> </w:t>
      </w:r>
      <w:r>
        <w:t xml:space="preserve">not been matched with an increase in sampling effort, effectively reducing the</w:t>
      </w:r>
      <w:r>
        <w:t xml:space="preserve"> </w:t>
      </w:r>
      <w:r>
        <w:t xml:space="preserve">average number of samples per category over time (Figure X). This reduces</w:t>
      </w:r>
      <w:r>
        <w:t xml:space="preserve"> </w:t>
      </w:r>
      <w:r>
        <w:t xml:space="preserve">precision of catch estimates, increases uncertainty in stock assessment outputs</w:t>
      </w:r>
      <w:r>
        <w:t xml:space="preserve"> </w:t>
      </w:r>
      <w:r>
        <w:t xml:space="preserve">, and impedes efforts to monitor removals relative to catch targets.</w:t>
      </w:r>
    </w:p>
    <w:p>
      <w:pPr>
        <w:numPr>
          <w:numId w:val="1005"/>
          <w:ilvl w:val="0"/>
        </w:numPr>
      </w:pPr>
      <w:r>
        <w:t xml:space="preserve">Fishermen and Dealers determine Market Categories for landed catch; issue</w:t>
      </w:r>
      <w:r>
        <w:t xml:space="preserve"> </w:t>
      </w:r>
      <w:r>
        <w:t xml:space="preserve">with sampling can't get all categories; describe problem; sort requirements</w:t>
      </w:r>
      <w:r>
        <w:t xml:space="preserve"> </w:t>
      </w:r>
      <w:r>
        <w:t xml:space="preserve">used to increase proportion of a particular species in a given market</w:t>
      </w:r>
      <w:r>
        <w:t xml:space="preserve"> </w:t>
      </w:r>
      <w:r>
        <w:t xml:space="preserve">category, but other species are still landed in these categories (e.g.</w:t>
      </w:r>
      <w:r>
        <w:t xml:space="preserve"> </w:t>
      </w:r>
      <w:r>
        <w:t xml:space="preserve">bocaccio in Figure X); can improve precision of important targets, but is not</w:t>
      </w:r>
      <w:r>
        <w:t xml:space="preserve"> </w:t>
      </w:r>
      <w:r>
        <w:t xml:space="preserve">practical for large numbers of species; even for major targets, DOESN'T</w:t>
      </w:r>
      <w:r>
        <w:t xml:space="preserve"> </w:t>
      </w:r>
      <w:r>
        <w:t xml:space="preserve">ELIMINATE THE NEED FOR SAMPLING; cite example of Dover sole rex sole is</w:t>
      </w:r>
      <w:r>
        <w:t xml:space="preserve"> </w:t>
      </w:r>
      <w:r>
        <w:t xml:space="preserve">small fraction, but of a HUGE landing; decline in sampling effort; need for</w:t>
      </w:r>
      <w:r>
        <w:t xml:space="preserve"> </w:t>
      </w:r>
      <w:r>
        <w:t xml:space="preserve">model-based approach to impute missing strata; current approach is ad-hoc.</w:t>
      </w:r>
    </w:p>
    <w:p>
      <w:pPr>
        <w:numPr>
          <w:numId w:val="1005"/>
          <w:ilvl w:val="0"/>
        </w:numPr>
      </w:pPr>
      <w:r>
        <w:t xml:space="preserve">Statistical framework; focus of estimation is the total landed catch, in</w:t>
      </w:r>
      <w:r>
        <w:t xml:space="preserve"> </w:t>
      </w:r>
      <w:r>
        <w:t xml:space="preserve">weight, of a single species; extend Shelton et al. (20xx); model-based</w:t>
      </w:r>
      <w:r>
        <w:t xml:space="preserve"> </w:t>
      </w:r>
      <w:r>
        <w:t xml:space="preserve">allows for imputation, small-area estimation (Fey and Harriott); model</w:t>
      </w:r>
      <w:r>
        <w:t xml:space="preserve"> </w:t>
      </w:r>
      <w:r>
        <w:t xml:space="preserve">selection based on predictive criteria; model averaging to account for model</w:t>
      </w:r>
      <w:r>
        <w:t xml:space="preserve"> </w:t>
      </w:r>
      <w:r>
        <w:t xml:space="preserve">uncertainty; quantifies uncertainty.</w:t>
      </w:r>
    </w:p>
    <w:p>
      <w:pPr>
        <w:numPr>
          <w:numId w:val="1005"/>
          <w:ilvl w:val="0"/>
        </w:numPr>
      </w:pPr>
      <w:r>
        <w:t xml:space="preserve">Model-based approach is best course of action given sparse data, but best</w:t>
      </w:r>
      <w:r>
        <w:t xml:space="preserve"> </w:t>
      </w:r>
      <w:r>
        <w:t xml:space="preserve">solution is to increase sampling or reduce the number of strata.</w:t>
      </w:r>
    </w:p>
    <w:p>
      <w:pPr>
        <w:numPr>
          <w:numId w:val="1005"/>
          <w:ilvl w:val="0"/>
        </w:numPr>
      </w:pPr>
      <w:r>
        <w:t xml:space="preserve">Recommend cost/benefit analysis to help identify optimal number of market</w:t>
      </w:r>
      <w:r>
        <w:t xml:space="preserve"> </w:t>
      </w:r>
      <w:r>
        <w:t xml:space="preserve">categories given management goals.</w:t>
      </w:r>
    </w:p>
    <w:p>
      <w:pPr>
        <w:pStyle w:val="Heading1"/>
      </w:pPr>
      <w:bookmarkStart w:id="63" w:name="appendix"/>
      <w:bookmarkEnd w:id="63"/>
      <w:r>
        <w:t xml:space="preserve">Appendix</w:t>
      </w:r>
    </w:p>
    <w:p>
      <w:pPr>
        <w:pStyle w:val="Heading2"/>
      </w:pPr>
      <w:bookmarkStart w:id="64" w:name="appendix-a"/>
      <w:bookmarkEnd w:id="64"/>
      <w:r>
        <w:t xml:space="preserve">Appendix A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66" w:name="appendix-b-subset-motivating-example"/>
      <w:bookmarkEnd w:id="66"/>
      <w:r>
        <w:t xml:space="preserve">Appendix B: Subset Motivating Example</w:t>
      </w:r>
    </w:p>
    <w:p>
      <w:pPr>
        <w:pStyle w:val="FirstParagraph"/>
      </w:pPr>
      <w:r>
        <w:t xml:space="preserve">To discern between these discrete modeling options we considered Poisson,</w:t>
      </w:r>
      <w:r>
        <w:t xml:space="preserve"> </w:t>
      </w:r>
      <w:r>
        <w:t xml:space="preserve">binomial, negative binomial, and beta-binomial models fit to a subset of the</w:t>
      </w:r>
      <w:r>
        <w:br w:type="textWrapping"/>
      </w:r>
      <w:r>
        <w:t xml:space="preserve">data from market category 250, in the Monterey port complex trawl fishery for</w:t>
      </w:r>
      <w:r>
        <w:t xml:space="preserve"> </w:t>
      </w:r>
      <w:r>
        <w:t xml:space="preserve">the second quarter of 1982. This stratum was selected as a relatively data rich</w:t>
      </w:r>
      <w:r>
        <w:t xml:space="preserve"> </w:t>
      </w:r>
      <w:r>
        <w:t xml:space="preserve">setting, although other stratum produce similar results. This stratum was</w:t>
      </w:r>
      <w:r>
        <w:t xml:space="preserve"> </w:t>
      </w:r>
      <w:r>
        <w:t xml:space="preserve">visited 32 times by port samplers, collecting a total of 59 cluster samples</w:t>
      </w:r>
      <w:r>
        <w:t xml:space="preserve"> </w:t>
      </w:r>
      <w:r>
        <w:t xml:space="preserve">across 55 unique species. For brevity, in this example, we only consider the</w:t>
      </w:r>
      <w:r>
        <w:t xml:space="preserve"> </w:t>
      </w:r>
      <w:r>
        <w:t xml:space="preserve">six most prevalent species (BCAC, CLPR, WDOW, YTRK, BANK, STRK).</w:t>
      </w:r>
    </w:p>
    <w:p>
      <w:pPr>
        <w:pStyle w:val="BodyText"/>
      </w:pPr>
      <w:r>
        <w:t xml:space="preserve">Simplified models under each of the discrete likelihoods, metioned above, are</w:t>
      </w:r>
      <w:r>
        <w:t xml:space="preserve"> </w:t>
      </w:r>
      <w:r>
        <w:t xml:space="preserve">fit to the subset data.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∼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|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</m:sub>
          </m:sSub>
          <m:r>
            <m:rPr/>
            <m:t>,</m:t>
          </m:r>
          <m:r>
            <m:rPr/>
            <m:t>ϕ</m:t>
          </m:r>
          <m:r>
            <m:rPr/>
            <m:t>)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takes the form of each of the considered Poisson, binomial, negative</w:t>
      </w:r>
      <w:r>
        <w:t xml:space="preserve"> </w:t>
      </w:r>
      <w:r>
        <w:t xml:space="preserve">binomial, and beta-binomial models,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represents the fixed species</w:t>
      </w:r>
      <w:r>
        <w:t xml:space="preserve"> </w:t>
      </w:r>
      <w:r>
        <w:t xml:space="preserve">parameters, and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included to generally represent the nuisance</w:t>
      </w:r>
      <w:r>
        <w:t xml:space="preserve"> </w:t>
      </w:r>
      <w:r>
        <w:t xml:space="preserve">parameters for modeling overdispersion in the negative binomial, and</w:t>
      </w:r>
      <w:r>
        <w:t xml:space="preserve"> </w:t>
      </w:r>
      <w:r>
        <w:t xml:space="preserve">beta-binomial models.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1001.41</w:t>
            </w:r>
          </w:p>
        </w:tc>
        <w:tc>
          <w:p>
            <w:pPr>
              <w:pStyle w:val="Compact"/>
              <w:jc w:val="center"/>
            </w:pPr>
            <w:r>
              <w:t xml:space="preserve">1230.60</w:t>
            </w:r>
          </w:p>
        </w:tc>
        <w:tc>
          <w:p>
            <w:pPr>
              <w:pStyle w:val="Compact"/>
              <w:jc w:val="center"/>
            </w:pPr>
            <w:r>
              <w:t xml:space="preserve">5.03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1079.95</w:t>
            </w:r>
          </w:p>
        </w:tc>
        <w:tc>
          <w:p>
            <w:pPr>
              <w:pStyle w:val="Compact"/>
              <w:jc w:val="center"/>
            </w:pPr>
            <w:r>
              <w:t xml:space="preserve">1323.75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Table(likelihood) shows Mean Squared Error (MSE; computed on the species</w:t>
      </w:r>
      <w:r>
        <w:t xml:space="preserve"> </w:t>
      </w:r>
      <w:r>
        <w:t xml:space="preserve">composition scale), delta deviance information criterion (</w:t>
      </w:r>
      <m:oMath>
        <m:r>
          <m:rPr/>
          <m:t>Δ</m:t>
        </m:r>
      </m:oMath>
      <w:r>
        <w:t xml:space="preserve"> </w:t>
      </w:r>
      <w:r>
        <w:t xml:space="preserve">DIC), delta</w:t>
      </w:r>
      <w:r>
        <w:t xml:space="preserve"> </w:t>
      </w:r>
      <w:r>
        <w:t xml:space="preserve">widely applicable information criterion (</w:t>
      </w:r>
      <m:oMath>
        <m:r>
          <m:rPr/>
          <m:t>Δ</m:t>
        </m:r>
      </m:oMath>
      <w:r>
        <w:t xml:space="preserve"> </w:t>
      </w:r>
      <w:r>
        <w:t xml:space="preserve">WAIC), and marginal Bayesian</w:t>
      </w:r>
      <w:r>
        <w:t xml:space="preserve"> </w:t>
      </w:r>
      <w:r>
        <w:t xml:space="preserve">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 across the likelihood models fit. These</w:t>
      </w:r>
      <w:r>
        <w:t xml:space="preserve"> </w:t>
      </w:r>
      <w:r>
        <w:t xml:space="preserve">measures span a wide range of model selection philosophies and yet here they</w:t>
      </w:r>
      <w:r>
        <w:t xml:space="preserve"> </w:t>
      </w:r>
      <w:r>
        <w:t xml:space="preserve">all consistently agree in ranking the likelihood models.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</w:t>
      </w:r>
      <w:r>
        <w:t xml:space="preserve"> </w:t>
      </w:r>
      <w:r>
        <w:t xml:space="preserve">(NB and BB), with the most overall support for the beta-binomial model and the</w:t>
      </w:r>
      <w:r>
        <w:t xml:space="preserve"> </w:t>
      </w:r>
      <w:r>
        <w:t xml:space="preserve">Poisson model showing the least support. This initial result guides the use of</w:t>
      </w:r>
      <w:r>
        <w:t xml:space="preserve"> </w:t>
      </w:r>
      <w:r>
        <w:t xml:space="preserve">the beta-binomial data generating model for the purposes of building a model</w:t>
      </w:r>
      <w:r>
        <w:t xml:space="preserve"> </w:t>
      </w:r>
      <w:r>
        <w:t xml:space="preserve">to apply at an operational scale.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Figure(violin) shows the beta-binomial predictive distributions as a violin</w:t>
      </w:r>
      <w:r>
        <w:t xml:space="preserve"> </w:t>
      </w:r>
      <w:r>
        <w:t xml:space="preserve">plot, with the observed species compositions, from port sampling, plotted atop</w:t>
      </w:r>
      <w:r>
        <w:t xml:space="preserve"> </w:t>
      </w:r>
      <w:r>
        <w:t xml:space="preserve">each density. Figure(violin) demonstrates how the beta-binomial model</w:t>
      </w:r>
      <w:r>
        <w:t xml:space="preserve"> </w:t>
      </w:r>
      <w:r>
        <w:t xml:space="preserve">distributes predictive density over the unit interval. Species composition is</w:t>
      </w:r>
      <w:r>
        <w:t xml:space="preserve"> </w:t>
      </w:r>
      <w:r>
        <w:t xml:space="preserve">bounded on [0, 1], thus in the presence of large variability, predictive</w:t>
      </w:r>
      <w:r>
        <w:t xml:space="preserve"> </w:t>
      </w:r>
      <w:r>
        <w:t xml:space="preserve">density may aggregate around the bounds.</w:t>
      </w:r>
    </w:p>
    <w:p>
      <w:pPr>
        <w:pStyle w:val="BodyText"/>
      </w:pPr>
      <w:r>
        <w:t xml:space="preserve">Figure(Interval Plot) visualizes the predictive species composition</w:t>
      </w:r>
      <w:r>
        <w:t xml:space="preserve"> </w:t>
      </w:r>
      <w:r>
        <w:t xml:space="preserve">distributions as 95% Highest Density Intervals (HDI) (colored vertical lines),</w:t>
      </w:r>
      <w:r>
        <w:t xml:space="preserve"> </w:t>
      </w:r>
      <w:r>
        <w:t xml:space="preserve">plotted on top of the predictive means for each model and the observed species</w:t>
      </w:r>
      <w:r>
        <w:t xml:space="preserve"> </w:t>
      </w:r>
      <w:r>
        <w:t xml:space="preserve">compositions (black horizontal lines)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Plot: The predictive species composition distributions as 95% Highest</w:t>
      </w:r>
      <w:r>
        <w:t xml:space="preserve"> </w:t>
      </w:r>
      <w:r>
        <w:t xml:space="preserve">Density Intervals (HDI) (colored vertical lines), plotted on top of the</w:t>
      </w:r>
      <w:r>
        <w:t xml:space="preserve"> </w:t>
      </w:r>
      <w:r>
        <w:t xml:space="preserve">predictive means for each model and the observed species compositions (black</w:t>
      </w:r>
      <w:r>
        <w:t xml:space="preserve"> </w:t>
      </w:r>
      <w:r>
        <w:t xml:space="preserve">horizontal lines) from the data</w:t>
      </w:r>
    </w:p>
    <w:p>
      <w:pPr>
        <w:pStyle w:val="BodyText"/>
      </w:pPr>
      <w:r>
        <w:t xml:space="preserve">The large spread of the observed species compositions seen in Figure(Interval Plot)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and as such they predict a larger subset of the</w:t>
      </w:r>
      <w:r>
        <w:t xml:space="preserve"> </w:t>
      </w:r>
      <w:r>
        <w:t xml:space="preserve">data. Notably, only the intervals produced by the BB model include the low</w:t>
      </w:r>
      <w:r>
        <w:t xml:space="preserve"> </w:t>
      </w:r>
      <w:r>
        <w:t xml:space="preserve">observed proportions of bocaccio (BCAC) and the high observed proportion of</w:t>
      </w:r>
      <w:r>
        <w:t xml:space="preserve"> </w:t>
      </w:r>
      <w:r>
        <w:t xml:space="preserve">chilipepper rockfish (CLPR) in this example.</w:t>
      </w:r>
    </w:p>
    <w:p>
      <w:pPr>
        <w:pStyle w:val="BodyText"/>
      </w:pPr>
      <w:r>
        <w:t xml:space="preserve">The split beta-binomial intervals seen in Figure(Interval plot) reflect a</w:t>
      </w:r>
      <w:r>
        <w:t xml:space="preserve"> </w:t>
      </w:r>
      <w:r>
        <w:t xml:space="preserve">large amount of residual variability confined on the unit interval. The</w:t>
      </w:r>
      <w:r>
        <w:t xml:space="preserve"> </w:t>
      </w:r>
      <w:r>
        <w:t xml:space="preserve">beta-binomial is the only model considered here, that estimates such a large</w:t>
      </w:r>
      <w:r>
        <w:t xml:space="preserve"> </w:t>
      </w:r>
      <w:r>
        <w:t xml:space="preserve">degree of variability and thus it is the only model that produces predictive</w:t>
      </w:r>
      <w:r>
        <w:t xml:space="preserve"> </w:t>
      </w:r>
      <w:r>
        <w:t xml:space="preserve">species composition distributions that effectively cover the range of observed</w:t>
      </w:r>
      <w:r>
        <w:t xml:space="preserve"> </w:t>
      </w:r>
      <w:r>
        <w:t xml:space="preserve">species compositions. The predictive intervals in Figure(likelihoods) are</w:t>
      </w:r>
      <w:r>
        <w:t xml:space="preserve"> </w:t>
      </w:r>
      <w:r>
        <w:t xml:space="preserve">the smallest possible regions on each of the densities visualizes in</w:t>
      </w:r>
      <w:r>
        <w:t xml:space="preserve"> </w:t>
      </w:r>
      <w:r>
        <w:t xml:space="preserve">Figure (Violin) so that each intervals contain 95% probability. For the</w:t>
      </w:r>
      <w:r>
        <w:t xml:space="preserve"> </w:t>
      </w:r>
      <w:r>
        <w:t xml:space="preserve">example of STRK, notice that although the predictive HDI in Figure (Interval) is</w:t>
      </w:r>
      <w:r>
        <w:t xml:space="preserve"> </w:t>
      </w:r>
      <w:r>
        <w:t xml:space="preserve">split, the vast majority of density (seen in Figure (Violin)) lies directly</w:t>
      </w:r>
      <w:r>
        <w:t xml:space="preserve"> </w:t>
      </w:r>
      <w:r>
        <w:t xml:space="preserve">atop the data.</w:t>
      </w:r>
    </w:p>
    <w:p>
      <w:pPr>
        <w:pStyle w:val="Heading2"/>
      </w:pPr>
      <w:bookmarkStart w:id="69" w:name="appendix-c"/>
      <w:bookmarkEnd w:id="69"/>
      <w:r>
        <w:t xml:space="preserve">Appendix C</w:t>
      </w:r>
    </w:p>
    <w:p>
      <w:pPr>
        <w:pStyle w:val="FirstParagraph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4572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</w:t>
      </w:r>
      <w:r>
        <w:t xml:space="preserve"> </w:t>
      </w:r>
      <w:r>
        <w:t xml:space="preserve"> </w:t>
      </w:r>
      <w:r>
        <w:t xml:space="preserve">collapses toward the data in the posterior.</w:t>
      </w:r>
    </w:p>
    <w:p>
      <w:pPr>
        <w:pStyle w:val="Heading2"/>
      </w:pPr>
      <w:bookmarkStart w:id="71" w:name="appendix-d"/>
      <w:bookmarkEnd w:id="71"/>
      <w:r>
        <w:t xml:space="preserve">Appendix D</w:t>
      </w:r>
    </w:p>
    <w:p>
      <w:pPr>
        <w:pStyle w:val="FirstParagraph"/>
      </w:pP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rPr/>
          <m:t>Δ</m:t>
        </m:r>
      </m:oMath>
      <w:r>
        <w:t xml:space="preserve"> </w:t>
      </w:r>
      <w:r>
        <w:t xml:space="preserve">WAIC 1079.95 1323.75 3.43 0</w:t>
      </w:r>
      <w:r>
        <w:t xml:space="preserve"> </w:t>
      </w:r>
      <w:r>
        <w:t xml:space="preserve"> 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m:oMath>
        <m:r>
          <m:rPr/>
          <m:t>≈</m:t>
        </m:r>
        <m:r>
          <m:rPr/>
          <m:t>0</m:t>
        </m:r>
      </m:oMath>
      <w:r>
        <w:t xml:space="preserve"> </w:t>
      </w:r>
      <m:oMath>
        <m:r>
          <m:rPr/>
          <m:t>≈</m:t>
        </m:r>
        <m:r>
          <m:rPr/>
          <m:t>0</m:t>
        </m:r>
      </m:oMath>
      <w:r>
        <w:t xml:space="preserve"> </w:t>
      </w:r>
      <m:oMath>
        <m:r>
          <m:rPr/>
          <m:t>≈</m:t>
        </m:r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7</m:t>
            </m:r>
          </m:sup>
        </m:sSup>
      </m:oMath>
      <w:r>
        <w:t xml:space="preserve"> </w:t>
      </w:r>
      <m:oMath>
        <m:r>
          <m:rPr/>
          <m:t>≈</m:t>
        </m:r>
        <m:r>
          <m:rPr/>
          <m:t>1</m:t>
        </m:r>
      </m:oMath>
      <w:r>
        <w:t xml:space="preserve"> </w:t>
      </w:r>
      <w:r>
        <w:t xml:space="preserve">--&gt;</w:t>
      </w:r>
      <w:r>
        <w:t xml:space="preserve"> 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f187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932b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68" Target="media/rId68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23" Target="media/rId23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E.J. Dick, Don Pearson, John Field, Marc Mangel</dc:creator>
</cp:coreProperties>
</file>