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df" ContentType="application/pdf"/>
  <Override PartName="/word/media/rId42.pdf" ContentType="application/pdf"/>
  <Override PartName="/word/media/rId43.pdf" ContentType="application/pdf"/>
  <Override PartName="/word/media/rId46.png" ContentType="image/png"/>
  <Override PartName="/word/media/rId47.png" ContentType="image/png"/>
  <Override PartName="/word/media/rId65.pdf" ContentType="application/pdf"/>
  <Override PartName="/word/media/rId66.pdf" ContentType="application/pdf"/>
  <Override PartName="/word/media/rId67.pdf" ContentType="application/pdf"/>
  <Override PartName="/word/media/rId68.pdf" ContentType="application/pdf"/>
  <Override PartName="/word/media/rId64.png" ContentType="image/png"/>
  <Override PartName="/word/media/rId49.pdf" ContentType="application/pdf"/>
  <Override PartName="/word/media/rId23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</w:t>
      </w:r>
      <w:r>
        <w:t xml:space="preserve"> </w:t>
      </w:r>
      <w:r>
        <w:t xml:space="preserve">and biological/ecological characteristics (e.g. spatial distribution) of</w:t>
      </w:r>
      <w:r>
        <w:t xml:space="preserve"> </w:t>
      </w:r>
      <w:r>
        <w:t xml:space="preserve">the landed species. As a result, estimates of species composition for a</w:t>
      </w:r>
      <w:r>
        <w:t xml:space="preserve"> </w:t>
      </w:r>
      <w:r>
        <w:t xml:space="preserve">given market category are often stratified over time (e.g. quarterly) and</w:t>
      </w:r>
      <w:r>
        <w:t xml:space="preserve"> </w:t>
      </w:r>
      <w:r>
        <w:t xml:space="preserve">across other relevant strata (e.g. ports, gears, catch disposition).</w:t>
      </w:r>
      <w:r>
        <w:t xml:space="preserve"> </w:t>
      </w:r>
      <w:r>
        <w:t xml:space="preserve">Sampling programs often have limited funds, and attempts to reduce bias in</w:t>
      </w:r>
      <w:r>
        <w:t xml:space="preserve"> </w:t>
      </w:r>
      <w:r>
        <w:t xml:space="preserve">species composition estimates through the introduction of additional strata</w:t>
      </w:r>
      <w:r>
        <w:t xml:space="preserve"> </w:t>
      </w:r>
      <w:r>
        <w:t xml:space="preserve">comes at a cost, namely reduced precision (Cochran, 1977;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</w:t>
      </w:r>
      <w:r>
        <w:t xml:space="preserve"> </w:t>
      </w:r>
      <w:r>
        <w:t xml:space="preserve">type, catch disposition) remain unsampled or sparsely sampled due to a</w:t>
      </w:r>
      <w:r>
        <w:t xml:space="preserve"> </w:t>
      </w:r>
      <w:r>
        <w:t xml:space="preserve">proliferation of categories over time, logistical constraints, and limited</w:t>
      </w:r>
      <w:r>
        <w:t xml:space="preserve"> </w:t>
      </w:r>
      <w:r>
        <w:t xml:space="preserve">resources (Sen 1986; Crone 1995; Pearson et al. 2008; Tsou et al. 2015).</w:t>
      </w:r>
      <w:r>
        <w:t xml:space="preserve"> </w:t>
      </w:r>
      <w:r>
        <w:t xml:space="preserve">In California, for example, commercial port sampling effort has changed over</w:t>
      </w:r>
      <w:r>
        <w:t xml:space="preserve"> </w:t>
      </w:r>
      <w:r>
        <w:t xml:space="preserve">time and space (Pearson and Almany 1995). For example, regular sampling of</w:t>
      </w:r>
      <w:r>
        <w:t xml:space="preserve"> </w:t>
      </w:r>
      <w:r>
        <w:t xml:space="preserve">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</w:t>
      </w:r>
      <w:r>
        <w:t xml:space="preserve"> </w:t>
      </w:r>
      <w:r>
        <w:t xml:space="preserve">latitude) began as early as 1978, but the more southern ports were rarely</w:t>
      </w:r>
      <w:r>
        <w:t xml:space="preserve"> </w:t>
      </w:r>
      <w:r>
        <w:t xml:space="preserve">sampled prior to 1983. This allocation of effort was largely based on the</w:t>
      </w:r>
      <w:r>
        <w:t xml:space="preserve"> </w:t>
      </w:r>
      <w:r>
        <w:t xml:space="preserve">statewide distribution of landings, diffuse spatial distribution of southern</w:t>
      </w:r>
      <w:r>
        <w:t xml:space="preserve"> </w:t>
      </w:r>
      <w:r>
        <w:t xml:space="preserve">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‘borrowed’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br w:type="textWrapping"/>
      </w:r>
      <w:r>
        <w:t xml:space="preserve">Shelton et al. (2012) developed a Bayesian hierarchical statistical framework</w:t>
      </w:r>
      <w:r>
        <w:t xml:space="preserve"> </w:t>
      </w:r>
      <w:r>
        <w:t xml:space="preserve">for species composition data that pools information among sparsely sampled</w:t>
      </w:r>
      <w:r>
        <w:t xml:space="preserve"> </w:t>
      </w:r>
      <w:r>
        <w:t xml:space="preserve">strata, predicts species compositions for unsampled strata, and can be</w:t>
      </w:r>
      <w:r>
        <w:t xml:space="preserve"> </w:t>
      </w:r>
      <w:r>
        <w:t xml:space="preserve">combined with landing receipts to estimate total landings by species, across</w:t>
      </w:r>
      <w:r>
        <w:t xml:space="preserve"> </w:t>
      </w:r>
      <w:r>
        <w:t xml:space="preserve">market categories and other strata, with associated estimates of uncertainty.</w:t>
      </w:r>
      <w:r>
        <w:t xml:space="preserve"> </w:t>
      </w:r>
      <w:r>
        <w:t xml:space="preserve">Shelton et al. considered hierarchical pooling only among quarters within a</w:t>
      </w:r>
      <w:r>
        <w:t xml:space="preserve"> </w:t>
      </w:r>
      <w:r>
        <w:t xml:space="preserve">single year, comparing generalized linear and hierarchical linear models to</w:t>
      </w:r>
      <w:r>
        <w:t xml:space="preserve"> </w:t>
      </w:r>
      <w:r>
        <w:t xml:space="preserve">trawl data from a single port in California. The authors underscored the</w:t>
      </w:r>
      <w:r>
        <w:t xml:space="preserve"> </w:t>
      </w:r>
      <w:r>
        <w:t xml:space="preserve">need to better understand performance of alternative models, and to overcome</w:t>
      </w:r>
      <w:r>
        <w:t xml:space="preserve"> </w:t>
      </w:r>
      <w:r>
        <w:t xml:space="preserve">issues with computation time, particularly since commercial port sampling data</w:t>
      </w:r>
      <w:r>
        <w:t xml:space="preserve"> </w:t>
      </w:r>
      <w:r>
        <w:t xml:space="preserve">sets often include hundreds of landed strata spanning decades, multiple ports,</w:t>
      </w:r>
      <w:r>
        <w:t xml:space="preserve"> </w:t>
      </w:r>
      <w:r>
        <w:t xml:space="preserve">gear 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fisheries is perhaps greatest for California.</w:t>
      </w:r>
      <w:r>
        <w:t xml:space="preserve"> </w:t>
      </w:r>
      <w:r>
        <w:t xml:space="preserve">Relative to Oregon and Washington, California has a greater number of</w:t>
      </w:r>
      <w:r>
        <w:t xml:space="preserve"> </w:t>
      </w:r>
      <w:r>
        <w:t xml:space="preserve">commercial ports, market categories, and landed species, with greater species</w:t>
      </w:r>
      <w:r>
        <w:t xml:space="preserve"> </w:t>
      </w:r>
      <w:r>
        <w:t xml:space="preserve">diversity among ports due to the geographical range of the coast.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1). Sampling effort also leveled off in the mid-1990s, with a</w:t>
      </w:r>
      <w:r>
        <w:t xml:space="preserve"> </w:t>
      </w:r>
      <w:r>
        <w:t xml:space="preserve">reduction in effort in the early 2000s. The net result of increased</w:t>
      </w:r>
      <w:r>
        <w:t xml:space="preserve"> </w:t>
      </w:r>
      <w:r>
        <w:t xml:space="preserve">stratification and flat (or reduced) sampling effort over time is a decline in</w:t>
      </w:r>
      <w:r>
        <w:t xml:space="preserve"> </w:t>
      </w:r>
      <w:r>
        <w:t xml:space="preserve">mean sample size per stratum (Figure 1). In this situation, it is critical to</w:t>
      </w:r>
      <w:r>
        <w:t xml:space="preserve"> </w:t>
      </w:r>
      <w:r>
        <w:t xml:space="preserve">understand how efforts to reduce bias (e.g. increasing the number of landed</w:t>
      </w:r>
      <w:r>
        <w:t xml:space="preserve"> </w:t>
      </w:r>
      <w:r>
        <w:t xml:space="preserve">market categories) affect precision of the expanded catch 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‘choke’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only a single</w:t>
      </w:r>
      <w:r>
        <w:t xml:space="preserve"> </w:t>
      </w:r>
      <w:r>
        <w:t xml:space="preserve">cluster being taken clusters taken, or the size of clusters taken to vary,</w:t>
      </w:r>
      <w:r>
        <w:t xml:space="preserve"> </w:t>
      </w:r>
      <w:r>
        <w:t xml:space="preserve">from stratum to stratum based on the particular challenges of sampling each</w:t>
      </w:r>
      <w:r>
        <w:t xml:space="preserve"> </w:t>
      </w:r>
      <w:r>
        <w:t xml:space="preserve">stratum.</w:t>
      </w:r>
    </w:p>
    <w:p>
      <w:pPr>
        <w:pStyle w:val="BodyText"/>
      </w:pPr>
      <w:r>
        <w:t xml:space="preserve">The model based methodology proposed here does not rely strongly upon the cluster</w:t>
      </w:r>
      <w:r>
        <w:t xml:space="preserve"> </w:t>
      </w:r>
      <w:r>
        <w:t xml:space="preserve">sampling structure, but rather simply views each sample as independent and</w:t>
      </w:r>
      <w:r>
        <w:t xml:space="preserve"> </w:t>
      </w:r>
      <w:r>
        <w:t xml:space="preserve">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some data generating model,</w:t>
      </w:r>
      <w:r>
        <w:t xml:space="preserve"> </w:t>
      </w:r>
      <w:r>
        <w:t xml:space="preserve">conditional on some parameterization of the stratification system. So long as</w:t>
      </w:r>
      <w:r>
        <w:t xml:space="preserve"> </w:t>
      </w:r>
      <w:r>
        <w:t xml:space="preserve">the parameterization and data generating model are sufficiently robust for</w:t>
      </w:r>
      <w:r>
        <w:t xml:space="preserve"> </w:t>
      </w:r>
      <w:r>
        <w:t xml:space="preserve">handling the behavior of these data, the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can be seen as practically useful model for producing predictions</w:t>
      </w:r>
      <w:r>
        <w:t xml:space="preserve"> </w:t>
      </w:r>
      <w:r>
        <w:t xml:space="preserve">about the data 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</w:t>
      </w:r>
      <w:r>
        <w:t xml:space="preserve"> </w:t>
      </w:r>
      <w:r>
        <w:t xml:space="preserve">(the database maintained by the California Cooperative Groundfish Survey). For</w:t>
      </w:r>
      <w:r>
        <w:t xml:space="preserve"> </w:t>
      </w:r>
      <w:r>
        <w:t xml:space="preserve">the purpose of the models presented here, all of the observed clusters across</w:t>
      </w:r>
      <w:r>
        <w:t xml:space="preserve"> </w:t>
      </w:r>
      <w:r>
        <w:t xml:space="preserve">a unique sample are aggregated so that the total weight sampled is the sum of</w:t>
      </w:r>
      <w:r>
        <w:t xml:space="preserve"> </w:t>
      </w:r>
      <w:r>
        <w:t xml:space="preserve">all of the total pounds sampled in each cluster of each unique sample. Similarly</w:t>
      </w:r>
      <w:r>
        <w:t xml:space="preserve"> </w:t>
      </w:r>
      <w:r>
        <w:t xml:space="preserve">the observed weight for a particular species in each unique sample is the sum of</w:t>
      </w:r>
      <w:r>
        <w:t xml:space="preserve"> </w:t>
      </w:r>
      <w:r>
        <w:t xml:space="preserve">all of the observed weights, for that species, across each cluster of each unique</w:t>
      </w:r>
      <w:r>
        <w:t xml:space="preserve"> </w:t>
      </w:r>
      <w:r>
        <w:t xml:space="preserve">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an ethical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any modeled</w:t>
      </w:r>
      <w:r>
        <w:t xml:space="preserve"> </w:t>
      </w:r>
      <w:r>
        <w:t xml:space="preserve">period where the minimum number of possible parameters exceeds the number of</w:t>
      </w:r>
      <w:r>
        <w:t xml:space="preserve"> </w:t>
      </w:r>
      <w:r>
        <w:t xml:space="preserve">samples for the modeled period, the model is not applied. Rather than apply</w:t>
      </w:r>
      <w:r>
        <w:t xml:space="preserve"> </w:t>
      </w:r>
      <w:r>
        <w:t xml:space="preserve">models inappropriately, these cases are speciated as the nominal species for</w:t>
      </w:r>
      <w:r>
        <w:t xml:space="preserve"> </w:t>
      </w:r>
      <w:r>
        <w:t xml:space="preserve">their market category. We later demonstrate in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that due to the</w:t>
      </w:r>
      <w:r>
        <w:t xml:space="preserve"> </w:t>
      </w:r>
      <w:r>
        <w:t xml:space="preserve">prioritization for sampling heavily landed, or otherwise commercially relevant</w:t>
      </w:r>
      <w:r>
        <w:t xml:space="preserve"> </w:t>
      </w:r>
      <w:r>
        <w:t xml:space="preserve">categories, a sample size heuristic such as this, typically only leads to nominal</w:t>
      </w:r>
      <w:r>
        <w:t xml:space="preserve"> </w:t>
      </w:r>
      <w:r>
        <w:t xml:space="preserve">speciation in market categories and time periods where total landings are low.</w:t>
      </w:r>
      <w:r>
        <w:t xml:space="preserve"> </w:t>
      </w:r>
      <w:r>
        <w:t xml:space="preserve">Thus the expanded landings in these periods have a negligible effect on the</w:t>
      </w:r>
      <w:r>
        <w:t xml:space="preserve"> </w:t>
      </w:r>
      <w:r>
        <w:t xml:space="preserve">overall expanded landings for species in these categories.</w:t>
      </w:r>
    </w:p>
    <w:p>
      <w:pPr>
        <w:pStyle w:val="Compact"/>
        <w:numPr>
          <w:numId w:val="1001"/>
          <w:ilvl w:val="0"/>
        </w:numPr>
      </w:pPr>
      <w:r>
        <w:t xml:space="preserve">port complexes v. ports? or in intro?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7" w:name="an-example"/>
      <w:bookmarkEnd w:id="27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Monterey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variances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produce more accurate</w:t>
      </w:r>
      <w:r>
        <w:t xml:space="preserve"> </w:t>
      </w:r>
      <w:r>
        <w:t xml:space="preserve">measures of center as well.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likelihood model probabilities are computed for each model</w:t>
      </w:r>
      <w:r>
        <w:t xml:space="preserve"> </w:t>
      </w:r>
      <w:r>
        <w:t xml:space="preserve">as measures of model fit as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28" w:name="operationalized-model"/>
      <w:bookmarkEnd w:id="28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preliminary</w:t>
      </w:r>
      <w:r>
        <w:t xml:space="preserve"> </w:t>
      </w:r>
      <w:r>
        <w:t xml:space="preserve">results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and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9" w:name="priors"/>
      <w:bookmarkEnd w:id="29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methodology may</w:t>
      </w:r>
      <w:r>
        <w:t xml:space="preserve"> </w:t>
      </w:r>
      <w:r>
        <w:t xml:space="preserve">produce better performing estimates, more quickly, than unbiased counterparts.</w:t>
      </w:r>
      <w:r>
        <w:t xml:space="preserve"> </w:t>
      </w:r>
      <w:r>
        <w:t xml:space="preserve">Among the simplest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0" w:name="m1"/>
      <w:bookmarkEnd w:id="30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1" w:name="m2"/>
      <w:bookmarkEnd w:id="31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2" w:name="m3"/>
      <w:bookmarkEnd w:id="32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3" w:name="m4"/>
      <w:bookmarkEnd w:id="33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5"/>
      <w:bookmarkEnd w:id="34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5" w:name="m6"/>
      <w:bookmarkEnd w:id="35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shows a clear preference for model (M4). It is worth mentioning</w:t>
      </w:r>
      <w:r>
        <w:t xml:space="preserve"> </w:t>
      </w:r>
      <w:r>
        <w:t xml:space="preserve">that among all of the models considered here, (M4) offers the largest potential for</w:t>
      </w:r>
      <w:r>
        <w:t xml:space="preserve"> </w:t>
      </w:r>
      <w:r>
        <w:t xml:space="preserve">hierarchical partial pooling among the time parameters. For the duration of</w:t>
      </w:r>
      <w:r>
        <w:t xml:space="preserve"> </w:t>
      </w:r>
      <w:r>
        <w:t xml:space="preserve">the methods we build upon this preliminary result.</w:t>
      </w:r>
    </w:p>
    <w:p>
      <w:pPr>
        <w:pStyle w:val="Heading2"/>
      </w:pPr>
      <w:bookmarkStart w:id="36" w:name="species-composition-prediction"/>
      <w:bookmarkEnd w:id="36"/>
      <w:r>
        <w:t xml:space="preserve">Species Composition Prediction</w:t>
      </w:r>
    </w:p>
    <w:p>
      <w:pPr>
        <w:pStyle w:val="FirstParagraph"/>
      </w:pPr>
      <w:r>
        <w:t xml:space="preserve">Estimating model (M4) in a Bayesian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which contain, or are derived from,</w:t>
      </w:r>
      <w:r>
        <w:t xml:space="preserve"> </w:t>
      </w:r>
      <w:r>
        <w:t xml:space="preserve">parameters are themselves random variables with the function representing a</w:t>
      </w:r>
      <w:r>
        <w:t xml:space="preserve"> </w:t>
      </w:r>
      <w:r>
        <w:t xml:space="preserve">random variable transformation of those 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</w:t>
      </w:r>
      <w:r>
        <w:t xml:space="preserve"> </w:t>
      </w:r>
      <w:r>
        <w:t xml:space="preserve">representation of the observation level 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</w:t>
      </w:r>
      <w:r>
        <w:t xml:space="preserve"> </w:t>
      </w:r>
      <w:r>
        <w:t xml:space="preserve">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stratum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used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hierarchical regularization priors among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essentially allows the</w:t>
      </w:r>
      <w:r>
        <w:t xml:space="preserve"> </w:t>
      </w:r>
      <w:r>
        <w:t xml:space="preserve">model exploration strategy to average across all relevant port complex partitionings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2"/>
      </w:pPr>
      <w:bookmarkStart w:id="38" w:name="expansion"/>
      <w:bookmarkEnd w:id="38"/>
      <w:r>
        <w:t xml:space="preserve">Expansion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</m:oMath>
      </m:oMathPara>
    </w:p>
    <w:p>
      <w:pPr>
        <w:pStyle w:val="Heading1"/>
      </w:pPr>
      <w:bookmarkStart w:id="39" w:name="results"/>
      <w:bookmarkEnd w:id="39"/>
      <w:r>
        <w:t xml:space="preserve">Results</w:t>
      </w:r>
    </w:p>
    <w:p>
      <w:pPr>
        <w:pStyle w:val="Heading2"/>
      </w:pPr>
      <w:bookmarkStart w:id="40" w:name="data-1"/>
      <w:bookmarkEnd w:id="40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</w:t>
      </w:r>
      <w:r>
        <w:t xml:space="preserve"> </w:t>
      </w:r>
      <w:r>
        <w:t xml:space="preserve">rockfish market cateogries accounting for the top 99% percent of landings</w:t>
      </w:r>
      <w:r>
        <w:t xml:space="preserve"> </w:t>
      </w:r>
      <w:r>
        <w:t xml:space="preserve">for two modeled periods. In the top panel of each modeled period the black</w:t>
      </w:r>
      <w:r>
        <w:t xml:space="preserve"> </w:t>
      </w:r>
      <w:r>
        <w:t xml:space="preserve">line represented the proportion of landings in each market category, while the</w:t>
      </w:r>
      <w:r>
        <w:t xml:space="preserve"> </w:t>
      </w:r>
      <w:r>
        <w:t xml:space="preserve">blue line represents the proportion of samples, by number, taken in each</w:t>
      </w:r>
      <w:r>
        <w:t xml:space="preserve"> </w:t>
      </w:r>
      <w:r>
        <w:t xml:space="preserve">market category. In the bottom panel of each modeled period, colors represent</w:t>
      </w:r>
      <w:r>
        <w:t xml:space="preserve"> </w:t>
      </w:r>
      <w:r>
        <w:t xml:space="preserve">the proportion of sampled weight of twelve commercially realavant species.</w:t>
      </w:r>
      <w:r>
        <w:t xml:space="preserve"> </w:t>
      </w:r>
      <w:r>
        <w:t xml:space="preserve">Alternating dark and light grey panels fill in all other species. On the top</w:t>
      </w:r>
      <w:r>
        <w:t xml:space="preserve"> </w:t>
      </w:r>
      <w:r>
        <w:t xml:space="preserve">of each bar the number of observed species in each market category is listed.</w:t>
      </w:r>
      <w:r>
        <w:t xml:space="preserve"> </w:t>
      </w:r>
      <w:r>
        <w:t xml:space="preserve">Hatched regions indicated the nominal species of a market category where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among the most important factors</w:t>
      </w:r>
      <w:r>
        <w:t xml:space="preserve"> </w:t>
      </w:r>
      <w:r>
        <w:t xml:space="preserve">to prioritize in sampling for the sake of applying our model's results to a large</w:t>
      </w:r>
      <w:r>
        <w:t xml:space="preserve"> </w:t>
      </w:r>
      <w:r>
        <w:t xml:space="preserve">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</w:t>
      </w:r>
      <w:r>
        <w:br w:type="textWrapping"/>
      </w:r>
      <w:r>
        <w:t xml:space="preserve">Furthermore due to this pattern in port sampling, when sample sizes become too</w:t>
      </w:r>
      <w:r>
        <w:t xml:space="preserve"> </w:t>
      </w:r>
      <w:r>
        <w:t xml:space="preserve">small to apply our model,</w:t>
      </w:r>
      <w:r>
        <w:t xml:space="preserve"> </w:t>
      </w:r>
      <w:r>
        <w:t xml:space="preserve"> </w:t>
      </w:r>
      <w:r>
        <w:t xml:space="preserve">the expanded landings tend to represent a negligible proportion of total</w:t>
      </w:r>
      <w:r>
        <w:t xml:space="preserve"> </w:t>
      </w:r>
      <w:r>
        <w:t xml:space="preserve">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commercially relevant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purity, and consistency,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6.3% of the</w:t>
      </w:r>
      <w:r>
        <w:t xml:space="preserve"> </w:t>
      </w:r>
      <w:r>
        <w:t xml:space="preserve">sampled weight in 1978-1982. In 1978-1982 market category 267 might be better</w:t>
      </w:r>
      <w:r>
        <w:t xml:space="preserve"> </w:t>
      </w:r>
      <w:r>
        <w:t xml:space="preserve">named Widow as Widow rockfish amounts to 92.6% of sampled weight in this time</w:t>
      </w:r>
      <w:r>
        <w:t xml:space="preserve"> </w:t>
      </w:r>
      <w:r>
        <w:t xml:space="preserve">period, however considering the most recent time period (2000-2015), in Appendix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, market category 267 samples are composed of 99.6% Brown and</w:t>
      </w:r>
      <w:r>
        <w:t xml:space="preserve"> </w:t>
      </w:r>
      <w:r>
        <w:t xml:space="preserve">0% Widow.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data-generating-model-1"/>
      <w:bookmarkEnd w:id="44"/>
      <w:r>
        <w:t xml:space="preserve">Data Generating Model</w:t>
      </w:r>
    </w:p>
    <w:p>
      <w:pPr>
        <w:pStyle w:val="Heading3"/>
      </w:pPr>
      <w:bookmarkStart w:id="45" w:name="example"/>
      <w:bookmarkEnd w:id="45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 from</w:t>
      </w:r>
      <w:r>
        <w:t xml:space="preserve"> </w:t>
      </w:r>
      <w:r>
        <w:t xml:space="preserve">market category 250 for the Monterey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philosophies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Poisson</w:t>
      </w:r>
      <w:r>
        <w:t xml:space="preserve"> </w:t>
      </w:r>
      <w:r>
        <w:t xml:space="preserve">model showing the least support.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Figure(likelihoods)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Figure(likelihoods)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Figure(likelihoods)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variability and thus it is the only model that produces</w:t>
      </w:r>
      <w:r>
        <w:t xml:space="preserve"> </w:t>
      </w:r>
      <w:r>
        <w:t xml:space="preserve">predictive species composition distributions of the sort. Figure(violin)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Figure(likelihoods)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variability</w:t>
      </w:r>
      <w:r>
        <w:t xml:space="preserve"> </w:t>
      </w:r>
      <w:r>
        <w:t xml:space="preserve">predictive density may aggregate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8" w:name="predictor-and-prior-selection"/>
      <w:bookmarkEnd w:id="48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 the ability</w:t>
      </w:r>
      <w:r>
        <w:t xml:space="preserve"> </w:t>
      </w:r>
      <w:r>
        <w:t xml:space="preserve">to model differences in 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50" w:name="model-exploration-averaging-1"/>
      <w:bookmarkEnd w:id="50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 gives</w:t>
      </w:r>
      <w:r>
        <w:t xml:space="preserve"> </w:t>
      </w:r>
      <w:r>
        <w:t xml:space="preserve">distinct parameters to CRS and ERK, while pooling BRG/BDG, OSF/MNT/MRO, and</w:t>
      </w:r>
      <w:r>
        <w:t xml:space="preserve"> </w:t>
      </w:r>
      <w:r>
        <w:t xml:space="preserve">OSB/OLA/OSD. This model uses five parameters to model the ten ports complexes</w:t>
      </w:r>
      <w:r>
        <w:t xml:space="preserve"> </w:t>
      </w:r>
      <w:r>
        <w:t xml:space="preserve">in California. Given the set of candidate models explained above, the BMA</w:t>
      </w:r>
      <w:r>
        <w:t xml:space="preserve"> </w:t>
      </w:r>
      <w:r>
        <w:t xml:space="preserve">procedure weights this model at approximately 32% of the truth. Notice that the</w:t>
      </w:r>
      <w:r>
        <w:t xml:space="preserve"> </w:t>
      </w:r>
      <w:r>
        <w:t xml:space="preserve">only difference among the top four models is in how the port complexes south of</w:t>
      </w:r>
      <w:r>
        <w:t xml:space="preserve"> </w:t>
      </w:r>
      <w:r>
        <w:t xml:space="preserve">point conception are handled. In fact, when the seven northernly port complexes</w:t>
      </w:r>
      <w:r>
        <w:t xml:space="preserve"> </w:t>
      </w:r>
      <w:r>
        <w:t xml:space="preserve">are fixed in the described partitioning, the top four models represent all of the</w:t>
      </w:r>
      <w:r>
        <w:t xml:space="preserve"> </w:t>
      </w:r>
      <w:r>
        <w:t xml:space="preserve">possible partitionings of the southern three port complexes.</w:t>
      </w:r>
    </w:p>
    <w:p>
      <w:pPr>
        <w:pStyle w:val="BodyText"/>
      </w:pPr>
      <w:r>
        <w:t xml:space="preserve">In this modeled period it is known that no species composition sampling (landings?)</w:t>
      </w:r>
      <w:r>
        <w:t xml:space="preserve"> </w:t>
      </w:r>
      <w:r>
        <w:t xml:space="preserve">was 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When considering how the top four model partitionings share identical structure</w:t>
      </w:r>
      <w:r>
        <w:t xml:space="preserve"> </w:t>
      </w:r>
      <w:r>
        <w:t xml:space="preserve">in the seven northernly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northernly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zero landings?</w:t>
      </w:r>
    </w:p>
    <w:p>
      <w:pPr>
        <w:pStyle w:val="Heading2"/>
      </w:pPr>
      <w:bookmarkStart w:id="52" w:name="prediction"/>
      <w:bookmarkEnd w:id="52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4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3" w:name="section"/>
      <w:bookmarkEnd w:id="53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4" w:name="section-1"/>
      <w:bookmarkEnd w:id="54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55" w:name="nuisance-parameters"/>
      <w:bookmarkEnd w:id="55"/>
      <w:r>
        <w:t xml:space="preserve">Nuisance Parameters</w:t>
      </w:r>
    </w:p>
    <w:p>
      <w:pPr>
        <w:pStyle w:val="Heading3"/>
      </w:pPr>
      <w:bookmarkStart w:id="56" w:name="section-2"/>
      <w:bookmarkEnd w:id="56"/>
      <w:r>
        <w:t xml:space="preserve">78-82</w:t>
      </w:r>
    </w:p>
    <w:p>
      <w:pPr>
        <w:pStyle w:val="Heading4"/>
      </w:pPr>
      <w:bookmarkStart w:id="57" w:name="rho"/>
      <w:bookmarkEnd w:id="57"/>
      <m:oMath>
        <m:r>
          <m:rPr/>
          <m:t>ρ</m:t>
        </m:r>
      </m:oMath>
    </w:p>
    <w:p>
      <w:pPr>
        <w:pStyle w:val="Heading4"/>
      </w:pPr>
      <w:bookmarkStart w:id="58" w:name="v"/>
      <w:bookmarkEnd w:id="58"/>
      <m:oMath>
        <m:r>
          <m:rPr/>
          <m:t>v</m:t>
        </m:r>
      </m:oMath>
    </w:p>
    <w:p>
      <w:pPr>
        <w:pStyle w:val="Heading3"/>
      </w:pPr>
      <w:bookmarkStart w:id="59" w:name="section-3"/>
      <w:bookmarkEnd w:id="59"/>
      <w:r>
        <w:t xml:space="preserve">83-90</w:t>
      </w:r>
    </w:p>
    <w:p>
      <w:pPr>
        <w:pStyle w:val="Heading4"/>
      </w:pPr>
      <w:bookmarkStart w:id="60" w:name="rho-1"/>
      <w:bookmarkEnd w:id="60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61" w:name="v-1"/>
      <w:bookmarkEnd w:id="61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2" w:name="discussion"/>
      <w:bookmarkEnd w:id="62"/>
      <w:r>
        <w:t xml:space="preserve">Discussion</w:t>
      </w:r>
    </w:p>
    <w:p>
      <w:pPr>
        <w:numPr>
          <w:numId w:val="1007"/>
          <w:ilvl w:val="0"/>
        </w:numPr>
      </w:pPr>
      <w:r>
        <w:t xml:space="preserve">Variance Estimates; Justify Model based statistics</w:t>
      </w:r>
    </w:p>
    <w:p>
      <w:pPr>
        <w:numPr>
          <w:numId w:val="1007"/>
          <w:ilvl w:val="0"/>
        </w:numPr>
      </w:pPr>
      <w:r>
        <w:t xml:space="preserve">Biase/Variance trade off; hierarchical modeling</w:t>
      </w:r>
    </w:p>
    <w:p>
      <w:pPr>
        <w:pStyle w:val="Compact"/>
        <w:numPr>
          <w:numId w:val="1007"/>
          <w:ilvl w:val="0"/>
        </w:numPr>
      </w:pPr>
      <w:r>
        <w:t xml:space="preserve">Prediction: tails lighter due to inla?</w:t>
      </w:r>
    </w:p>
    <w:p>
      <w:pPr>
        <w:pStyle w:val="Compact"/>
        <w:numPr>
          <w:numId w:val="1008"/>
          <w:ilvl w:val="1"/>
        </w:numPr>
      </w:pPr>
      <w:r>
        <w:t xml:space="preserve">higher degree Laplace approximation will better capture higher moments of posterior and thus may better capture information in the tails</w:t>
      </w:r>
    </w:p>
    <w:p>
      <w:pPr>
        <w:pStyle w:val="Compact"/>
        <w:numPr>
          <w:numId w:val="1007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numPr>
          <w:numId w:val="1007"/>
          <w:ilvl w:val="0"/>
        </w:numPr>
      </w:pPr>
      <w:r>
        <w:t xml:space="preserve">lower rho might predict more appropriately?</w:t>
      </w:r>
    </w:p>
    <w:p>
      <w:pPr>
        <w:pStyle w:val="Compact"/>
        <w:numPr>
          <w:numId w:val="1007"/>
          <w:ilvl w:val="0"/>
        </w:numPr>
      </w:pPr>
      <w:r>
        <w:t xml:space="preserve">Model averaging</w:t>
      </w:r>
    </w:p>
    <w:p>
      <w:pPr>
        <w:pStyle w:val="Compact"/>
        <w:numPr>
          <w:numId w:val="1009"/>
          <w:ilvl w:val="1"/>
        </w:numPr>
      </w:pPr>
      <w:r>
        <w:t xml:space="preserve">Interpret/Speculate</w:t>
      </w:r>
    </w:p>
    <w:p>
      <w:pPr>
        <w:pStyle w:val="Compact"/>
        <w:numPr>
          <w:numId w:val="1007"/>
          <w:ilvl w:val="0"/>
        </w:numPr>
      </w:pPr>
      <w:r>
        <w:t xml:space="preserve">Looking Forward</w:t>
      </w:r>
    </w:p>
    <w:p>
      <w:pPr>
        <w:pStyle w:val="Compact"/>
        <w:numPr>
          <w:numId w:val="1010"/>
          <w:ilvl w:val="1"/>
        </w:numPr>
      </w:pPr>
      <w:r>
        <w:t xml:space="preserve">forecasting/hindcasting</w:t>
      </w:r>
    </w:p>
    <w:p>
      <w:pPr>
        <w:pStyle w:val="Compact"/>
        <w:numPr>
          <w:numId w:val="1011"/>
          <w:ilvl w:val="2"/>
        </w:numPr>
      </w:pPr>
      <w:r>
        <w:t xml:space="preserve">simple</w:t>
      </w:r>
    </w:p>
    <w:p>
      <w:pPr>
        <w:pStyle w:val="Compact"/>
        <w:numPr>
          <w:numId w:val="1011"/>
          <w:ilvl w:val="2"/>
        </w:numPr>
      </w:pPr>
      <w:r>
        <w:t xml:space="preserve">time series models</w:t>
      </w:r>
    </w:p>
    <w:p>
      <w:pPr>
        <w:pStyle w:val="Compact"/>
        <w:numPr>
          <w:numId w:val="1010"/>
          <w:ilvl w:val="1"/>
        </w:numPr>
      </w:pPr>
      <w:r>
        <w:t xml:space="preserve">more computation faster</w:t>
      </w:r>
    </w:p>
    <w:p>
      <w:pPr>
        <w:pStyle w:val="Compact"/>
        <w:numPr>
          <w:numId w:val="1012"/>
          <w:ilvl w:val="2"/>
        </w:numPr>
      </w:pPr>
      <w:r>
        <w:t xml:space="preserve">broader model exploration</w:t>
      </w:r>
    </w:p>
    <w:p>
      <w:pPr>
        <w:pStyle w:val="Compact"/>
        <w:numPr>
          <w:numId w:val="1012"/>
          <w:ilvl w:val="2"/>
        </w:numPr>
      </w:pPr>
      <w:r>
        <w:t xml:space="preserve">broader spatial expansion</w:t>
      </w:r>
    </w:p>
    <w:p>
      <w:pPr>
        <w:pStyle w:val="Compact"/>
        <w:numPr>
          <w:numId w:val="1010"/>
          <w:ilvl w:val="1"/>
        </w:numPr>
      </w:pPr>
      <w:r>
        <w:t xml:space="preserve">Hierarchical Spatial Models</w:t>
      </w:r>
    </w:p>
    <w:p>
      <w:pPr>
        <w:pStyle w:val="Compact"/>
        <w:numPr>
          <w:numId w:val="1010"/>
          <w:ilvl w:val="1"/>
        </w:numPr>
      </w:pPr>
      <w:r>
        <w:t xml:space="preserve">DP Models</w:t>
      </w:r>
    </w:p>
    <w:p>
      <w:pPr>
        <w:pStyle w:val="Heading1"/>
      </w:pPr>
      <w:bookmarkStart w:id="63" w:name="appendix"/>
      <w:bookmarkEnd w:id="63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cdda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2153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3" Target="media/rId43.pdf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8" Target="media/rId68.pdf" /><Relationship Type="http://schemas.openxmlformats.org/officeDocument/2006/relationships/image" Id="rId64" Target="media/rId64.png" /><Relationship Type="http://schemas.openxmlformats.org/officeDocument/2006/relationships/image" Id="rId49" Target="media/rId49.pdf" /><Relationship Type="http://schemas.openxmlformats.org/officeDocument/2006/relationships/image" Id="rId23" Target="media/rId2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