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website-wireframe-specification-v0.1"/>
    <w:p>
      <w:pPr>
        <w:pStyle w:val="Heading1"/>
      </w:pPr>
      <w:r>
        <w:t xml:space="preserve">Website Wireframe Specification v0.1</w:t>
      </w:r>
    </w:p>
    <w:bookmarkStart w:id="21" w:name="status-and-scope-boundaries"/>
    <w:p>
      <w:pPr>
        <w:pStyle w:val="Heading2"/>
      </w:pPr>
      <w:r>
        <w:t xml:space="preserve">Status and Scope Boundaries</w:t>
      </w:r>
    </w:p>
    <w:p>
      <w:pPr>
        <w:pStyle w:val="FirstParagraph"/>
      </w:pPr>
      <w:r>
        <w:t xml:space="preserve">This document defines a</w:t>
      </w:r>
      <w:r>
        <w:t xml:space="preserve"> </w:t>
      </w:r>
      <w:r>
        <w:rPr>
          <w:b/>
          <w:bCs/>
        </w:rPr>
        <w:t xml:space="preserve">conceptual wireframe</w:t>
      </w:r>
      <w:r>
        <w:t xml:space="preserve"> </w:t>
      </w:r>
      <w:r>
        <w:t xml:space="preserve">for the first BecomingOS marketing site. It is planning‑only and does</w:t>
      </w:r>
      <w:r>
        <w:t xml:space="preserve"> </w:t>
      </w:r>
      <w:r>
        <w:rPr>
          <w:b/>
          <w:bCs/>
        </w:rPr>
        <w:t xml:space="preserve">not</w:t>
      </w:r>
      <w:r>
        <w:t xml:space="preserve"> </w:t>
      </w:r>
      <w:r>
        <w:t xml:space="preserve">approve a public launch, MVP build, production readiness or commercial release. BecomingOS remains pre‑MVP with limited private‑beta planning. All content must respect the non‑clinical boundaries and avoid making medical, legal, financial or crisis‑related claims. The website is intended to collect waitlist/private‑beta interest and to validate positioning, not to promise outcomes or pricing.</w:t>
      </w:r>
    </w:p>
    <w:bookmarkEnd w:id="21"/>
    <w:bookmarkStart w:id="22" w:name="page-map"/>
    <w:p>
      <w:pPr>
        <w:pStyle w:val="Heading2"/>
      </w:pPr>
      <w:r>
        <w:t xml:space="preserve">Page Map</w:t>
      </w:r>
    </w:p>
    <w:p>
      <w:pPr>
        <w:pStyle w:val="FirstParagraph"/>
      </w:pPr>
      <w:r>
        <w:t xml:space="preserve">The site consists of the following pages:</w:t>
      </w:r>
    </w:p>
    <w:p>
      <w:pPr>
        <w:pStyle w:val="Compact"/>
        <w:numPr>
          <w:ilvl w:val="0"/>
          <w:numId w:val="1001"/>
        </w:numPr>
      </w:pPr>
      <w:r>
        <w:rPr>
          <w:b/>
          <w:bCs/>
        </w:rPr>
        <w:t xml:space="preserve">Home</w:t>
      </w:r>
      <w:r>
        <w:t xml:space="preserve"> </w:t>
      </w:r>
      <w:r>
        <w:t xml:space="preserve">(</w:t>
      </w:r>
      <w:r>
        <w:rPr>
          <w:rStyle w:val="VerbatimChar"/>
        </w:rPr>
        <w:t xml:space="preserve">/</w:t>
      </w:r>
      <w:r>
        <w:t xml:space="preserve">)</w:t>
      </w:r>
    </w:p>
    <w:p>
      <w:pPr>
        <w:pStyle w:val="Compact"/>
        <w:numPr>
          <w:ilvl w:val="0"/>
          <w:numId w:val="1001"/>
        </w:numPr>
      </w:pPr>
      <w:r>
        <w:rPr>
          <w:b/>
          <w:bCs/>
        </w:rPr>
        <w:t xml:space="preserve">About / Founder story</w:t>
      </w:r>
      <w:r>
        <w:t xml:space="preserve"> </w:t>
      </w:r>
      <w:r>
        <w:t xml:space="preserve">(</w:t>
      </w:r>
      <w:r>
        <w:rPr>
          <w:rStyle w:val="VerbatimChar"/>
        </w:rPr>
        <w:t xml:space="preserve">/about</w:t>
      </w:r>
      <w:r>
        <w:t xml:space="preserve">)</w:t>
      </w:r>
    </w:p>
    <w:p>
      <w:pPr>
        <w:pStyle w:val="Compact"/>
        <w:numPr>
          <w:ilvl w:val="0"/>
          <w:numId w:val="1001"/>
        </w:numPr>
      </w:pPr>
      <w:r>
        <w:rPr>
          <w:b/>
          <w:bCs/>
        </w:rPr>
        <w:t xml:space="preserve">Beta / Signup</w:t>
      </w:r>
      <w:r>
        <w:t xml:space="preserve"> </w:t>
      </w:r>
      <w:r>
        <w:t xml:space="preserve">(</w:t>
      </w:r>
      <w:r>
        <w:rPr>
          <w:rStyle w:val="VerbatimChar"/>
        </w:rPr>
        <w:t xml:space="preserve">/beta</w:t>
      </w:r>
      <w:r>
        <w:t xml:space="preserve">)</w:t>
      </w:r>
    </w:p>
    <w:p>
      <w:pPr>
        <w:pStyle w:val="Compact"/>
        <w:numPr>
          <w:ilvl w:val="0"/>
          <w:numId w:val="1001"/>
        </w:numPr>
      </w:pPr>
      <w:r>
        <w:rPr>
          <w:b/>
          <w:bCs/>
        </w:rPr>
        <w:t xml:space="preserve">Privacy summary</w:t>
      </w:r>
      <w:r>
        <w:t xml:space="preserve"> </w:t>
      </w:r>
      <w:r>
        <w:t xml:space="preserve">(</w:t>
      </w:r>
      <w:r>
        <w:rPr>
          <w:rStyle w:val="VerbatimChar"/>
        </w:rPr>
        <w:t xml:space="preserve">/privacy</w:t>
      </w:r>
      <w:r>
        <w:t xml:space="preserve">)</w:t>
      </w:r>
    </w:p>
    <w:p>
      <w:pPr>
        <w:pStyle w:val="Compact"/>
        <w:numPr>
          <w:ilvl w:val="0"/>
          <w:numId w:val="1001"/>
        </w:numPr>
      </w:pPr>
      <w:r>
        <w:rPr>
          <w:b/>
          <w:bCs/>
        </w:rPr>
        <w:t xml:space="preserve">Safety / Non‑clinical boundary</w:t>
      </w:r>
      <w:r>
        <w:t xml:space="preserve"> </w:t>
      </w:r>
      <w:r>
        <w:t xml:space="preserve">(</w:t>
      </w:r>
      <w:r>
        <w:rPr>
          <w:rStyle w:val="VerbatimChar"/>
        </w:rPr>
        <w:t xml:space="preserve">/safety</w:t>
      </w:r>
      <w:r>
        <w:t xml:space="preserve">)</w:t>
      </w:r>
    </w:p>
    <w:p>
      <w:pPr>
        <w:pStyle w:val="Compact"/>
        <w:numPr>
          <w:ilvl w:val="0"/>
          <w:numId w:val="1001"/>
        </w:numPr>
      </w:pPr>
      <w:r>
        <w:rPr>
          <w:b/>
          <w:bCs/>
        </w:rPr>
        <w:t xml:space="preserve">Terms</w:t>
      </w:r>
      <w:r>
        <w:t xml:space="preserve"> </w:t>
      </w:r>
      <w:r>
        <w:t xml:space="preserve">(</w:t>
      </w:r>
      <w:r>
        <w:rPr>
          <w:rStyle w:val="VerbatimChar"/>
        </w:rPr>
        <w:t xml:space="preserve">/terms</w:t>
      </w:r>
      <w:r>
        <w:t xml:space="preserve">)</w:t>
      </w:r>
    </w:p>
    <w:p>
      <w:pPr>
        <w:pStyle w:val="Compact"/>
        <w:numPr>
          <w:ilvl w:val="0"/>
          <w:numId w:val="1001"/>
        </w:numPr>
      </w:pPr>
      <w:r>
        <w:rPr>
          <w:b/>
          <w:bCs/>
        </w:rPr>
        <w:t xml:space="preserve">Contact</w:t>
      </w:r>
      <w:r>
        <w:t xml:space="preserve"> </w:t>
      </w:r>
      <w:r>
        <w:t xml:space="preserve">(</w:t>
      </w:r>
      <w:r>
        <w:rPr>
          <w:rStyle w:val="VerbatimChar"/>
        </w:rPr>
        <w:t xml:space="preserve">/contact</w:t>
      </w:r>
      <w:r>
        <w:t xml:space="preserve">)</w:t>
      </w:r>
    </w:p>
    <w:bookmarkEnd w:id="22"/>
    <w:bookmarkStart w:id="34" w:name="homepage-sectionbysection-wireframe"/>
    <w:p>
      <w:pPr>
        <w:pStyle w:val="Heading2"/>
      </w:pPr>
      <w:r>
        <w:t xml:space="preserve">Homepage Section‑by‑Section Wireframe</w:t>
      </w:r>
    </w:p>
    <w:bookmarkStart w:id="23" w:name="hero-section"/>
    <w:p>
      <w:pPr>
        <w:pStyle w:val="Heading3"/>
      </w:pPr>
      <w:r>
        <w:t xml:space="preserve">Hero Section</w:t>
      </w:r>
    </w:p>
    <w:p>
      <w:pPr>
        <w:pStyle w:val="FirstParagraph"/>
      </w:pPr>
      <w:r>
        <w:rPr>
          <w:b/>
          <w:bCs/>
        </w:rPr>
        <w:t xml:space="preserve">Elements:</w:t>
      </w:r>
      <w:r>
        <w:t xml:space="preserve"> </w:t>
      </w:r>
      <w:r>
        <w:t xml:space="preserve">Logo/wordmark, hero headline (“Build the future version of yourself”), subheadline, trust line (“Non‑clinical. Private by design. You control what the AI remembers”), primary CTA (Join the Private Beta) and optional secondary CTA (See How It Works). Include a simple product visual or mockup showing the interface without sensitive data.</w:t>
      </w:r>
    </w:p>
    <w:p>
      <w:pPr>
        <w:pStyle w:val="BodyText"/>
      </w:pPr>
      <w:r>
        <w:rPr>
          <w:b/>
          <w:bCs/>
        </w:rPr>
        <w:t xml:space="preserve">Layout:</w:t>
      </w:r>
      <w:r>
        <w:t xml:space="preserve"> </w:t>
      </w:r>
      <w:r>
        <w:t xml:space="preserve">Two‑column on desktop: copy on the left and product visual on the right. On mobile, stack copy above the visual. The primary CTA button should be prominent and anchored below the hero copy.</w:t>
      </w:r>
    </w:p>
    <w:p>
      <w:pPr>
        <w:pStyle w:val="BodyText"/>
      </w:pPr>
      <w:r>
        <w:rPr>
          <w:b/>
          <w:bCs/>
        </w:rPr>
        <w:t xml:space="preserve">Purpose:</w:t>
      </w:r>
      <w:r>
        <w:t xml:space="preserve"> </w:t>
      </w:r>
      <w:r>
        <w:t xml:space="preserve">Convey the core proposition within the first viewport and invite users to sign up.</w:t>
      </w:r>
    </w:p>
    <w:bookmarkEnd w:id="23"/>
    <w:bookmarkStart w:id="24" w:name="problem-section"/>
    <w:p>
      <w:pPr>
        <w:pStyle w:val="Heading3"/>
      </w:pPr>
      <w:r>
        <w:t xml:space="preserve">Problem Section</w:t>
      </w:r>
    </w:p>
    <w:p>
      <w:pPr>
        <w:pStyle w:val="FirstParagraph"/>
      </w:pPr>
      <w:r>
        <w:rPr>
          <w:b/>
          <w:bCs/>
        </w:rPr>
        <w:t xml:space="preserve">Heading:</w:t>
      </w:r>
      <w:r>
        <w:t xml:space="preserve"> </w:t>
      </w:r>
      <w:r>
        <w:t xml:space="preserve">“You do not need another habit tracker. You need a system that remembers what matters”.</w:t>
      </w:r>
    </w:p>
    <w:p>
      <w:pPr>
        <w:pStyle w:val="BodyText"/>
      </w:pPr>
      <w:r>
        <w:rPr>
          <w:b/>
          <w:bCs/>
        </w:rPr>
        <w:t xml:space="preserve">Copy:</w:t>
      </w:r>
      <w:r>
        <w:t xml:space="preserve"> </w:t>
      </w:r>
      <w:r>
        <w:t xml:space="preserve">Short paragraphs describing pain points: scattered goals and notes, calendars misaligned with priorities, generic AI lacking personal context and the challenge of following through. Use a combination of sentences and bullet lists for readability.</w:t>
      </w:r>
    </w:p>
    <w:p>
      <w:pPr>
        <w:pStyle w:val="BodyText"/>
      </w:pPr>
      <w:r>
        <w:rPr>
          <w:b/>
          <w:bCs/>
        </w:rPr>
        <w:t xml:space="preserve">Layout:</w:t>
      </w:r>
      <w:r>
        <w:t xml:space="preserve"> </w:t>
      </w:r>
      <w:r>
        <w:t xml:space="preserve">Full‑width section with iconography or simple illustrations that visualise overwhelm (e.g., scattered post‑it notes or fragmented apps). Place copy centrally with generous white space.</w:t>
      </w:r>
    </w:p>
    <w:p>
      <w:pPr>
        <w:pStyle w:val="BodyText"/>
      </w:pPr>
      <w:r>
        <w:rPr>
          <w:b/>
          <w:bCs/>
        </w:rPr>
        <w:t xml:space="preserve">Purpose:</w:t>
      </w:r>
      <w:r>
        <w:t xml:space="preserve"> </w:t>
      </w:r>
      <w:r>
        <w:t xml:space="preserve">Elicit empathy and explain why existing tools fall short.</w:t>
      </w:r>
    </w:p>
    <w:bookmarkEnd w:id="24"/>
    <w:bookmarkStart w:id="25" w:name="solution-section"/>
    <w:p>
      <w:pPr>
        <w:pStyle w:val="Heading3"/>
      </w:pPr>
      <w:r>
        <w:t xml:space="preserve">Solution Section</w:t>
      </w:r>
    </w:p>
    <w:p>
      <w:pPr>
        <w:pStyle w:val="FirstParagraph"/>
      </w:pPr>
      <w:r>
        <w:rPr>
          <w:b/>
          <w:bCs/>
        </w:rPr>
        <w:t xml:space="preserve">Heading:</w:t>
      </w:r>
      <w:r>
        <w:t xml:space="preserve"> </w:t>
      </w:r>
      <w:r>
        <w:t xml:space="preserve">“One personal AI system for self‑discovery, memory, decisions and daily direction”.</w:t>
      </w:r>
    </w:p>
    <w:p>
      <w:pPr>
        <w:pStyle w:val="BodyText"/>
      </w:pPr>
      <w:r>
        <w:rPr>
          <w:b/>
          <w:bCs/>
        </w:rPr>
        <w:t xml:space="preserve">Copy:</w:t>
      </w:r>
      <w:r>
        <w:t xml:space="preserve"> </w:t>
      </w:r>
      <w:r>
        <w:t xml:space="preserve">Describe how BecomingOS connects values, goals, memories, decisions and daily plans into one system. Emphasise user‑confirmed memory and that the AI only learns from approved context.</w:t>
      </w:r>
    </w:p>
    <w:p>
      <w:pPr>
        <w:pStyle w:val="BodyText"/>
      </w:pPr>
      <w:r>
        <w:rPr>
          <w:b/>
          <w:bCs/>
        </w:rPr>
        <w:t xml:space="preserve">Feature cards:</w:t>
      </w:r>
      <w:r>
        <w:t xml:space="preserve"> </w:t>
      </w:r>
      <w:r>
        <w:t xml:space="preserve">Present the seven key features (Self‑Discovery Journey, Memory Engine, Future Self Builder, Decision Engine, Today Plan, Life Capture, Support Circle) as individual cards with an icon, feature name and one‑sentence description. Arrange them in a responsive grid (e.g., two or three columns on desktop, one column on mobile).</w:t>
      </w:r>
    </w:p>
    <w:p>
      <w:pPr>
        <w:pStyle w:val="BodyText"/>
      </w:pPr>
      <w:r>
        <w:rPr>
          <w:b/>
          <w:bCs/>
        </w:rPr>
        <w:t xml:space="preserve">Purpose:</w:t>
      </w:r>
      <w:r>
        <w:t xml:space="preserve"> </w:t>
      </w:r>
      <w:r>
        <w:t xml:space="preserve">Explain what makes BecomingOS different and outline the core functionality without overselling outcomes.</w:t>
      </w:r>
    </w:p>
    <w:bookmarkEnd w:id="25"/>
    <w:bookmarkStart w:id="26" w:name="howitworks-section"/>
    <w:p>
      <w:pPr>
        <w:pStyle w:val="Heading3"/>
      </w:pPr>
      <w:r>
        <w:t xml:space="preserve">How‑It‑Works Section</w:t>
      </w:r>
    </w:p>
    <w:p>
      <w:pPr>
        <w:pStyle w:val="FirstParagraph"/>
      </w:pPr>
      <w:r>
        <w:rPr>
          <w:b/>
          <w:bCs/>
        </w:rPr>
        <w:t xml:space="preserve">Heading:</w:t>
      </w:r>
      <w:r>
        <w:t xml:space="preserve"> </w:t>
      </w:r>
      <w:r>
        <w:t xml:space="preserve">“How BecomingOS works”.</w:t>
      </w:r>
    </w:p>
    <w:p>
      <w:pPr>
        <w:pStyle w:val="BodyText"/>
      </w:pPr>
      <w:r>
        <w:rPr>
          <w:b/>
          <w:bCs/>
        </w:rPr>
        <w:t xml:space="preserve">Flow:</w:t>
      </w:r>
      <w:r>
        <w:t xml:space="preserve"> </w:t>
      </w:r>
      <w:r>
        <w:t xml:space="preserve">Use a four‑step visual: (1) Answer guided questions, (2) Confirm memory, (3) Build your Future Self, (4) Plan and decide with context. Represent steps as numbered blocks or a horizontal timeline with simple icons. Briefly explain each step below its number.</w:t>
      </w:r>
    </w:p>
    <w:p>
      <w:pPr>
        <w:pStyle w:val="BodyText"/>
      </w:pPr>
      <w:r>
        <w:rPr>
          <w:b/>
          <w:bCs/>
        </w:rPr>
        <w:t xml:space="preserve">Purpose:</w:t>
      </w:r>
      <w:r>
        <w:t xml:space="preserve"> </w:t>
      </w:r>
      <w:r>
        <w:t xml:space="preserve">Demystify the process and reduce friction by showing a clear journey to value.</w:t>
      </w:r>
    </w:p>
    <w:bookmarkEnd w:id="26"/>
    <w:bookmarkStart w:id="27" w:name="product-preview-section"/>
    <w:p>
      <w:pPr>
        <w:pStyle w:val="Heading3"/>
      </w:pPr>
      <w:r>
        <w:t xml:space="preserve">Product Preview Section</w:t>
      </w:r>
    </w:p>
    <w:p>
      <w:pPr>
        <w:pStyle w:val="FirstParagraph"/>
      </w:pPr>
      <w:r>
        <w:rPr>
          <w:b/>
          <w:bCs/>
        </w:rPr>
        <w:t xml:space="preserve">Heading:</w:t>
      </w:r>
      <w:r>
        <w:t xml:space="preserve"> </w:t>
      </w:r>
      <w:r>
        <w:t xml:space="preserve">“See your life as a system”.</w:t>
      </w:r>
    </w:p>
    <w:p>
      <w:pPr>
        <w:pStyle w:val="BodyText"/>
      </w:pPr>
      <w:r>
        <w:rPr>
          <w:b/>
          <w:bCs/>
        </w:rPr>
        <w:t xml:space="preserve">Mockups:</w:t>
      </w:r>
      <w:r>
        <w:t xml:space="preserve"> </w:t>
      </w:r>
      <w:r>
        <w:t xml:space="preserve">Display labelled screenshots of key screens: onboarding questions, memory confirmation, Future Self profile, decision guidance, Today Plan, Life Capture upload. Use a carousel or grid on desktop; a swipeable stack on mobile. Each mockup should use fictional data and avoid medical, legal, financial or crisis examples.</w:t>
      </w:r>
    </w:p>
    <w:p>
      <w:pPr>
        <w:pStyle w:val="BodyText"/>
      </w:pPr>
      <w:r>
        <w:rPr>
          <w:b/>
          <w:bCs/>
        </w:rPr>
        <w:t xml:space="preserve">Purpose:</w:t>
      </w:r>
      <w:r>
        <w:t xml:space="preserve"> </w:t>
      </w:r>
      <w:r>
        <w:t xml:space="preserve">Give visitors a tangible sense of the interface and inspire confidence without disclosing sensitive data.</w:t>
      </w:r>
    </w:p>
    <w:bookmarkEnd w:id="27"/>
    <w:bookmarkStart w:id="28" w:name="privacy-and-trust-section"/>
    <w:p>
      <w:pPr>
        <w:pStyle w:val="Heading3"/>
      </w:pPr>
      <w:r>
        <w:t xml:space="preserve">Privacy and Trust Section</w:t>
      </w:r>
    </w:p>
    <w:p>
      <w:pPr>
        <w:pStyle w:val="FirstParagraph"/>
      </w:pPr>
      <w:r>
        <w:rPr>
          <w:b/>
          <w:bCs/>
        </w:rPr>
        <w:t xml:space="preserve">Heading:</w:t>
      </w:r>
      <w:r>
        <w:t xml:space="preserve"> </w:t>
      </w:r>
      <w:r>
        <w:t xml:space="preserve">“Private by design. User‑confirmed by default”.</w:t>
      </w:r>
    </w:p>
    <w:p>
      <w:pPr>
        <w:pStyle w:val="BodyText"/>
      </w:pPr>
      <w:r>
        <w:rPr>
          <w:b/>
          <w:bCs/>
        </w:rPr>
        <w:t xml:space="preserve">Copy:</w:t>
      </w:r>
      <w:r>
        <w:t xml:space="preserve"> </w:t>
      </w:r>
      <w:r>
        <w:t xml:space="preserve">Explain that nothing becomes memory without user approval, that users can edit or delete saved memories and that rejected or deleted items are not used. Use bullets emphasising user control over sharing, memory confirmation, editing and deletion, and that the product is not therapy, diagnosis or crisis support. Link to the full privacy page and safety page for details.</w:t>
      </w:r>
    </w:p>
    <w:p>
      <w:pPr>
        <w:pStyle w:val="BodyText"/>
      </w:pPr>
      <w:r>
        <w:rPr>
          <w:b/>
          <w:bCs/>
        </w:rPr>
        <w:t xml:space="preserve">Visuals:</w:t>
      </w:r>
      <w:r>
        <w:t xml:space="preserve"> </w:t>
      </w:r>
      <w:r>
        <w:t xml:space="preserve">Use simple icons (e.g., shield, lock, check marks) and call out the non‑clinical boundary. Consider a short trust line near the signup CTA.</w:t>
      </w:r>
    </w:p>
    <w:bookmarkEnd w:id="28"/>
    <w:bookmarkStart w:id="29" w:name="audience-who-it-is-for-section"/>
    <w:p>
      <w:pPr>
        <w:pStyle w:val="Heading3"/>
      </w:pPr>
      <w:r>
        <w:t xml:space="preserve">Audience (“Who It Is For”) Section</w:t>
      </w:r>
    </w:p>
    <w:p>
      <w:pPr>
        <w:pStyle w:val="FirstParagraph"/>
      </w:pPr>
      <w:r>
        <w:rPr>
          <w:b/>
          <w:bCs/>
        </w:rPr>
        <w:t xml:space="preserve">Heading:</w:t>
      </w:r>
      <w:r>
        <w:t xml:space="preserve"> </w:t>
      </w:r>
      <w:r>
        <w:t xml:space="preserve">“Built for people who are serious about becoming more aligned”.</w:t>
      </w:r>
    </w:p>
    <w:p>
      <w:pPr>
        <w:pStyle w:val="BodyText"/>
      </w:pPr>
      <w:r>
        <w:rPr>
          <w:b/>
          <w:bCs/>
        </w:rPr>
        <w:t xml:space="preserve">Copy:</w:t>
      </w:r>
      <w:r>
        <w:t xml:space="preserve"> </w:t>
      </w:r>
      <w:r>
        <w:t xml:space="preserve">Explain that the system is for those who want more than motivation – entrepreneurs, carers, busy parents, people rebuilding routines and those already using journaling, ChatGPT, calendars or habit apps. Use tiles or icons representing each segment. Encourage visitors to see themselves in the descriptions without promising specific results.</w:t>
      </w:r>
    </w:p>
    <w:bookmarkEnd w:id="29"/>
    <w:bookmarkStart w:id="30" w:name="not-for-section"/>
    <w:p>
      <w:pPr>
        <w:pStyle w:val="Heading3"/>
      </w:pPr>
      <w:r>
        <w:t xml:space="preserve">Not For Section</w:t>
      </w:r>
    </w:p>
    <w:p>
      <w:pPr>
        <w:pStyle w:val="FirstParagraph"/>
      </w:pPr>
      <w:r>
        <w:rPr>
          <w:b/>
          <w:bCs/>
        </w:rPr>
        <w:t xml:space="preserve">Heading:</w:t>
      </w:r>
      <w:r>
        <w:t xml:space="preserve"> </w:t>
      </w:r>
      <w:r>
        <w:t xml:space="preserve">“What BecomingOS is not”.</w:t>
      </w:r>
    </w:p>
    <w:p>
      <w:pPr>
        <w:pStyle w:val="BodyText"/>
      </w:pPr>
      <w:r>
        <w:rPr>
          <w:b/>
          <w:bCs/>
        </w:rPr>
        <w:t xml:space="preserve">Copy:</w:t>
      </w:r>
      <w:r>
        <w:t xml:space="preserve"> </w:t>
      </w:r>
      <w:r>
        <w:t xml:space="preserve">Clearly state that BecomingOS is</w:t>
      </w:r>
      <w:r>
        <w:t xml:space="preserve"> </w:t>
      </w:r>
      <w:r>
        <w:rPr>
          <w:b/>
          <w:bCs/>
        </w:rPr>
        <w:t xml:space="preserve">not</w:t>
      </w:r>
      <w:r>
        <w:t xml:space="preserve"> </w:t>
      </w:r>
      <w:r>
        <w:t xml:space="preserve">a therapist, emergency service, diagnosis tool, crisis monitor, medical provider, lawyer, financial adviser or replacement for professional support. Emphasise that it is a non‑clinical reflection and planning system and signpost to crisis services when relevant.</w:t>
      </w:r>
    </w:p>
    <w:p>
      <w:pPr>
        <w:pStyle w:val="BodyText"/>
      </w:pPr>
      <w:r>
        <w:rPr>
          <w:b/>
          <w:bCs/>
        </w:rPr>
        <w:t xml:space="preserve">Layout:</w:t>
      </w:r>
      <w:r>
        <w:t xml:space="preserve"> </w:t>
      </w:r>
      <w:r>
        <w:t xml:space="preserve">Use a contrasting background or call‑out box to draw attention.</w:t>
      </w:r>
    </w:p>
    <w:bookmarkEnd w:id="30"/>
    <w:bookmarkStart w:id="31" w:name="signup-section"/>
    <w:p>
      <w:pPr>
        <w:pStyle w:val="Heading3"/>
      </w:pPr>
      <w:r>
        <w:t xml:space="preserve">Signup Section</w:t>
      </w:r>
    </w:p>
    <w:p>
      <w:pPr>
        <w:pStyle w:val="FirstParagraph"/>
      </w:pPr>
      <w:r>
        <w:rPr>
          <w:b/>
          <w:bCs/>
        </w:rPr>
        <w:t xml:space="preserve">Heading:</w:t>
      </w:r>
      <w:r>
        <w:t xml:space="preserve"> </w:t>
      </w:r>
      <w:r>
        <w:t xml:space="preserve">“Join the private beta”.</w:t>
      </w:r>
    </w:p>
    <w:p>
      <w:pPr>
        <w:pStyle w:val="BodyText"/>
      </w:pPr>
      <w:r>
        <w:rPr>
          <w:b/>
          <w:bCs/>
        </w:rPr>
        <w:t xml:space="preserve">Copy:</w:t>
      </w:r>
      <w:r>
        <w:t xml:space="preserve"> </w:t>
      </w:r>
      <w:r>
        <w:t xml:space="preserve">Explain that BecomingOS is pre‑MVP and limited seats are available for trusted early testers. Encourage users to tell you what they are trying to improve so you can invite the right participants.</w:t>
      </w:r>
    </w:p>
    <w:p>
      <w:pPr>
        <w:pStyle w:val="BodyText"/>
      </w:pPr>
      <w:r>
        <w:rPr>
          <w:b/>
          <w:bCs/>
        </w:rPr>
        <w:t xml:space="preserve">Form:</w:t>
      </w:r>
      <w:r>
        <w:t xml:space="preserve"> </w:t>
      </w:r>
      <w:r>
        <w:t xml:space="preserve">Include fields for first name, email address, main reason for interest, what you are trying to improve and audience segment (entrepreneur, carer, busy parent, rebuilding routines, self‑improvement user, other) plus a consent checkbox. The primary CTA button (“Join the Private Beta”) should be prominent. A disclaimer should note that participation requires consent and that the beta is experimental.</w:t>
      </w:r>
    </w:p>
    <w:p>
      <w:pPr>
        <w:pStyle w:val="BodyText"/>
      </w:pPr>
      <w:r>
        <w:rPr>
          <w:b/>
          <w:bCs/>
        </w:rPr>
        <w:t xml:space="preserve">Layout:</w:t>
      </w:r>
      <w:r>
        <w:t xml:space="preserve"> </w:t>
      </w:r>
      <w:r>
        <w:t xml:space="preserve">On desktop, the form can appear beside a short summary; on mobile, stack the form below the heading and copy.</w:t>
      </w:r>
    </w:p>
    <w:bookmarkEnd w:id="31"/>
    <w:bookmarkStart w:id="32" w:name="faq-section"/>
    <w:p>
      <w:pPr>
        <w:pStyle w:val="Heading3"/>
      </w:pPr>
      <w:r>
        <w:t xml:space="preserve">FAQ Section</w:t>
      </w:r>
    </w:p>
    <w:p>
      <w:pPr>
        <w:pStyle w:val="FirstParagraph"/>
      </w:pPr>
      <w:r>
        <w:rPr>
          <w:b/>
          <w:bCs/>
        </w:rPr>
        <w:t xml:space="preserve">Heading:</w:t>
      </w:r>
      <w:r>
        <w:t xml:space="preserve"> </w:t>
      </w:r>
      <w:r>
        <w:t xml:space="preserve">“Frequently asked questions”.</w:t>
      </w:r>
    </w:p>
    <w:p>
      <w:pPr>
        <w:pStyle w:val="BodyText"/>
      </w:pPr>
      <w:r>
        <w:rPr>
          <w:b/>
          <w:bCs/>
        </w:rPr>
        <w:t xml:space="preserve">Content:</w:t>
      </w:r>
      <w:r>
        <w:t xml:space="preserve"> </w:t>
      </w:r>
      <w:r>
        <w:t xml:space="preserve">Provide collapsible Q&amp;A for topics such as: what is BecomingOS, is it therapy, what does the AI remember, can I delete my data, is my data used to train AI, when will the beta open, who is the beta for, will it connect to calendars/wearables, can I use photos/documents/voice/video, and what happens if I am in crisis.</w:t>
      </w:r>
    </w:p>
    <w:p>
      <w:pPr>
        <w:pStyle w:val="BodyText"/>
      </w:pPr>
      <w:r>
        <w:rPr>
          <w:b/>
          <w:bCs/>
        </w:rPr>
        <w:t xml:space="preserve">Layout:</w:t>
      </w:r>
      <w:r>
        <w:t xml:space="preserve"> </w:t>
      </w:r>
      <w:r>
        <w:t xml:space="preserve">Use an accordion component to allow visitors to expand only the questions they care about. Track the</w:t>
      </w:r>
      <w:r>
        <w:t xml:space="preserve"> </w:t>
      </w:r>
      <w:r>
        <w:rPr>
          <w:rStyle w:val="VerbatimChar"/>
        </w:rPr>
        <w:t xml:space="preserve">faq_expand</w:t>
      </w:r>
      <w:r>
        <w:t xml:space="preserve"> </w:t>
      </w:r>
      <w:r>
        <w:t xml:space="preserve">event for privacy‑reviewed analytics.</w:t>
      </w:r>
    </w:p>
    <w:bookmarkEnd w:id="32"/>
    <w:bookmarkStart w:id="33" w:name="footer"/>
    <w:p>
      <w:pPr>
        <w:pStyle w:val="Heading3"/>
      </w:pPr>
      <w:r>
        <w:t xml:space="preserve">Footer</w:t>
      </w:r>
    </w:p>
    <w:p>
      <w:pPr>
        <w:pStyle w:val="FirstParagraph"/>
      </w:pPr>
      <w:r>
        <w:rPr>
          <w:b/>
          <w:bCs/>
        </w:rPr>
        <w:t xml:space="preserve">Elements:</w:t>
      </w:r>
      <w:r>
        <w:t xml:space="preserve"> </w:t>
      </w:r>
      <w:r>
        <w:t xml:space="preserve">Links to About, Beta, Privacy, Safety, Terms, Contact and social profiles (if available). Include a short tagline or mission line. Provide a note reminding visitors that the product is non‑clinical and pre‑MVP.</w:t>
      </w:r>
    </w:p>
    <w:bookmarkEnd w:id="33"/>
    <w:bookmarkEnd w:id="34"/>
    <w:bookmarkStart w:id="35" w:name="desktop-layout-notes"/>
    <w:p>
      <w:pPr>
        <w:pStyle w:val="Heading2"/>
      </w:pPr>
      <w:r>
        <w:t xml:space="preserve">Desktop Layout Notes</w:t>
      </w:r>
    </w:p>
    <w:p>
      <w:pPr>
        <w:pStyle w:val="Compact"/>
        <w:numPr>
          <w:ilvl w:val="0"/>
          <w:numId w:val="1002"/>
        </w:numPr>
      </w:pPr>
      <w:r>
        <w:rPr>
          <w:b/>
          <w:bCs/>
        </w:rPr>
        <w:t xml:space="preserve">Navigation:</w:t>
      </w:r>
      <w:r>
        <w:t xml:space="preserve"> </w:t>
      </w:r>
      <w:r>
        <w:t xml:space="preserve">Fixed top navigation with logo on the left and page links on the right. Include a primary CTA button (“Join the Private Beta”) in the nav bar for easy access.</w:t>
      </w:r>
    </w:p>
    <w:p>
      <w:pPr>
        <w:pStyle w:val="Compact"/>
        <w:numPr>
          <w:ilvl w:val="0"/>
          <w:numId w:val="1002"/>
        </w:numPr>
      </w:pPr>
      <w:r>
        <w:rPr>
          <w:b/>
          <w:bCs/>
        </w:rPr>
        <w:t xml:space="preserve">Section spacing:</w:t>
      </w:r>
      <w:r>
        <w:t xml:space="preserve"> </w:t>
      </w:r>
      <w:r>
        <w:t xml:space="preserve">Use generous vertical spacing (80–120 px) between sections to create a calm, premium feel. Maintain consistent margins on each side.</w:t>
      </w:r>
    </w:p>
    <w:p>
      <w:pPr>
        <w:pStyle w:val="Compact"/>
        <w:numPr>
          <w:ilvl w:val="0"/>
          <w:numId w:val="1002"/>
        </w:numPr>
      </w:pPr>
      <w:r>
        <w:rPr>
          <w:b/>
          <w:bCs/>
        </w:rPr>
        <w:t xml:space="preserve">Typography:</w:t>
      </w:r>
      <w:r>
        <w:t xml:space="preserve"> </w:t>
      </w:r>
      <w:r>
        <w:t xml:space="preserve">Use the brand typography system with clear hierarchy: large hero headline, medium subheadings and smaller body text. Aim for high contrast between text and background for readability.</w:t>
      </w:r>
    </w:p>
    <w:p>
      <w:pPr>
        <w:pStyle w:val="Compact"/>
        <w:numPr>
          <w:ilvl w:val="0"/>
          <w:numId w:val="1002"/>
        </w:numPr>
      </w:pPr>
      <w:r>
        <w:rPr>
          <w:b/>
          <w:bCs/>
        </w:rPr>
        <w:t xml:space="preserve">Grid system:</w:t>
      </w:r>
      <w:r>
        <w:t xml:space="preserve"> </w:t>
      </w:r>
      <w:r>
        <w:t xml:space="preserve">Use a 12‑column grid on desktop for flexible layouts. The hero and product preview sections can use 6+6 columns; feature cards can use 3+3+3+3 or 4+4+4 depending on content length.</w:t>
      </w:r>
    </w:p>
    <w:p>
      <w:pPr>
        <w:pStyle w:val="Compact"/>
        <w:numPr>
          <w:ilvl w:val="0"/>
          <w:numId w:val="1002"/>
        </w:numPr>
      </w:pPr>
      <w:r>
        <w:rPr>
          <w:b/>
          <w:bCs/>
        </w:rPr>
        <w:t xml:space="preserve">Imagery:</w:t>
      </w:r>
      <w:r>
        <w:t xml:space="preserve"> </w:t>
      </w:r>
      <w:r>
        <w:t xml:space="preserve">Display product mockups at realistic sizes. Ensure images do not show personally identifiable or sensitive information. Use subtle drop shadows and rounded corners to match the calm aesthetic.</w:t>
      </w:r>
    </w:p>
    <w:p>
      <w:pPr>
        <w:pStyle w:val="Compact"/>
        <w:numPr>
          <w:ilvl w:val="0"/>
          <w:numId w:val="1002"/>
        </w:numPr>
      </w:pPr>
      <w:r>
        <w:rPr>
          <w:b/>
          <w:bCs/>
        </w:rPr>
        <w:t xml:space="preserve">Interactive elements:</w:t>
      </w:r>
      <w:r>
        <w:t xml:space="preserve"> </w:t>
      </w:r>
      <w:r>
        <w:t xml:space="preserve">Buttons should have clear hover states. Accordion elements should use smooth transitions and be keyboard accessible.</w:t>
      </w:r>
    </w:p>
    <w:bookmarkEnd w:id="35"/>
    <w:bookmarkStart w:id="36" w:name="mobile-layout-notes"/>
    <w:p>
      <w:pPr>
        <w:pStyle w:val="Heading2"/>
      </w:pPr>
      <w:r>
        <w:t xml:space="preserve">Mobile Layout Notes</w:t>
      </w:r>
    </w:p>
    <w:p>
      <w:pPr>
        <w:pStyle w:val="Compact"/>
        <w:numPr>
          <w:ilvl w:val="0"/>
          <w:numId w:val="1003"/>
        </w:numPr>
      </w:pPr>
      <w:r>
        <w:rPr>
          <w:b/>
          <w:bCs/>
        </w:rPr>
        <w:t xml:space="preserve">Responsive stacking:</w:t>
      </w:r>
      <w:r>
        <w:t xml:space="preserve"> </w:t>
      </w:r>
      <w:r>
        <w:t xml:space="preserve">Stack columns vertically; hero copy appears above the mockup. Feature cards should display as a single‑column list with adequate spacing.</w:t>
      </w:r>
    </w:p>
    <w:p>
      <w:pPr>
        <w:pStyle w:val="Compact"/>
        <w:numPr>
          <w:ilvl w:val="0"/>
          <w:numId w:val="1003"/>
        </w:numPr>
      </w:pPr>
      <w:r>
        <w:rPr>
          <w:b/>
          <w:bCs/>
        </w:rPr>
        <w:t xml:space="preserve">Navigation:</w:t>
      </w:r>
      <w:r>
        <w:t xml:space="preserve"> </w:t>
      </w:r>
      <w:r>
        <w:t xml:space="preserve">Use a hamburger menu to collapse navigation links; keep the primary CTA accessible within the mobile nav and near the top of the page.</w:t>
      </w:r>
    </w:p>
    <w:p>
      <w:pPr>
        <w:pStyle w:val="Compact"/>
        <w:numPr>
          <w:ilvl w:val="0"/>
          <w:numId w:val="1003"/>
        </w:numPr>
      </w:pPr>
      <w:r>
        <w:rPr>
          <w:b/>
          <w:bCs/>
        </w:rPr>
        <w:t xml:space="preserve">CTAs:</w:t>
      </w:r>
      <w:r>
        <w:t xml:space="preserve"> </w:t>
      </w:r>
      <w:r>
        <w:t xml:space="preserve">Place the primary CTA button near the top and repeat it at the end of major sections. Ensure it spans the full width with ample touch‑target area.</w:t>
      </w:r>
    </w:p>
    <w:p>
      <w:pPr>
        <w:pStyle w:val="Compact"/>
        <w:numPr>
          <w:ilvl w:val="0"/>
          <w:numId w:val="1003"/>
        </w:numPr>
      </w:pPr>
      <w:r>
        <w:rPr>
          <w:b/>
          <w:bCs/>
        </w:rPr>
        <w:t xml:space="preserve">Typography and spacing:</w:t>
      </w:r>
      <w:r>
        <w:t xml:space="preserve"> </w:t>
      </w:r>
      <w:r>
        <w:t xml:space="preserve">Increase line height and padding for readability. Avoid small fonts or tight spacing. Use icons sparingly to minimise clutter.</w:t>
      </w:r>
    </w:p>
    <w:p>
      <w:pPr>
        <w:pStyle w:val="Compact"/>
        <w:numPr>
          <w:ilvl w:val="0"/>
          <w:numId w:val="1003"/>
        </w:numPr>
      </w:pPr>
      <w:r>
        <w:rPr>
          <w:b/>
          <w:bCs/>
        </w:rPr>
        <w:t xml:space="preserve">Forms:</w:t>
      </w:r>
      <w:r>
        <w:t xml:space="preserve"> </w:t>
      </w:r>
      <w:r>
        <w:t xml:space="preserve">Ensure form fields are large enough for touch input. Use native mobile input types (e.g., email type for the email field) and disable auto‑capitalisation for names.</w:t>
      </w:r>
    </w:p>
    <w:bookmarkEnd w:id="36"/>
    <w:bookmarkStart w:id="37" w:name="cta-placement-rules"/>
    <w:p>
      <w:pPr>
        <w:pStyle w:val="Heading2"/>
      </w:pPr>
      <w:r>
        <w:t xml:space="preserve">CTA Placement Rules</w:t>
      </w:r>
    </w:p>
    <w:p>
      <w:pPr>
        <w:pStyle w:val="Compact"/>
        <w:numPr>
          <w:ilvl w:val="0"/>
          <w:numId w:val="1004"/>
        </w:numPr>
      </w:pPr>
      <w:r>
        <w:rPr>
          <w:b/>
          <w:bCs/>
        </w:rPr>
        <w:t xml:space="preserve">Primary CTA:</w:t>
      </w:r>
      <w:r>
        <w:t xml:space="preserve"> </w:t>
      </w:r>
      <w:r>
        <w:t xml:space="preserve">“Join the Private Beta” is the main action throughout the site. Place it in the hero section, navigation bar and signup section. Use consistent styling to avoid confusion.</w:t>
      </w:r>
    </w:p>
    <w:p>
      <w:pPr>
        <w:pStyle w:val="Compact"/>
        <w:numPr>
          <w:ilvl w:val="0"/>
          <w:numId w:val="1004"/>
        </w:numPr>
      </w:pPr>
      <w:r>
        <w:rPr>
          <w:b/>
          <w:bCs/>
        </w:rPr>
        <w:t xml:space="preserve">Secondary CTA:</w:t>
      </w:r>
      <w:r>
        <w:t xml:space="preserve"> </w:t>
      </w:r>
      <w:r>
        <w:t xml:space="preserve">“See How It Works” may be used in the hero section to encourage exploration. It should scroll the user down to the How‑It‑Works section. Avoid additional CTAs that could distract from the primary goal.</w:t>
      </w:r>
    </w:p>
    <w:p>
      <w:pPr>
        <w:pStyle w:val="Compact"/>
        <w:numPr>
          <w:ilvl w:val="0"/>
          <w:numId w:val="1004"/>
        </w:numPr>
      </w:pPr>
      <w:r>
        <w:rPr>
          <w:b/>
          <w:bCs/>
        </w:rPr>
        <w:t xml:space="preserve">Repetition:</w:t>
      </w:r>
      <w:r>
        <w:t xml:space="preserve"> </w:t>
      </w:r>
      <w:r>
        <w:t xml:space="preserve">Repeat the primary CTA at least three times on long pages (hero, mid‑page, end) to capture attention without oversaturation.</w:t>
      </w:r>
    </w:p>
    <w:p>
      <w:pPr>
        <w:pStyle w:val="Compact"/>
        <w:numPr>
          <w:ilvl w:val="0"/>
          <w:numId w:val="1004"/>
        </w:numPr>
      </w:pPr>
      <w:r>
        <w:rPr>
          <w:b/>
          <w:bCs/>
        </w:rPr>
        <w:t xml:space="preserve">Accessibility:</w:t>
      </w:r>
      <w:r>
        <w:t xml:space="preserve"> </w:t>
      </w:r>
      <w:r>
        <w:t xml:space="preserve">Ensure CTAs are clearly labelled, keyboard accessible and have sufficient colour contrast. Provide ARIA labels if icons are used.</w:t>
      </w:r>
    </w:p>
    <w:bookmarkEnd w:id="37"/>
    <w:bookmarkStart w:id="38" w:name="product-mockup-placement-rules"/>
    <w:p>
      <w:pPr>
        <w:pStyle w:val="Heading2"/>
      </w:pPr>
      <w:r>
        <w:t xml:space="preserve">Product Mockup Placement Rules</w:t>
      </w:r>
    </w:p>
    <w:p>
      <w:pPr>
        <w:pStyle w:val="Compact"/>
        <w:numPr>
          <w:ilvl w:val="0"/>
          <w:numId w:val="1005"/>
        </w:numPr>
      </w:pPr>
      <w:r>
        <w:rPr>
          <w:b/>
          <w:bCs/>
        </w:rPr>
        <w:t xml:space="preserve">Hero visual:</w:t>
      </w:r>
      <w:r>
        <w:t xml:space="preserve"> </w:t>
      </w:r>
      <w:r>
        <w:t xml:space="preserve">Show a high‑level representation of the product (e.g., dashboard overview) without sensitive data. The image should reinforce the headline and subheadline but not overwhelm the copy.</w:t>
      </w:r>
    </w:p>
    <w:p>
      <w:pPr>
        <w:pStyle w:val="Compact"/>
        <w:numPr>
          <w:ilvl w:val="0"/>
          <w:numId w:val="1005"/>
        </w:numPr>
      </w:pPr>
      <w:r>
        <w:rPr>
          <w:b/>
          <w:bCs/>
        </w:rPr>
        <w:t xml:space="preserve">Solution section:</w:t>
      </w:r>
      <w:r>
        <w:t xml:space="preserve"> </w:t>
      </w:r>
      <w:r>
        <w:t xml:space="preserve">Each feature card can include a small icon or simple illustrative motif. Avoid including full screenshots here to keep the section light.</w:t>
      </w:r>
    </w:p>
    <w:p>
      <w:pPr>
        <w:pStyle w:val="Compact"/>
        <w:numPr>
          <w:ilvl w:val="0"/>
          <w:numId w:val="1005"/>
        </w:numPr>
      </w:pPr>
      <w:r>
        <w:rPr>
          <w:b/>
          <w:bCs/>
        </w:rPr>
        <w:t xml:space="preserve">Product preview section:</w:t>
      </w:r>
      <w:r>
        <w:t xml:space="preserve"> </w:t>
      </w:r>
      <w:r>
        <w:t xml:space="preserve">Display full‑screen mockups for each key stage (onboarding questions, memory confirmation, Future Self profile, decision guidance, Today Plan, Life Capture). Use fictional, everyday examples (e.g., planning a birthday, reflecting on values) and avoid medical, legal, financial or crisis content.</w:t>
      </w:r>
    </w:p>
    <w:p>
      <w:pPr>
        <w:pStyle w:val="Compact"/>
        <w:numPr>
          <w:ilvl w:val="0"/>
          <w:numId w:val="1005"/>
        </w:numPr>
      </w:pPr>
      <w:r>
        <w:rPr>
          <w:b/>
          <w:bCs/>
        </w:rPr>
        <w:t xml:space="preserve">Modal interactions:</w:t>
      </w:r>
      <w:r>
        <w:t xml:space="preserve"> </w:t>
      </w:r>
      <w:r>
        <w:t xml:space="preserve">If showing a memory confirmation or decision guidance screen, include clear labels (“Draft reflection”, “Review, edit or reject”) to reinforce that AI outputs are drafts and require user approval.</w:t>
      </w:r>
    </w:p>
    <w:p>
      <w:pPr>
        <w:pStyle w:val="Compact"/>
        <w:numPr>
          <w:ilvl w:val="0"/>
          <w:numId w:val="1005"/>
        </w:numPr>
      </w:pPr>
      <w:r>
        <w:rPr>
          <w:b/>
          <w:bCs/>
        </w:rPr>
        <w:t xml:space="preserve">Captions:</w:t>
      </w:r>
      <w:r>
        <w:t xml:space="preserve"> </w:t>
      </w:r>
      <w:r>
        <w:t xml:space="preserve">Include short captions beneath each mockup explaining what the user can do on that screen (e.g., “Approve or edit memories”).</w:t>
      </w:r>
    </w:p>
    <w:bookmarkEnd w:id="38"/>
    <w:bookmarkStart w:id="39" w:name="privacysafety-placement-rules"/>
    <w:p>
      <w:pPr>
        <w:pStyle w:val="Heading2"/>
      </w:pPr>
      <w:r>
        <w:t xml:space="preserve">Privacy/Safety Placement Rules</w:t>
      </w:r>
    </w:p>
    <w:p>
      <w:pPr>
        <w:pStyle w:val="Compact"/>
        <w:numPr>
          <w:ilvl w:val="0"/>
          <w:numId w:val="1006"/>
        </w:numPr>
      </w:pPr>
      <w:r>
        <w:rPr>
          <w:b/>
          <w:bCs/>
        </w:rPr>
        <w:t xml:space="preserve">Dedicated section:</w:t>
      </w:r>
      <w:r>
        <w:t xml:space="preserve"> </w:t>
      </w:r>
      <w:r>
        <w:t xml:space="preserve">Provide a clear “Privacy and Trust” section on the homepage. Ensure it appears before the signup form so users understand the privacy posture before providing data.</w:t>
      </w:r>
    </w:p>
    <w:p>
      <w:pPr>
        <w:pStyle w:val="Compact"/>
        <w:numPr>
          <w:ilvl w:val="0"/>
          <w:numId w:val="1006"/>
        </w:numPr>
      </w:pPr>
      <w:r>
        <w:rPr>
          <w:b/>
          <w:bCs/>
        </w:rPr>
        <w:t xml:space="preserve">Links:</w:t>
      </w:r>
      <w:r>
        <w:t xml:space="preserve"> </w:t>
      </w:r>
      <w:r>
        <w:t xml:space="preserve">Include persistent footer links to Privacy and Safety pages for detailed information. Also link from trust statements in the hero section.</w:t>
      </w:r>
    </w:p>
    <w:p>
      <w:pPr>
        <w:pStyle w:val="Compact"/>
        <w:numPr>
          <w:ilvl w:val="0"/>
          <w:numId w:val="1006"/>
        </w:numPr>
      </w:pPr>
      <w:r>
        <w:rPr>
          <w:b/>
          <w:bCs/>
        </w:rPr>
        <w:t xml:space="preserve">Signposting:</w:t>
      </w:r>
      <w:r>
        <w:t xml:space="preserve"> </w:t>
      </w:r>
      <w:r>
        <w:t xml:space="preserve">On pages or sections referencing mental health or crisis (e.g., Support Circle), clearly state that BecomingOS is</w:t>
      </w:r>
      <w:r>
        <w:t xml:space="preserve"> </w:t>
      </w:r>
      <w:r>
        <w:rPr>
          <w:b/>
          <w:bCs/>
        </w:rPr>
        <w:t xml:space="preserve">not</w:t>
      </w:r>
      <w:r>
        <w:t xml:space="preserve"> </w:t>
      </w:r>
      <w:r>
        <w:t xml:space="preserve">a crisis service and encourage users to contact local emergency services if needed.</w:t>
      </w:r>
    </w:p>
    <w:p>
      <w:pPr>
        <w:pStyle w:val="Compact"/>
        <w:numPr>
          <w:ilvl w:val="0"/>
          <w:numId w:val="1006"/>
        </w:numPr>
      </w:pPr>
      <w:r>
        <w:rPr>
          <w:b/>
          <w:bCs/>
        </w:rPr>
        <w:t xml:space="preserve">Consistency:</w:t>
      </w:r>
      <w:r>
        <w:t xml:space="preserve"> </w:t>
      </w:r>
      <w:r>
        <w:t xml:space="preserve">Use the same language across pages to avoid confusion (e.g., “user‑confirmed memory” and “non‑clinical”). Do not mix terms like therapy or diagnosis.</w:t>
      </w:r>
    </w:p>
    <w:p>
      <w:pPr>
        <w:pStyle w:val="Compact"/>
        <w:numPr>
          <w:ilvl w:val="0"/>
          <w:numId w:val="1006"/>
        </w:numPr>
      </w:pPr>
      <w:r>
        <w:rPr>
          <w:b/>
          <w:bCs/>
        </w:rPr>
        <w:t xml:space="preserve">Consent notes:</w:t>
      </w:r>
      <w:r>
        <w:t xml:space="preserve"> </w:t>
      </w:r>
      <w:r>
        <w:t xml:space="preserve">In the signup area and Beta page, note that participation requires consent and that data collection is minimal, optional and subject to deletion and withdrawal processes.</w:t>
      </w:r>
    </w:p>
    <w:bookmarkEnd w:id="39"/>
    <w:bookmarkStart w:id="40" w:name="signup-form-fields"/>
    <w:p>
      <w:pPr>
        <w:pStyle w:val="Heading2"/>
      </w:pPr>
      <w:r>
        <w:t xml:space="preserve">Signup Form Fields</w:t>
      </w:r>
    </w:p>
    <w:p>
      <w:pPr>
        <w:pStyle w:val="FirstParagraph"/>
      </w:pPr>
      <w:r>
        <w:t xml:space="preserve">The private‑beta signup form should collect only the minimum data needed for research and beta access. Recommended fields:</w:t>
      </w:r>
    </w:p>
    <w:p>
      <w:pPr>
        <w:pStyle w:val="Compact"/>
        <w:numPr>
          <w:ilvl w:val="0"/>
          <w:numId w:val="1007"/>
        </w:numPr>
      </w:pPr>
      <w:r>
        <w:rPr>
          <w:b/>
          <w:bCs/>
        </w:rPr>
        <w:t xml:space="preserve">First Name</w:t>
      </w:r>
      <w:r>
        <w:t xml:space="preserve"> </w:t>
      </w:r>
      <w:r>
        <w:t xml:space="preserve">– text field for personalisation.</w:t>
      </w:r>
    </w:p>
    <w:p>
      <w:pPr>
        <w:pStyle w:val="Compact"/>
        <w:numPr>
          <w:ilvl w:val="0"/>
          <w:numId w:val="1007"/>
        </w:numPr>
      </w:pPr>
      <w:r>
        <w:rPr>
          <w:b/>
          <w:bCs/>
        </w:rPr>
        <w:t xml:space="preserve">Email Address</w:t>
      </w:r>
      <w:r>
        <w:t xml:space="preserve"> </w:t>
      </w:r>
      <w:r>
        <w:t xml:space="preserve">– email field to contact participants.</w:t>
      </w:r>
    </w:p>
    <w:p>
      <w:pPr>
        <w:pStyle w:val="Compact"/>
        <w:numPr>
          <w:ilvl w:val="0"/>
          <w:numId w:val="1007"/>
        </w:numPr>
      </w:pPr>
      <w:r>
        <w:rPr>
          <w:b/>
          <w:bCs/>
        </w:rPr>
        <w:t xml:space="preserve">Main reason for interest</w:t>
      </w:r>
      <w:r>
        <w:t xml:space="preserve"> </w:t>
      </w:r>
      <w:r>
        <w:t xml:space="preserve">– short answer; helps prioritise segments.</w:t>
      </w:r>
    </w:p>
    <w:p>
      <w:pPr>
        <w:pStyle w:val="Compact"/>
        <w:numPr>
          <w:ilvl w:val="0"/>
          <w:numId w:val="1007"/>
        </w:numPr>
      </w:pPr>
      <w:r>
        <w:rPr>
          <w:b/>
          <w:bCs/>
        </w:rPr>
        <w:t xml:space="preserve">What are you trying to improve right now?</w:t>
      </w:r>
      <w:r>
        <w:t xml:space="preserve"> </w:t>
      </w:r>
      <w:r>
        <w:t xml:space="preserve">– short answer; provides qualitative context.</w:t>
      </w:r>
    </w:p>
    <w:p>
      <w:pPr>
        <w:pStyle w:val="Compact"/>
        <w:numPr>
          <w:ilvl w:val="0"/>
          <w:numId w:val="1007"/>
        </w:numPr>
      </w:pPr>
      <w:r>
        <w:rPr>
          <w:b/>
          <w:bCs/>
        </w:rPr>
        <w:t xml:space="preserve">Audience segment</w:t>
      </w:r>
      <w:r>
        <w:t xml:space="preserve"> </w:t>
      </w:r>
      <w:r>
        <w:t xml:space="preserve">– multiple choice: Entrepreneur / Carer / Busy Parent / Rebuilding routines / Self‑improvement user / Other.</w:t>
      </w:r>
    </w:p>
    <w:p>
      <w:pPr>
        <w:pStyle w:val="Compact"/>
        <w:numPr>
          <w:ilvl w:val="0"/>
          <w:numId w:val="1007"/>
        </w:numPr>
      </w:pPr>
      <w:r>
        <w:rPr>
          <w:b/>
          <w:bCs/>
        </w:rPr>
        <w:t xml:space="preserve">Consent Checkbox</w:t>
      </w:r>
      <w:r>
        <w:t xml:space="preserve"> </w:t>
      </w:r>
      <w:r>
        <w:t xml:space="preserve">– statement: “I agree to be contacted about the private beta and research interviews. I understand that BecomingOS is pre‑MVP, non‑clinical and experimental.”.</w:t>
      </w:r>
    </w:p>
    <w:p>
      <w:pPr>
        <w:pStyle w:val="FirstParagraph"/>
      </w:pPr>
      <w:r>
        <w:t xml:space="preserve">Optional fields should be clearly marked as optional. Do not require sensitive data categories or third‑party contact information at this stage.</w:t>
      </w:r>
    </w:p>
    <w:bookmarkEnd w:id="40"/>
    <w:bookmarkStart w:id="41" w:name="thankyou-page-layout"/>
    <w:p>
      <w:pPr>
        <w:pStyle w:val="Heading2"/>
      </w:pPr>
      <w:r>
        <w:t xml:space="preserve">Thank‑You Page Layout</w:t>
      </w:r>
    </w:p>
    <w:p>
      <w:pPr>
        <w:pStyle w:val="Compact"/>
        <w:numPr>
          <w:ilvl w:val="0"/>
          <w:numId w:val="1008"/>
        </w:numPr>
      </w:pPr>
      <w:r>
        <w:rPr>
          <w:b/>
          <w:bCs/>
        </w:rPr>
        <w:t xml:space="preserve">Heading:</w:t>
      </w:r>
      <w:r>
        <w:t xml:space="preserve"> </w:t>
      </w:r>
      <w:r>
        <w:t xml:space="preserve">“You are on the list.”</w:t>
      </w:r>
    </w:p>
    <w:p>
      <w:pPr>
        <w:pStyle w:val="Compact"/>
        <w:numPr>
          <w:ilvl w:val="0"/>
          <w:numId w:val="1008"/>
        </w:numPr>
      </w:pPr>
      <w:r>
        <w:rPr>
          <w:b/>
          <w:bCs/>
        </w:rPr>
        <w:t xml:space="preserve">Copy:</w:t>
      </w:r>
      <w:r>
        <w:t xml:space="preserve"> </w:t>
      </w:r>
      <w:r>
        <w:t xml:space="preserve">Inform the user that selected testers will be contacted when private‑beta places open and reiterate that beta access is limited and feedback‑focused. Thank the user for their interest.</w:t>
      </w:r>
    </w:p>
    <w:p>
      <w:pPr>
        <w:pStyle w:val="Compact"/>
        <w:numPr>
          <w:ilvl w:val="0"/>
          <w:numId w:val="1008"/>
        </w:numPr>
      </w:pPr>
      <w:r>
        <w:rPr>
          <w:b/>
          <w:bCs/>
        </w:rPr>
        <w:t xml:space="preserve">Secondary actions:</w:t>
      </w:r>
      <w:r>
        <w:t xml:space="preserve"> </w:t>
      </w:r>
      <w:r>
        <w:t xml:space="preserve">Provide a link back to the homepage and optionally invite users to follow social channels or read the founder story. Avoid collecting additional data.</w:t>
      </w:r>
    </w:p>
    <w:p>
      <w:pPr>
        <w:pStyle w:val="Compact"/>
        <w:numPr>
          <w:ilvl w:val="0"/>
          <w:numId w:val="1008"/>
        </w:numPr>
      </w:pPr>
      <w:r>
        <w:rPr>
          <w:b/>
          <w:bCs/>
        </w:rPr>
        <w:t xml:space="preserve">Visual:</w:t>
      </w:r>
      <w:r>
        <w:t xml:space="preserve"> </w:t>
      </w:r>
      <w:r>
        <w:t xml:space="preserve">A simple illustration or icon can accompany the confirmation message. Keep the page calm and positive.</w:t>
      </w:r>
    </w:p>
    <w:p>
      <w:pPr>
        <w:pStyle w:val="Compact"/>
        <w:numPr>
          <w:ilvl w:val="0"/>
          <w:numId w:val="1008"/>
        </w:numPr>
      </w:pPr>
      <w:r>
        <w:rPr>
          <w:b/>
          <w:bCs/>
        </w:rPr>
        <w:t xml:space="preserve">Analytics:</w:t>
      </w:r>
      <w:r>
        <w:t xml:space="preserve"> </w:t>
      </w:r>
      <w:r>
        <w:t xml:space="preserve">Track a</w:t>
      </w:r>
      <w:r>
        <w:t xml:space="preserve"> </w:t>
      </w:r>
      <w:r>
        <w:rPr>
          <w:rStyle w:val="VerbatimChar"/>
        </w:rPr>
        <w:t xml:space="preserve">beta_signup_success</w:t>
      </w:r>
      <w:r>
        <w:t xml:space="preserve"> </w:t>
      </w:r>
      <w:r>
        <w:t xml:space="preserve">event (internally) and avoid any further calls to action that might confuse the user about the beta status.</w:t>
      </w:r>
    </w:p>
    <w:bookmarkEnd w:id="41"/>
    <w:bookmarkStart w:id="42" w:name="aboutfounder-story-page-outline"/>
    <w:p>
      <w:pPr>
        <w:pStyle w:val="Heading2"/>
      </w:pPr>
      <w:r>
        <w:t xml:space="preserve">About/Founder Story Page Outline</w:t>
      </w:r>
    </w:p>
    <w:p>
      <w:pPr>
        <w:pStyle w:val="Compact"/>
        <w:numPr>
          <w:ilvl w:val="0"/>
          <w:numId w:val="1009"/>
        </w:numPr>
      </w:pPr>
      <w:r>
        <w:rPr>
          <w:b/>
          <w:bCs/>
        </w:rPr>
        <w:t xml:space="preserve">Mission and vision:</w:t>
      </w:r>
      <w:r>
        <w:t xml:space="preserve"> </w:t>
      </w:r>
      <w:r>
        <w:t xml:space="preserve">Describe the purpose of BecomingOS and why it was created. Explain the aspiration to help people align daily actions with their values and future selves without over‑promising outcomes.</w:t>
      </w:r>
    </w:p>
    <w:p>
      <w:pPr>
        <w:pStyle w:val="Compact"/>
        <w:numPr>
          <w:ilvl w:val="0"/>
          <w:numId w:val="1009"/>
        </w:numPr>
      </w:pPr>
      <w:r>
        <w:rPr>
          <w:b/>
          <w:bCs/>
        </w:rPr>
        <w:t xml:space="preserve">Founder story:</w:t>
      </w:r>
      <w:r>
        <w:t xml:space="preserve"> </w:t>
      </w:r>
      <w:r>
        <w:t xml:space="preserve">Share the founder’s journey in creating the product, their personal challenges with self‑organisation and how this inspired BecomingOS. Use authentic, personal narrative rather than marketing fluff. Do not reference therapy or clinical claims.</w:t>
      </w:r>
    </w:p>
    <w:p>
      <w:pPr>
        <w:pStyle w:val="Compact"/>
        <w:numPr>
          <w:ilvl w:val="0"/>
          <w:numId w:val="1009"/>
        </w:numPr>
      </w:pPr>
      <w:r>
        <w:rPr>
          <w:b/>
          <w:bCs/>
        </w:rPr>
        <w:t xml:space="preserve">Values and principles:</w:t>
      </w:r>
      <w:r>
        <w:t xml:space="preserve"> </w:t>
      </w:r>
      <w:r>
        <w:t xml:space="preserve">List core values such as privacy, user control, self‑discovery, accountability and integrity. Relate these values to design choices like user‑confirmed memory and data minimisation.</w:t>
      </w:r>
    </w:p>
    <w:p>
      <w:pPr>
        <w:pStyle w:val="Compact"/>
        <w:numPr>
          <w:ilvl w:val="0"/>
          <w:numId w:val="1009"/>
        </w:numPr>
      </w:pPr>
      <w:r>
        <w:rPr>
          <w:b/>
          <w:bCs/>
        </w:rPr>
        <w:t xml:space="preserve">What sets us apart:</w:t>
      </w:r>
      <w:r>
        <w:t xml:space="preserve"> </w:t>
      </w:r>
      <w:r>
        <w:t xml:space="preserve">Summarise the differentiation points identified in the marketing scope (guided self‑discovery, future‑self profile, decision guidance, integrated daily plan, life capture and optional support circle).</w:t>
      </w:r>
    </w:p>
    <w:p>
      <w:pPr>
        <w:pStyle w:val="Compact"/>
        <w:numPr>
          <w:ilvl w:val="0"/>
          <w:numId w:val="1009"/>
        </w:numPr>
      </w:pPr>
      <w:r>
        <w:rPr>
          <w:b/>
          <w:bCs/>
        </w:rPr>
        <w:t xml:space="preserve">Call to action:</w:t>
      </w:r>
      <w:r>
        <w:t xml:space="preserve"> </w:t>
      </w:r>
      <w:r>
        <w:t xml:space="preserve">Invite readers to join the private beta or read the privacy/safety pages for more information. Keep the CTA consistent with the rest of the site.</w:t>
      </w:r>
    </w:p>
    <w:bookmarkEnd w:id="42"/>
    <w:bookmarkStart w:id="43" w:name="privacy-summary-page-outline"/>
    <w:p>
      <w:pPr>
        <w:pStyle w:val="Heading2"/>
      </w:pPr>
      <w:r>
        <w:t xml:space="preserve">Privacy Summary Page Outline</w:t>
      </w:r>
    </w:p>
    <w:p>
      <w:pPr>
        <w:pStyle w:val="Compact"/>
        <w:numPr>
          <w:ilvl w:val="0"/>
          <w:numId w:val="1010"/>
        </w:numPr>
      </w:pPr>
      <w:r>
        <w:rPr>
          <w:b/>
          <w:bCs/>
        </w:rPr>
        <w:t xml:space="preserve">Overview:</w:t>
      </w:r>
      <w:r>
        <w:t xml:space="preserve"> </w:t>
      </w:r>
      <w:r>
        <w:t xml:space="preserve">Summarise the privacy, consent and data governance policies for the pre‑MVP beta.</w:t>
      </w:r>
    </w:p>
    <w:p>
      <w:pPr>
        <w:pStyle w:val="Compact"/>
        <w:numPr>
          <w:ilvl w:val="0"/>
          <w:numId w:val="1010"/>
        </w:numPr>
      </w:pPr>
      <w:r>
        <w:rPr>
          <w:b/>
          <w:bCs/>
        </w:rPr>
        <w:t xml:space="preserve">Data minimisation:</w:t>
      </w:r>
      <w:r>
        <w:t xml:space="preserve"> </w:t>
      </w:r>
      <w:r>
        <w:t xml:space="preserve">Explain how the product collects only the data needed for its purpose and that users decide what to provide.</w:t>
      </w:r>
    </w:p>
    <w:p>
      <w:pPr>
        <w:pStyle w:val="Compact"/>
        <w:numPr>
          <w:ilvl w:val="0"/>
          <w:numId w:val="1010"/>
        </w:numPr>
      </w:pPr>
      <w:r>
        <w:rPr>
          <w:b/>
          <w:bCs/>
        </w:rPr>
        <w:t xml:space="preserve">Consent requirements:</w:t>
      </w:r>
      <w:r>
        <w:t xml:space="preserve"> </w:t>
      </w:r>
      <w:r>
        <w:t xml:space="preserve">Explain that participation is optional and that the beta is experimental. Detail the information provided in the consent notice (purpose of each data category, retention period, deletion and withdrawal processes, AI provider involvement).</w:t>
      </w:r>
    </w:p>
    <w:p>
      <w:pPr>
        <w:pStyle w:val="Compact"/>
        <w:numPr>
          <w:ilvl w:val="0"/>
          <w:numId w:val="1010"/>
        </w:numPr>
      </w:pPr>
      <w:r>
        <w:rPr>
          <w:b/>
          <w:bCs/>
        </w:rPr>
        <w:t xml:space="preserve">User control:</w:t>
      </w:r>
      <w:r>
        <w:t xml:space="preserve"> </w:t>
      </w:r>
      <w:r>
        <w:t xml:space="preserve">Highlight that nothing becomes durable memory without user confirmation; users can edit or delete saved data and withdraw consent.</w:t>
      </w:r>
    </w:p>
    <w:p>
      <w:pPr>
        <w:pStyle w:val="Compact"/>
        <w:numPr>
          <w:ilvl w:val="0"/>
          <w:numId w:val="1010"/>
        </w:numPr>
      </w:pPr>
      <w:r>
        <w:rPr>
          <w:b/>
          <w:bCs/>
        </w:rPr>
        <w:t xml:space="preserve">Retention and deletion:</w:t>
      </w:r>
      <w:r>
        <w:t xml:space="preserve"> </w:t>
      </w:r>
      <w:r>
        <w:t xml:space="preserve">Explain the retention period (suggested 90 days for beta) and that data will be deleted or anonymised after the beta unless renewed consent is obtained.</w:t>
      </w:r>
    </w:p>
    <w:p>
      <w:pPr>
        <w:pStyle w:val="Compact"/>
        <w:numPr>
          <w:ilvl w:val="0"/>
          <w:numId w:val="1010"/>
        </w:numPr>
      </w:pPr>
      <w:r>
        <w:rPr>
          <w:b/>
          <w:bCs/>
        </w:rPr>
        <w:t xml:space="preserve">AI provider disclosure:</w:t>
      </w:r>
      <w:r>
        <w:t xml:space="preserve"> </w:t>
      </w:r>
      <w:r>
        <w:t xml:space="preserve">Explain that AI providers may process data and that provider terms will be disclosed before live use. Do not make claims about training until vendor terms are confirmed.</w:t>
      </w:r>
    </w:p>
    <w:p>
      <w:pPr>
        <w:pStyle w:val="Compact"/>
        <w:numPr>
          <w:ilvl w:val="0"/>
          <w:numId w:val="1010"/>
        </w:numPr>
      </w:pPr>
      <w:r>
        <w:rPr>
          <w:b/>
          <w:bCs/>
        </w:rPr>
        <w:t xml:space="preserve">Contact and complaints:</w:t>
      </w:r>
      <w:r>
        <w:t xml:space="preserve"> </w:t>
      </w:r>
      <w:r>
        <w:t xml:space="preserve">Provide an email or form for privacy questions. Encourage users to contact the team if they need clarification or wish to exercise data rights.</w:t>
      </w:r>
    </w:p>
    <w:bookmarkEnd w:id="43"/>
    <w:bookmarkStart w:id="44" w:name="safety-nonclinical-boundary-page-outline"/>
    <w:p>
      <w:pPr>
        <w:pStyle w:val="Heading2"/>
      </w:pPr>
      <w:r>
        <w:t xml:space="preserve">Safety / Non‑Clinical Boundary Page Outline</w:t>
      </w:r>
    </w:p>
    <w:p>
      <w:pPr>
        <w:pStyle w:val="Compact"/>
        <w:numPr>
          <w:ilvl w:val="0"/>
          <w:numId w:val="1011"/>
        </w:numPr>
      </w:pPr>
      <w:r>
        <w:rPr>
          <w:b/>
          <w:bCs/>
        </w:rPr>
        <w:t xml:space="preserve">Purpose:</w:t>
      </w:r>
      <w:r>
        <w:t xml:space="preserve"> </w:t>
      </w:r>
      <w:r>
        <w:t xml:space="preserve">Clarify that this page sets out the safety boundaries and non‑clinical position of BecomingOS.</w:t>
      </w:r>
    </w:p>
    <w:p>
      <w:pPr>
        <w:pStyle w:val="Compact"/>
        <w:numPr>
          <w:ilvl w:val="0"/>
          <w:numId w:val="1011"/>
        </w:numPr>
      </w:pPr>
      <w:r>
        <w:rPr>
          <w:b/>
          <w:bCs/>
        </w:rPr>
        <w:t xml:space="preserve">Not therapy or emergency service:</w:t>
      </w:r>
      <w:r>
        <w:t xml:space="preserve"> </w:t>
      </w:r>
      <w:r>
        <w:t xml:space="preserve">Reiterate that BecomingOS is an educational reflection and planning tool, not a therapist, diagnosis tool, treatment provider or crisis monitor. Explicitly state that the product does not provide medical, legal or financial advice.</w:t>
      </w:r>
    </w:p>
    <w:p>
      <w:pPr>
        <w:pStyle w:val="Compact"/>
        <w:numPr>
          <w:ilvl w:val="0"/>
          <w:numId w:val="1011"/>
        </w:numPr>
      </w:pPr>
      <w:r>
        <w:rPr>
          <w:b/>
          <w:bCs/>
        </w:rPr>
        <w:t xml:space="preserve">Prohibited positioning:</w:t>
      </w:r>
      <w:r>
        <w:t xml:space="preserve"> </w:t>
      </w:r>
      <w:r>
        <w:t xml:space="preserve">List what the product does not do (therapy, diagnosis, treatment, crisis intervention, emergency response, professional advice). Use clear bullet points.</w:t>
      </w:r>
    </w:p>
    <w:p>
      <w:pPr>
        <w:pStyle w:val="Compact"/>
        <w:numPr>
          <w:ilvl w:val="0"/>
          <w:numId w:val="1011"/>
        </w:numPr>
      </w:pPr>
      <w:r>
        <w:rPr>
          <w:b/>
          <w:bCs/>
        </w:rPr>
        <w:t xml:space="preserve">Support circle guidance:</w:t>
      </w:r>
      <w:r>
        <w:t xml:space="preserve"> </w:t>
      </w:r>
      <w:r>
        <w:t xml:space="preserve">Explain that the Support Circle feature is optional and user‑controlled and does not automatically alert contacts or monitor crises.</w:t>
      </w:r>
    </w:p>
    <w:p>
      <w:pPr>
        <w:pStyle w:val="Compact"/>
        <w:numPr>
          <w:ilvl w:val="0"/>
          <w:numId w:val="1011"/>
        </w:numPr>
      </w:pPr>
      <w:r>
        <w:rPr>
          <w:b/>
          <w:bCs/>
        </w:rPr>
        <w:t xml:space="preserve">Signposting:</w:t>
      </w:r>
      <w:r>
        <w:t xml:space="preserve"> </w:t>
      </w:r>
      <w:r>
        <w:t xml:space="preserve">Provide a list of crisis hotlines and emergency services by region (where available) and encourage users to seek help from qualified professionals if they are in crisis.</w:t>
      </w:r>
    </w:p>
    <w:p>
      <w:pPr>
        <w:pStyle w:val="Compact"/>
        <w:numPr>
          <w:ilvl w:val="0"/>
          <w:numId w:val="1011"/>
        </w:numPr>
      </w:pPr>
      <w:r>
        <w:rPr>
          <w:b/>
          <w:bCs/>
        </w:rPr>
        <w:t xml:space="preserve">AI boundary:</w:t>
      </w:r>
      <w:r>
        <w:t xml:space="preserve"> </w:t>
      </w:r>
      <w:r>
        <w:t xml:space="preserve">Clarify that AI outputs are drafts for user review and that the AI is not a decision‑maker or professional adviser.</w:t>
      </w:r>
    </w:p>
    <w:p>
      <w:pPr>
        <w:pStyle w:val="Compact"/>
        <w:numPr>
          <w:ilvl w:val="0"/>
          <w:numId w:val="1011"/>
        </w:numPr>
      </w:pPr>
      <w:r>
        <w:rPr>
          <w:b/>
          <w:bCs/>
        </w:rPr>
        <w:t xml:space="preserve">Feedback channel:</w:t>
      </w:r>
      <w:r>
        <w:t xml:space="preserve"> </w:t>
      </w:r>
      <w:r>
        <w:t xml:space="preserve">Invite visitors to provide feedback on the clarity of safety messaging.</w:t>
      </w:r>
    </w:p>
    <w:bookmarkEnd w:id="44"/>
    <w:bookmarkStart w:id="45" w:name="accessibility-requirements"/>
    <w:p>
      <w:pPr>
        <w:pStyle w:val="Heading2"/>
      </w:pPr>
      <w:r>
        <w:t xml:space="preserve">Accessibility Requirements</w:t>
      </w:r>
    </w:p>
    <w:p>
      <w:pPr>
        <w:pStyle w:val="Compact"/>
        <w:numPr>
          <w:ilvl w:val="0"/>
          <w:numId w:val="1012"/>
        </w:numPr>
      </w:pPr>
      <w:r>
        <w:rPr>
          <w:b/>
          <w:bCs/>
        </w:rPr>
        <w:t xml:space="preserve">Colour contrast:</w:t>
      </w:r>
      <w:r>
        <w:t xml:space="preserve"> </w:t>
      </w:r>
      <w:r>
        <w:t xml:space="preserve">Use a high‑contrast palette for text and important elements (minimum WCAG AA for normal text and AAA where feasible). The recommended palette suggests deep charcoal for text on warm off‑white backgrounds with accent colours like deep green or indigo.</w:t>
      </w:r>
    </w:p>
    <w:p>
      <w:pPr>
        <w:pStyle w:val="Compact"/>
        <w:numPr>
          <w:ilvl w:val="0"/>
          <w:numId w:val="1012"/>
        </w:numPr>
      </w:pPr>
      <w:r>
        <w:rPr>
          <w:b/>
          <w:bCs/>
        </w:rPr>
        <w:t xml:space="preserve">Typography:</w:t>
      </w:r>
      <w:r>
        <w:t xml:space="preserve"> </w:t>
      </w:r>
      <w:r>
        <w:t xml:space="preserve">Ensure fonts are legible with appropriate size (e.g., 16 px minimum on desktop, larger on mobile) and sufficient line spacing. Avoid exotic typefaces that hinder readability.</w:t>
      </w:r>
    </w:p>
    <w:p>
      <w:pPr>
        <w:pStyle w:val="Compact"/>
        <w:numPr>
          <w:ilvl w:val="0"/>
          <w:numId w:val="1012"/>
        </w:numPr>
      </w:pPr>
      <w:r>
        <w:rPr>
          <w:b/>
          <w:bCs/>
        </w:rPr>
        <w:t xml:space="preserve">Alt text:</w:t>
      </w:r>
      <w:r>
        <w:t xml:space="preserve"> </w:t>
      </w:r>
      <w:r>
        <w:t xml:space="preserve">Write meaningful alt text for all images and icons. Use empty alt attributes for decorative images.</w:t>
      </w:r>
    </w:p>
    <w:p>
      <w:pPr>
        <w:pStyle w:val="Compact"/>
        <w:numPr>
          <w:ilvl w:val="0"/>
          <w:numId w:val="1012"/>
        </w:numPr>
      </w:pPr>
      <w:r>
        <w:rPr>
          <w:b/>
          <w:bCs/>
        </w:rPr>
        <w:t xml:space="preserve">Keyboard navigation:</w:t>
      </w:r>
      <w:r>
        <w:t xml:space="preserve"> </w:t>
      </w:r>
      <w:r>
        <w:t xml:space="preserve">All interactive components (links, buttons, accordions, form fields) must be reachable and operable via keyboard. Provide visible focus indicators.</w:t>
      </w:r>
    </w:p>
    <w:p>
      <w:pPr>
        <w:pStyle w:val="Compact"/>
        <w:numPr>
          <w:ilvl w:val="0"/>
          <w:numId w:val="1012"/>
        </w:numPr>
      </w:pPr>
      <w:r>
        <w:rPr>
          <w:b/>
          <w:bCs/>
        </w:rPr>
        <w:t xml:space="preserve">ARIA roles and labels:</w:t>
      </w:r>
      <w:r>
        <w:t xml:space="preserve"> </w:t>
      </w:r>
      <w:r>
        <w:t xml:space="preserve">Use appropriate ARIA attributes to aid screen readers (e.g., aria‑expanded on accordion toggles, role="button" on clickable elements). Avoid unnecessary ARIA where native elements suffice.</w:t>
      </w:r>
    </w:p>
    <w:p>
      <w:pPr>
        <w:pStyle w:val="Compact"/>
        <w:numPr>
          <w:ilvl w:val="0"/>
          <w:numId w:val="1012"/>
        </w:numPr>
      </w:pPr>
      <w:r>
        <w:rPr>
          <w:b/>
          <w:bCs/>
        </w:rPr>
        <w:t xml:space="preserve">Motion:</w:t>
      </w:r>
      <w:r>
        <w:t xml:space="preserve"> </w:t>
      </w:r>
      <w:r>
        <w:t xml:space="preserve">Minimise motion; provide controls to disable animations for users with vestibular sensitivities. Any transitions should be subtle and not required for comprehension.</w:t>
      </w:r>
    </w:p>
    <w:bookmarkEnd w:id="45"/>
    <w:bookmarkStart w:id="46" w:name="analytics-events-for-privacy-review"/>
    <w:p>
      <w:pPr>
        <w:pStyle w:val="Heading2"/>
      </w:pPr>
      <w:r>
        <w:t xml:space="preserve">Analytics Events for Privacy Review</w:t>
      </w:r>
    </w:p>
    <w:p>
      <w:pPr>
        <w:pStyle w:val="FirstParagraph"/>
      </w:pPr>
      <w:r>
        <w:t xml:space="preserve">Capture only high‑level, non‑identifying analytics events to understand user flow and prioritise improvements. Suggested events:</w:t>
      </w:r>
    </w:p>
    <w:p>
      <w:pPr>
        <w:pStyle w:val="Compact"/>
        <w:numPr>
          <w:ilvl w:val="0"/>
          <w:numId w:val="1013"/>
        </w:numPr>
      </w:pPr>
      <w:r>
        <w:rPr>
          <w:rStyle w:val="VerbatimChar"/>
        </w:rPr>
        <w:t xml:space="preserve">hero_cta_click</w:t>
      </w:r>
      <w:r>
        <w:t xml:space="preserve"> </w:t>
      </w:r>
      <w:r>
        <w:t xml:space="preserve">– when users click the primary CTA in the hero section.</w:t>
      </w:r>
    </w:p>
    <w:p>
      <w:pPr>
        <w:pStyle w:val="Compact"/>
        <w:numPr>
          <w:ilvl w:val="0"/>
          <w:numId w:val="1013"/>
        </w:numPr>
      </w:pPr>
      <w:r>
        <w:rPr>
          <w:rStyle w:val="VerbatimChar"/>
        </w:rPr>
        <w:t xml:space="preserve">secondary_cta_click</w:t>
      </w:r>
      <w:r>
        <w:t xml:space="preserve"> </w:t>
      </w:r>
      <w:r>
        <w:t xml:space="preserve">– when users click “See How It Works”.</w:t>
      </w:r>
    </w:p>
    <w:p>
      <w:pPr>
        <w:pStyle w:val="Compact"/>
        <w:numPr>
          <w:ilvl w:val="0"/>
          <w:numId w:val="1013"/>
        </w:numPr>
      </w:pPr>
      <w:r>
        <w:rPr>
          <w:rStyle w:val="VerbatimChar"/>
        </w:rPr>
        <w:t xml:space="preserve">feature_card_hover</w:t>
      </w:r>
      <w:r>
        <w:t xml:space="preserve"> </w:t>
      </w:r>
      <w:r>
        <w:t xml:space="preserve">– optional event if feature cards reveal additional text on hover.</w:t>
      </w:r>
    </w:p>
    <w:p>
      <w:pPr>
        <w:pStyle w:val="Compact"/>
        <w:numPr>
          <w:ilvl w:val="0"/>
          <w:numId w:val="1013"/>
        </w:numPr>
      </w:pPr>
      <w:r>
        <w:rPr>
          <w:rStyle w:val="VerbatimChar"/>
        </w:rPr>
        <w:t xml:space="preserve">faq_expand</w:t>
      </w:r>
      <w:r>
        <w:t xml:space="preserve"> </w:t>
      </w:r>
      <w:r>
        <w:t xml:space="preserve">– when users expand an FAQ item. Do not track which question is opened; only record a generic event.</w:t>
      </w:r>
    </w:p>
    <w:p>
      <w:pPr>
        <w:pStyle w:val="Compact"/>
        <w:numPr>
          <w:ilvl w:val="0"/>
          <w:numId w:val="1013"/>
        </w:numPr>
      </w:pPr>
      <w:r>
        <w:rPr>
          <w:rStyle w:val="VerbatimChar"/>
        </w:rPr>
        <w:t xml:space="preserve">signup_form_submit</w:t>
      </w:r>
      <w:r>
        <w:t xml:space="preserve"> </w:t>
      </w:r>
      <w:r>
        <w:t xml:space="preserve">– when the signup form is successfully submitted (labelled as beta_signup_success). Do not capture form contents.</w:t>
      </w:r>
    </w:p>
    <w:p>
      <w:pPr>
        <w:pStyle w:val="Compact"/>
        <w:numPr>
          <w:ilvl w:val="0"/>
          <w:numId w:val="1013"/>
        </w:numPr>
      </w:pPr>
      <w:r>
        <w:rPr>
          <w:rStyle w:val="VerbatimChar"/>
        </w:rPr>
        <w:t xml:space="preserve">mobile_menu_toggle</w:t>
      </w:r>
      <w:r>
        <w:t xml:space="preserve"> </w:t>
      </w:r>
      <w:r>
        <w:t xml:space="preserve">– when users open or close the mobile hamburger menu.</w:t>
      </w:r>
    </w:p>
    <w:p>
      <w:pPr>
        <w:pStyle w:val="FirstParagraph"/>
      </w:pPr>
      <w:r>
        <w:t xml:space="preserve">Ensure all analytics are reviewed by privacy and legal owners before implementation.</w:t>
      </w:r>
    </w:p>
    <w:bookmarkEnd w:id="46"/>
    <w:bookmarkStart w:id="47" w:name="Xb13a814687f93863fa19afd7efdd353766d3379"/>
    <w:p>
      <w:pPr>
        <w:pStyle w:val="Heading2"/>
      </w:pPr>
      <w:r>
        <w:t xml:space="preserve">Required Visual Assets and Content Still Needed</w:t>
      </w:r>
    </w:p>
    <w:p>
      <w:pPr>
        <w:pStyle w:val="Compact"/>
        <w:numPr>
          <w:ilvl w:val="0"/>
          <w:numId w:val="1014"/>
        </w:numPr>
      </w:pPr>
      <w:r>
        <w:rPr>
          <w:b/>
          <w:bCs/>
        </w:rPr>
        <w:t xml:space="preserve">Logo/wordmark</w:t>
      </w:r>
      <w:r>
        <w:t xml:space="preserve"> </w:t>
      </w:r>
      <w:r>
        <w:t xml:space="preserve">– finalised design based on the brand identity brief.</w:t>
      </w:r>
    </w:p>
    <w:p>
      <w:pPr>
        <w:pStyle w:val="Compact"/>
        <w:numPr>
          <w:ilvl w:val="0"/>
          <w:numId w:val="1014"/>
        </w:numPr>
      </w:pPr>
      <w:r>
        <w:rPr>
          <w:b/>
          <w:bCs/>
        </w:rPr>
        <w:t xml:space="preserve">Product mockups</w:t>
      </w:r>
      <w:r>
        <w:t xml:space="preserve"> </w:t>
      </w:r>
      <w:r>
        <w:t xml:space="preserve">– fictional data screens for hero visual and product preview sections.</w:t>
      </w:r>
    </w:p>
    <w:p>
      <w:pPr>
        <w:pStyle w:val="Compact"/>
        <w:numPr>
          <w:ilvl w:val="0"/>
          <w:numId w:val="1014"/>
        </w:numPr>
      </w:pPr>
      <w:r>
        <w:rPr>
          <w:b/>
          <w:bCs/>
        </w:rPr>
        <w:t xml:space="preserve">Icons</w:t>
      </w:r>
      <w:r>
        <w:t xml:space="preserve"> </w:t>
      </w:r>
      <w:r>
        <w:t xml:space="preserve">– custom icons representing each feature and key concepts (privacy, future self, decision guidance, etc.).</w:t>
      </w:r>
    </w:p>
    <w:p>
      <w:pPr>
        <w:pStyle w:val="Compact"/>
        <w:numPr>
          <w:ilvl w:val="0"/>
          <w:numId w:val="1014"/>
        </w:numPr>
      </w:pPr>
      <w:r>
        <w:rPr>
          <w:b/>
          <w:bCs/>
        </w:rPr>
        <w:t xml:space="preserve">Illustrations</w:t>
      </w:r>
      <w:r>
        <w:t xml:space="preserve"> </w:t>
      </w:r>
      <w:r>
        <w:t xml:space="preserve">– abstract visuals depicting calm progress, self‑discovery and alignment.</w:t>
      </w:r>
    </w:p>
    <w:p>
      <w:pPr>
        <w:pStyle w:val="Compact"/>
        <w:numPr>
          <w:ilvl w:val="0"/>
          <w:numId w:val="1014"/>
        </w:numPr>
      </w:pPr>
      <w:r>
        <w:rPr>
          <w:b/>
          <w:bCs/>
        </w:rPr>
        <w:t xml:space="preserve">Copy for About, Privacy and Safety pages</w:t>
      </w:r>
      <w:r>
        <w:t xml:space="preserve"> </w:t>
      </w:r>
      <w:r>
        <w:t xml:space="preserve">– detailed content as outlined above.</w:t>
      </w:r>
    </w:p>
    <w:bookmarkEnd w:id="47"/>
    <w:bookmarkStart w:id="48" w:name="acceptance-criteria"/>
    <w:p>
      <w:pPr>
        <w:pStyle w:val="Heading2"/>
      </w:pPr>
      <w:r>
        <w:t xml:space="preserve">Acceptance Criteria</w:t>
      </w:r>
    </w:p>
    <w:p>
      <w:pPr>
        <w:pStyle w:val="FirstParagraph"/>
      </w:pPr>
      <w:r>
        <w:t xml:space="preserve">The wireframe is considered ready when:</w:t>
      </w:r>
    </w:p>
    <w:p>
      <w:pPr>
        <w:pStyle w:val="Compact"/>
        <w:numPr>
          <w:ilvl w:val="0"/>
          <w:numId w:val="1015"/>
        </w:numPr>
      </w:pPr>
      <w:r>
        <w:t xml:space="preserve">Each section and page outline is complete with headings, content guidance and layout notes.</w:t>
      </w:r>
    </w:p>
    <w:p>
      <w:pPr>
        <w:pStyle w:val="Compact"/>
        <w:numPr>
          <w:ilvl w:val="0"/>
          <w:numId w:val="1015"/>
        </w:numPr>
      </w:pPr>
      <w:r>
        <w:t xml:space="preserve">CTAs are clearly defined, consistently placed and accessible across desktop and mobile.</w:t>
      </w:r>
    </w:p>
    <w:p>
      <w:pPr>
        <w:pStyle w:val="Compact"/>
        <w:numPr>
          <w:ilvl w:val="0"/>
          <w:numId w:val="1015"/>
        </w:numPr>
      </w:pPr>
      <w:r>
        <w:t xml:space="preserve">Privacy, non‑clinical boundaries and consent messaging are prominent and link to dedicated pages.</w:t>
      </w:r>
    </w:p>
    <w:p>
      <w:pPr>
        <w:pStyle w:val="Compact"/>
        <w:numPr>
          <w:ilvl w:val="0"/>
          <w:numId w:val="1015"/>
        </w:numPr>
      </w:pPr>
      <w:r>
        <w:t xml:space="preserve">Form fields collect only the minimal required data with an explicit consent checkbox.</w:t>
      </w:r>
    </w:p>
    <w:p>
      <w:pPr>
        <w:pStyle w:val="Compact"/>
        <w:numPr>
          <w:ilvl w:val="0"/>
          <w:numId w:val="1015"/>
        </w:numPr>
      </w:pPr>
      <w:r>
        <w:t xml:space="preserve">Accessibility requirements (contrast, typography, alt text, keyboard navigation, ARIA) are documented and meet WCAG AA standards.</w:t>
      </w:r>
    </w:p>
    <w:p>
      <w:pPr>
        <w:pStyle w:val="Compact"/>
        <w:numPr>
          <w:ilvl w:val="0"/>
          <w:numId w:val="1015"/>
        </w:numPr>
      </w:pPr>
      <w:r>
        <w:t xml:space="preserve">Proposed analytics events are high‑level and avoid collecting identifiable data.</w:t>
      </w:r>
    </w:p>
    <w:p>
      <w:pPr>
        <w:pStyle w:val="Compact"/>
        <w:numPr>
          <w:ilvl w:val="0"/>
          <w:numId w:val="1015"/>
        </w:numPr>
      </w:pPr>
      <w:r>
        <w:t xml:space="preserve">All content avoids medical, legal, financial or crisis claims and makes clear that BecomingOS is non‑clinical and pre‑MVP.</w:t>
      </w:r>
    </w:p>
    <w:bookmarkEnd w:id="48"/>
    <w:bookmarkEnd w:id="49"/>
    <w:bookmarkEnd w:id="50"/>
    <w:p>
      <w:r>
        <w:pict>
          <v:rect style="width:0;height:1.5pt" o:hralign="center" o:hrstd="t" o:hr="t"/>
        </w:pict>
      </w:r>
    </w:p>
    <w:bookmarkStart w:id="51" w:name="citations"/>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2026-05-31T06:27:34Z</dcterms:created>
  <dcterms:modified xsi:type="dcterms:W3CDTF">2026-05-31T06:27:34Z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