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research-agent-output-summary"/>
    <w:p>
      <w:pPr>
        <w:pStyle w:val="Heading1"/>
      </w:pPr>
      <w:r>
        <w:t xml:space="preserve">Research Agent Output Summary</w:t>
      </w:r>
    </w:p>
    <w:bookmarkStart w:id="22" w:name="executive-summary"/>
    <w:p>
      <w:pPr>
        <w:pStyle w:val="Heading2"/>
      </w:pPr>
      <w:r>
        <w:t xml:space="preserve">Executive Summary</w:t>
      </w:r>
    </w:p>
    <w:p>
      <w:pPr>
        <w:pStyle w:val="FirstParagraph"/>
      </w:pPr>
      <w:r>
        <w:t xml:space="preserve">BecomingOS is envisioned as a modular, self‑discovery platform that helps users install a personal “operating system” rather than simply track habits or tasks. The research document synthesises evidence from behaviour change science, motivation theory, values and identity work, adult learning, question design, wording principles, AI interpretation and safety guidelines. It highlights that successful behaviour change requires capability, opportunity and motivation (the COM‑B model) and that interventions should be tailored to these dimensions</w:t>
      </w:r>
      <w:hyperlink r:id="rId21">
        <w:r>
          <w:rPr>
            <w:rStyle w:val="Hyperlink"/>
          </w:rPr>
          <w:t xml:space="preserve">[1]</w:t>
        </w:r>
      </w:hyperlink>
      <w:r>
        <w:t xml:space="preserve">. Implementation intentions and habit formation are effective only when paired with clear goals and repeated in consistent contexts</w:t>
      </w:r>
      <w:hyperlink r:id="rId21">
        <w:r>
          <w:rPr>
            <w:rStyle w:val="Hyperlink"/>
          </w:rPr>
          <w:t xml:space="preserve">[1]</w:t>
        </w:r>
      </w:hyperlink>
      <w:r>
        <w:t xml:space="preserve">. Value clarification, identity statements and future‑self exercises are essential precursors to goal setting and habit formation, while adult learning principles, micro‑learning and inclusive question design enhance user engagement and retention</w:t>
      </w:r>
      <w:hyperlink r:id="rId21">
        <w:r>
          <w:rPr>
            <w:rStyle w:val="Hyperlink"/>
          </w:rPr>
          <w:t xml:space="preserve">[1]</w:t>
        </w:r>
      </w:hyperlink>
      <w:r>
        <w:t xml:space="preserve">. The document stresses the need for plain, autonomy‑supportive language, structured AI outputs with user confirmation, and strict safety boundaries to avoid therapy, diagnosis or unapproved advice</w:t>
      </w:r>
      <w:hyperlink r:id="rId21">
        <w:r>
          <w:rPr>
            <w:rStyle w:val="Hyperlink"/>
          </w:rPr>
          <w:t xml:space="preserve">[2]</w:t>
        </w:r>
      </w:hyperlink>
      <w:r>
        <w:t xml:space="preserve">. Recommended changes include embedding COM‑B assessments in each module, adding values exercises, revising question types, developing a wording style guide and defining AI interpretation architecture</w:t>
      </w:r>
      <w:hyperlink r:id="rId21">
        <w:r>
          <w:rPr>
            <w:rStyle w:val="Hyperlink"/>
          </w:rPr>
          <w:t xml:space="preserve">[3]</w:t>
        </w:r>
      </w:hyperlink>
      <w:r>
        <w:t xml:space="preserve">. The research also identifies gaps in the current plan and outlines decisions required before building the product</w:t>
      </w:r>
      <w:hyperlink r:id="rId21">
        <w:r>
          <w:rPr>
            <w:rStyle w:val="Hyperlink"/>
          </w:rPr>
          <w:t xml:space="preserve">[3]</w:t>
        </w:r>
      </w:hyperlink>
      <w:r>
        <w:t xml:space="preserve">. Overall, the findings support a modular, educational and user‑centred approach with robust safety, privacy and ethical guidelines.</w:t>
      </w:r>
    </w:p>
    <w:bookmarkEnd w:id="22"/>
    <w:bookmarkStart w:id="23" w:name="main-conclusions"/>
    <w:p>
      <w:pPr>
        <w:pStyle w:val="Heading2"/>
      </w:pPr>
      <w:r>
        <w:t xml:space="preserve">Main Conclusions</w:t>
      </w:r>
    </w:p>
    <w:p>
      <w:pPr>
        <w:pStyle w:val="Compact"/>
        <w:numPr>
          <w:ilvl w:val="0"/>
          <w:numId w:val="1001"/>
        </w:numPr>
      </w:pPr>
      <w:r>
        <w:rPr>
          <w:b/>
          <w:bCs/>
        </w:rPr>
        <w:t xml:space="preserve">Behaviour change depends on capability, opportunity and motivation</w:t>
      </w:r>
      <w:r>
        <w:t xml:space="preserve"> </w:t>
      </w:r>
      <w:r>
        <w:t xml:space="preserve">– The COM‑B model shows that behaviour change interventions must address knowledge/skills, environmental factors and reflective/automatic motivation</w:t>
      </w:r>
      <w:hyperlink r:id="rId21">
        <w:r>
          <w:rPr>
            <w:rStyle w:val="Hyperlink"/>
          </w:rPr>
          <w:t xml:space="preserve">[1]</w:t>
        </w:r>
      </w:hyperlink>
      <w:r>
        <w:t xml:space="preserve">. Modules should not over‑rely on motivation alone.</w:t>
      </w:r>
    </w:p>
    <w:p>
      <w:pPr>
        <w:pStyle w:val="Compact"/>
        <w:numPr>
          <w:ilvl w:val="0"/>
          <w:numId w:val="1001"/>
        </w:numPr>
      </w:pPr>
      <w:r>
        <w:rPr>
          <w:b/>
          <w:bCs/>
        </w:rPr>
        <w:t xml:space="preserve">Habit formation requires clear goals and consistent cues</w:t>
      </w:r>
      <w:r>
        <w:t xml:space="preserve"> </w:t>
      </w:r>
      <w:r>
        <w:t xml:space="preserve">– Implementation intentions link situational cues to goals, while habit formation follows a curved trajectory and can plateau around 66 days</w:t>
      </w:r>
      <w:hyperlink r:id="rId21">
        <w:r>
          <w:rPr>
            <w:rStyle w:val="Hyperlink"/>
          </w:rPr>
          <w:t xml:space="preserve">[1]</w:t>
        </w:r>
      </w:hyperlink>
      <w:r>
        <w:t xml:space="preserve">. Simple actions form habits faster than complex ones, so modules should encourage small, repeatable behaviours.</w:t>
      </w:r>
    </w:p>
    <w:p>
      <w:pPr>
        <w:pStyle w:val="Compact"/>
        <w:numPr>
          <w:ilvl w:val="0"/>
          <w:numId w:val="1001"/>
        </w:numPr>
      </w:pPr>
      <w:r>
        <w:rPr>
          <w:b/>
          <w:bCs/>
        </w:rPr>
        <w:t xml:space="preserve">Values and identity work are foundational</w:t>
      </w:r>
      <w:r>
        <w:t xml:space="preserve"> </w:t>
      </w:r>
      <w:r>
        <w:t xml:space="preserve">– Acceptance and Commitment Therapy (ACT) defines values as meaningful life directions, and committed action aligns behaviour with values</w:t>
      </w:r>
      <w:hyperlink r:id="rId21">
        <w:r>
          <w:rPr>
            <w:rStyle w:val="Hyperlink"/>
          </w:rPr>
          <w:t xml:space="preserve">[1]</w:t>
        </w:r>
      </w:hyperlink>
      <w:r>
        <w:t xml:space="preserve">. Exercises like the Valued Living Questionnaire and Bull’s‑Eye Survey help users clarify values; identity statements and future‑self continuity increase motivation and self‑control</w:t>
      </w:r>
      <w:hyperlink r:id="rId21">
        <w:r>
          <w:rPr>
            <w:rStyle w:val="Hyperlink"/>
          </w:rPr>
          <w:t xml:space="preserve">[1]</w:t>
        </w:r>
      </w:hyperlink>
      <w:r>
        <w:t xml:space="preserve">.</w:t>
      </w:r>
    </w:p>
    <w:p>
      <w:pPr>
        <w:pStyle w:val="Compact"/>
        <w:numPr>
          <w:ilvl w:val="0"/>
          <w:numId w:val="1001"/>
        </w:numPr>
      </w:pPr>
      <w:r>
        <w:rPr>
          <w:b/>
          <w:bCs/>
        </w:rPr>
        <w:t xml:space="preserve">Adult learning principles and micro‑learning improve retention</w:t>
      </w:r>
      <w:r>
        <w:t xml:space="preserve"> </w:t>
      </w:r>
      <w:r>
        <w:t xml:space="preserve">– Adults need autonomy and relevance, and micro‑learning reduces cognitive load. Providing options for text, audio and video, along with progressive disclosure, enhances engagement and accessibility</w:t>
      </w:r>
      <w:hyperlink r:id="rId21">
        <w:r>
          <w:rPr>
            <w:rStyle w:val="Hyperlink"/>
          </w:rPr>
          <w:t xml:space="preserve">[1]</w:t>
        </w:r>
      </w:hyperlink>
      <w:r>
        <w:t xml:space="preserve">.</w:t>
      </w:r>
    </w:p>
    <w:p>
      <w:pPr>
        <w:pStyle w:val="Compact"/>
        <w:numPr>
          <w:ilvl w:val="0"/>
          <w:numId w:val="1001"/>
        </w:numPr>
      </w:pPr>
      <w:r>
        <w:rPr>
          <w:b/>
          <w:bCs/>
        </w:rPr>
        <w:t xml:space="preserve">Question design must balance depth and safety</w:t>
      </w:r>
      <w:r>
        <w:t xml:space="preserve"> </w:t>
      </w:r>
      <w:r>
        <w:t xml:space="preserve">– Open and reflective questions are needed for values and identity exploration, but high‑intensity prompts should be limited. Rating scales with clear anchors and forced‑choice formats reduce confusion and fatigue</w:t>
      </w:r>
      <w:hyperlink r:id="rId21">
        <w:r>
          <w:rPr>
            <w:rStyle w:val="Hyperlink"/>
          </w:rPr>
          <w:t xml:space="preserve">[2]</w:t>
        </w:r>
      </w:hyperlink>
      <w:r>
        <w:t xml:space="preserve">.</w:t>
      </w:r>
    </w:p>
    <w:p>
      <w:pPr>
        <w:pStyle w:val="Compact"/>
        <w:numPr>
          <w:ilvl w:val="0"/>
          <w:numId w:val="1001"/>
        </w:numPr>
      </w:pPr>
      <w:r>
        <w:rPr>
          <w:b/>
          <w:bCs/>
        </w:rPr>
        <w:t xml:space="preserve">Plain, autonomy‑supportive wording builds trust</w:t>
      </w:r>
      <w:r>
        <w:t xml:space="preserve"> </w:t>
      </w:r>
      <w:r>
        <w:t xml:space="preserve">– A style guide should emphasise plain language, motivational interviewing techniques, avoidance of clinical or shaming language, and first‑ and second‑person pronouns</w:t>
      </w:r>
      <w:hyperlink r:id="rId21">
        <w:r>
          <w:rPr>
            <w:rStyle w:val="Hyperlink"/>
          </w:rPr>
          <w:t xml:space="preserve">[2]</w:t>
        </w:r>
      </w:hyperlink>
      <w:r>
        <w:t xml:space="preserve">.</w:t>
      </w:r>
    </w:p>
    <w:p>
      <w:pPr>
        <w:pStyle w:val="Compact"/>
        <w:numPr>
          <w:ilvl w:val="0"/>
          <w:numId w:val="1001"/>
        </w:numPr>
      </w:pPr>
      <w:r>
        <w:rPr>
          <w:b/>
          <w:bCs/>
        </w:rPr>
        <w:t xml:space="preserve">AI interpretation requires structure, transparency and user control</w:t>
      </w:r>
      <w:r>
        <w:t xml:space="preserve"> </w:t>
      </w:r>
      <w:r>
        <w:t xml:space="preserve">– Outputs should be structured (e.g., JSON fields), include confidence scores and citations, and require explicit user confirmation before storing or using memories</w:t>
      </w:r>
      <w:hyperlink r:id="rId21">
        <w:r>
          <w:rPr>
            <w:rStyle w:val="Hyperlink"/>
          </w:rPr>
          <w:t xml:space="preserve">[2]</w:t>
        </w:r>
      </w:hyperlink>
      <w:r>
        <w:t xml:space="preserve">.</w:t>
      </w:r>
    </w:p>
    <w:p>
      <w:pPr>
        <w:pStyle w:val="Compact"/>
        <w:numPr>
          <w:ilvl w:val="0"/>
          <w:numId w:val="1001"/>
        </w:numPr>
      </w:pPr>
      <w:r>
        <w:rPr>
          <w:b/>
          <w:bCs/>
        </w:rPr>
        <w:t xml:space="preserve">Safety boundaries and privacy are non‑negotiable</w:t>
      </w:r>
      <w:r>
        <w:t xml:space="preserve"> </w:t>
      </w:r>
      <w:r>
        <w:t xml:space="preserve">– The system must clearly state that it is not therapy, medical, legal or financial advice. Emergency contacts should be provided, data should be stored locally by default, and user consent is required for sharing or modifying data</w:t>
      </w:r>
      <w:hyperlink r:id="rId21">
        <w:r>
          <w:rPr>
            <w:rStyle w:val="Hyperlink"/>
          </w:rPr>
          <w:t xml:space="preserve">[2]</w:t>
        </w:r>
      </w:hyperlink>
      <w:r>
        <w:t xml:space="preserve">.</w:t>
      </w:r>
    </w:p>
    <w:p>
      <w:pPr>
        <w:pStyle w:val="Compact"/>
        <w:numPr>
          <w:ilvl w:val="0"/>
          <w:numId w:val="1001"/>
        </w:numPr>
      </w:pPr>
      <w:r>
        <w:rPr>
          <w:b/>
          <w:bCs/>
        </w:rPr>
        <w:t xml:space="preserve">Current plan gaps include missing COM‑B integration, insufficient values and identity work, limited adult learning design, vague AI safety guidelines, and absent emergency wording</w:t>
      </w:r>
      <w:hyperlink r:id="rId21">
        <w:r>
          <w:rPr>
            <w:rStyle w:val="Hyperlink"/>
          </w:rPr>
          <w:t xml:space="preserve">[3]</w:t>
        </w:r>
      </w:hyperlink>
      <w:r>
        <w:t xml:space="preserve">.</w:t>
      </w:r>
    </w:p>
    <w:bookmarkEnd w:id="23"/>
    <w:bookmarkStart w:id="24" w:name="main-recommendations"/>
    <w:p>
      <w:pPr>
        <w:pStyle w:val="Heading2"/>
      </w:pPr>
      <w:r>
        <w:t xml:space="preserve">Main Recommendations</w:t>
      </w:r>
    </w:p>
    <w:p>
      <w:pPr>
        <w:pStyle w:val="Compact"/>
        <w:numPr>
          <w:ilvl w:val="0"/>
          <w:numId w:val="1002"/>
        </w:numPr>
      </w:pPr>
      <w:r>
        <w:rPr>
          <w:b/>
          <w:bCs/>
        </w:rPr>
        <w:t xml:space="preserve">Integrate COM‑B assessments</w:t>
      </w:r>
      <w:r>
        <w:t xml:space="preserve"> </w:t>
      </w:r>
      <w:r>
        <w:t xml:space="preserve">– Each module should determine whether capability, opportunity or motivation is lacking and provide targeted suggestions</w:t>
      </w:r>
      <w:hyperlink r:id="rId21">
        <w:r>
          <w:rPr>
            <w:rStyle w:val="Hyperlink"/>
          </w:rPr>
          <w:t xml:space="preserve">[3]</w:t>
        </w:r>
      </w:hyperlink>
      <w:r>
        <w:t xml:space="preserve">.</w:t>
      </w:r>
    </w:p>
    <w:p>
      <w:pPr>
        <w:pStyle w:val="Compact"/>
        <w:numPr>
          <w:ilvl w:val="0"/>
          <w:numId w:val="1002"/>
        </w:numPr>
      </w:pPr>
      <w:r>
        <w:rPr>
          <w:b/>
          <w:bCs/>
        </w:rPr>
        <w:t xml:space="preserve">Add values clarification modules</w:t>
      </w:r>
      <w:r>
        <w:t xml:space="preserve"> </w:t>
      </w:r>
      <w:r>
        <w:t xml:space="preserve">– Incorporate exercises like the Valued Living Questionnaire and Bull’s‑Eye Survey; include reflections on personal rules and future self</w:t>
      </w:r>
      <w:hyperlink r:id="rId21">
        <w:r>
          <w:rPr>
            <w:rStyle w:val="Hyperlink"/>
          </w:rPr>
          <w:t xml:space="preserve">[3]</w:t>
        </w:r>
      </w:hyperlink>
      <w:r>
        <w:t xml:space="preserve">.</w:t>
      </w:r>
    </w:p>
    <w:p>
      <w:pPr>
        <w:pStyle w:val="Compact"/>
        <w:numPr>
          <w:ilvl w:val="0"/>
          <w:numId w:val="1002"/>
        </w:numPr>
      </w:pPr>
      <w:r>
        <w:rPr>
          <w:b/>
          <w:bCs/>
        </w:rPr>
        <w:t xml:space="preserve">Apply adult learning and micro‑learning</w:t>
      </w:r>
      <w:r>
        <w:t xml:space="preserve"> </w:t>
      </w:r>
      <w:r>
        <w:t xml:space="preserve">– Break content into short lessons, use multiple media options and progressive disclosure</w:t>
      </w:r>
      <w:hyperlink r:id="rId21">
        <w:r>
          <w:rPr>
            <w:rStyle w:val="Hyperlink"/>
          </w:rPr>
          <w:t xml:space="preserve">[3]</w:t>
        </w:r>
      </w:hyperlink>
      <w:r>
        <w:t xml:space="preserve">.</w:t>
      </w:r>
    </w:p>
    <w:p>
      <w:pPr>
        <w:pStyle w:val="Compact"/>
        <w:numPr>
          <w:ilvl w:val="0"/>
          <w:numId w:val="1002"/>
        </w:numPr>
      </w:pPr>
      <w:r>
        <w:rPr>
          <w:b/>
          <w:bCs/>
        </w:rPr>
        <w:t xml:space="preserve">Revise question design</w:t>
      </w:r>
      <w:r>
        <w:t xml:space="preserve"> </w:t>
      </w:r>
      <w:r>
        <w:t xml:space="preserve">– Use forced‑choice yes/no for behavioural tracking, limit ranking tasks, provide rating scales with clear anchors and incorporate branching logic to reduce fatigue</w:t>
      </w:r>
      <w:hyperlink r:id="rId21">
        <w:r>
          <w:rPr>
            <w:rStyle w:val="Hyperlink"/>
          </w:rPr>
          <w:t xml:space="preserve">[3]</w:t>
        </w:r>
      </w:hyperlink>
      <w:r>
        <w:t xml:space="preserve">.</w:t>
      </w:r>
    </w:p>
    <w:p>
      <w:pPr>
        <w:pStyle w:val="Compact"/>
        <w:numPr>
          <w:ilvl w:val="0"/>
          <w:numId w:val="1002"/>
        </w:numPr>
      </w:pPr>
      <w:r>
        <w:rPr>
          <w:b/>
          <w:bCs/>
        </w:rPr>
        <w:t xml:space="preserve">Develop a wording style guide</w:t>
      </w:r>
      <w:r>
        <w:t xml:space="preserve"> </w:t>
      </w:r>
      <w:r>
        <w:t xml:space="preserve">– Define plain language principles, autonomy‑supportive tone, motivational interviewing techniques and avoidance of clinical or shaming language</w:t>
      </w:r>
      <w:hyperlink r:id="rId21">
        <w:r>
          <w:rPr>
            <w:rStyle w:val="Hyperlink"/>
          </w:rPr>
          <w:t xml:space="preserve">[3]</w:t>
        </w:r>
      </w:hyperlink>
      <w:r>
        <w:t xml:space="preserve">.</w:t>
      </w:r>
    </w:p>
    <w:p>
      <w:pPr>
        <w:pStyle w:val="Compact"/>
        <w:numPr>
          <w:ilvl w:val="0"/>
          <w:numId w:val="1002"/>
        </w:numPr>
      </w:pPr>
      <w:r>
        <w:rPr>
          <w:b/>
          <w:bCs/>
        </w:rPr>
        <w:t xml:space="preserve">Design a structured AI interpretation architecture</w:t>
      </w:r>
      <w:r>
        <w:t xml:space="preserve"> </w:t>
      </w:r>
      <w:r>
        <w:t xml:space="preserve">– Use standard schemas with type, content, sources, tags and confidence; compute confidence scores; require user confirmation; and provide transparency via citations</w:t>
      </w:r>
      <w:hyperlink r:id="rId21">
        <w:r>
          <w:rPr>
            <w:rStyle w:val="Hyperlink"/>
          </w:rPr>
          <w:t xml:space="preserve">[3]</w:t>
        </w:r>
      </w:hyperlink>
      <w:r>
        <w:t xml:space="preserve">.</w:t>
      </w:r>
    </w:p>
    <w:p>
      <w:pPr>
        <w:pStyle w:val="Compact"/>
        <w:numPr>
          <w:ilvl w:val="0"/>
          <w:numId w:val="1002"/>
        </w:numPr>
      </w:pPr>
      <w:r>
        <w:rPr>
          <w:b/>
          <w:bCs/>
        </w:rPr>
        <w:t xml:space="preserve">Strengthen safety measures</w:t>
      </w:r>
      <w:r>
        <w:t xml:space="preserve"> </w:t>
      </w:r>
      <w:r>
        <w:t xml:space="preserve">– Draft a clear disclaimer, provide crisis resources, implement robust privacy controls and require confirmation before scheduling or modifying calendar events</w:t>
      </w:r>
      <w:hyperlink r:id="rId21">
        <w:r>
          <w:rPr>
            <w:rStyle w:val="Hyperlink"/>
          </w:rPr>
          <w:t xml:space="preserve">[3]</w:t>
        </w:r>
      </w:hyperlink>
      <w:r>
        <w:t xml:space="preserve">.</w:t>
      </w:r>
    </w:p>
    <w:p>
      <w:pPr>
        <w:pStyle w:val="Compact"/>
        <w:numPr>
          <w:ilvl w:val="0"/>
          <w:numId w:val="1002"/>
        </w:numPr>
      </w:pPr>
      <w:r>
        <w:rPr>
          <w:b/>
          <w:bCs/>
        </w:rPr>
        <w:t xml:space="preserve">Enhance privacy protections</w:t>
      </w:r>
      <w:r>
        <w:t xml:space="preserve"> </w:t>
      </w:r>
      <w:r>
        <w:t xml:space="preserve">– Store data locally by default; if cloud storage is used, require encryption and consent; comply with privacy laws and allow users to delete data</w:t>
      </w:r>
      <w:hyperlink r:id="rId21">
        <w:r>
          <w:rPr>
            <w:rStyle w:val="Hyperlink"/>
          </w:rPr>
          <w:t xml:space="preserve">[3]</w:t>
        </w:r>
      </w:hyperlink>
      <w:r>
        <w:t xml:space="preserve">.</w:t>
      </w:r>
    </w:p>
    <w:p>
      <w:pPr>
        <w:pStyle w:val="Compact"/>
        <w:numPr>
          <w:ilvl w:val="0"/>
          <w:numId w:val="1002"/>
        </w:numPr>
      </w:pPr>
      <w:r>
        <w:rPr>
          <w:b/>
          <w:bCs/>
        </w:rPr>
        <w:t xml:space="preserve">Determine module sequence and scope</w:t>
      </w:r>
      <w:r>
        <w:t xml:space="preserve"> </w:t>
      </w:r>
      <w:r>
        <w:t xml:space="preserve">– Decide the order and scope of modules (values, identity, goal setting, habit formation, life alignment) for the MVP</w:t>
      </w:r>
      <w:hyperlink r:id="rId21">
        <w:r>
          <w:rPr>
            <w:rStyle w:val="Hyperlink"/>
          </w:rPr>
          <w:t xml:space="preserve">[3]</w:t>
        </w:r>
      </w:hyperlink>
      <w:r>
        <w:t xml:space="preserve">.</w:t>
      </w:r>
    </w:p>
    <w:bookmarkEnd w:id="24"/>
    <w:bookmarkStart w:id="25" w:name="main-risks"/>
    <w:p>
      <w:pPr>
        <w:pStyle w:val="Heading2"/>
      </w:pPr>
      <w:r>
        <w:t xml:space="preserve">Main Risks</w:t>
      </w:r>
    </w:p>
    <w:p>
      <w:pPr>
        <w:pStyle w:val="Compact"/>
        <w:numPr>
          <w:ilvl w:val="0"/>
          <w:numId w:val="1003"/>
        </w:numPr>
      </w:pPr>
      <w:r>
        <w:rPr>
          <w:b/>
          <w:bCs/>
        </w:rPr>
        <w:t xml:space="preserve">Overemphasis on motivation</w:t>
      </w:r>
      <w:r>
        <w:t xml:space="preserve"> </w:t>
      </w:r>
      <w:r>
        <w:t xml:space="preserve">– Failing to address capability and opportunity could lead to ineffective interventions and user frustration</w:t>
      </w:r>
      <w:r>
        <w:br/>
      </w:r>
      <w:r>
        <w:t xml:space="preserve">.</w:t>
      </w:r>
    </w:p>
    <w:p>
      <w:pPr>
        <w:pStyle w:val="Compact"/>
        <w:numPr>
          <w:ilvl w:val="0"/>
          <w:numId w:val="1003"/>
        </w:numPr>
      </w:pPr>
      <w:r>
        <w:rPr>
          <w:b/>
          <w:bCs/>
        </w:rPr>
        <w:t xml:space="preserve">Insufficient values and identity work</w:t>
      </w:r>
      <w:r>
        <w:t xml:space="preserve"> </w:t>
      </w:r>
      <w:r>
        <w:t xml:space="preserve">– Without strong values clarification, users may set goals that lack personal meaning, reducing long‑term engagement and habit formation</w:t>
      </w:r>
      <w:r>
        <w:br/>
      </w:r>
      <w:r>
        <w:t xml:space="preserve">.</w:t>
      </w:r>
    </w:p>
    <w:p>
      <w:pPr>
        <w:pStyle w:val="Compact"/>
        <w:numPr>
          <w:ilvl w:val="0"/>
          <w:numId w:val="1003"/>
        </w:numPr>
      </w:pPr>
      <w:r>
        <w:rPr>
          <w:b/>
          <w:bCs/>
        </w:rPr>
        <w:t xml:space="preserve">Question fatigue and emotional distress</w:t>
      </w:r>
      <w:r>
        <w:t xml:space="preserve"> </w:t>
      </w:r>
      <w:r>
        <w:t xml:space="preserve">– Too many or poorly designed questions could overwhelm users; ranking large lists or high‑intensity prompts may cause distress</w:t>
      </w:r>
      <w:r>
        <w:br/>
      </w:r>
      <w:r>
        <w:t xml:space="preserve">.</w:t>
      </w:r>
    </w:p>
    <w:p>
      <w:pPr>
        <w:pStyle w:val="Compact"/>
        <w:numPr>
          <w:ilvl w:val="0"/>
          <w:numId w:val="1003"/>
        </w:numPr>
      </w:pPr>
      <w:r>
        <w:rPr>
          <w:b/>
          <w:bCs/>
        </w:rPr>
        <w:t xml:space="preserve">Vague AI interpretation</w:t>
      </w:r>
      <w:r>
        <w:t xml:space="preserve"> </w:t>
      </w:r>
      <w:r>
        <w:t xml:space="preserve">– Without structured outputs and user control, the AI could misinterpret data, produce biased or unsafe insights, or unintentionally diagnose users</w:t>
      </w:r>
      <w:r>
        <w:br/>
      </w:r>
      <w:r>
        <w:t xml:space="preserve">.</w:t>
      </w:r>
    </w:p>
    <w:p>
      <w:pPr>
        <w:pStyle w:val="Compact"/>
        <w:numPr>
          <w:ilvl w:val="0"/>
          <w:numId w:val="1003"/>
        </w:numPr>
      </w:pPr>
      <w:r>
        <w:rPr>
          <w:b/>
          <w:bCs/>
        </w:rPr>
        <w:t xml:space="preserve">Safety and privacy gaps</w:t>
      </w:r>
      <w:r>
        <w:t xml:space="preserve"> </w:t>
      </w:r>
      <w:r>
        <w:t xml:space="preserve">– Lack of clear emergency wording, privacy controls and legal compliance could expose users to harm and create regulatory liabilities</w:t>
      </w:r>
      <w:r>
        <w:br/>
      </w:r>
      <w:r>
        <w:t xml:space="preserve">.</w:t>
      </w:r>
    </w:p>
    <w:bookmarkEnd w:id="25"/>
    <w:bookmarkStart w:id="26" w:name="main-product-implications"/>
    <w:p>
      <w:pPr>
        <w:pStyle w:val="Heading2"/>
      </w:pPr>
      <w:r>
        <w:t xml:space="preserve">Main Product Implications</w:t>
      </w:r>
    </w:p>
    <w:p>
      <w:pPr>
        <w:pStyle w:val="Compact"/>
        <w:numPr>
          <w:ilvl w:val="0"/>
          <w:numId w:val="1004"/>
        </w:numPr>
      </w:pPr>
      <w:r>
        <w:rPr>
          <w:b/>
          <w:bCs/>
        </w:rPr>
        <w:t xml:space="preserve">Module sequencing</w:t>
      </w:r>
      <w:r>
        <w:t xml:space="preserve"> </w:t>
      </w:r>
      <w:r>
        <w:t xml:space="preserve">should begin with values and identity exercises, followed by goal setting, implementation intentions and habit formation. Life alignment (calendar integration) comes last to avoid premature scheduling</w:t>
      </w:r>
      <w:r>
        <w:br/>
      </w:r>
      <w:r>
        <w:t xml:space="preserve">.</w:t>
      </w:r>
    </w:p>
    <w:p>
      <w:pPr>
        <w:pStyle w:val="Compact"/>
        <w:numPr>
          <w:ilvl w:val="0"/>
          <w:numId w:val="1004"/>
        </w:numPr>
      </w:pPr>
      <w:r>
        <w:rPr>
          <w:b/>
          <w:bCs/>
        </w:rPr>
        <w:t xml:space="preserve">Question types</w:t>
      </w:r>
      <w:r>
        <w:t xml:space="preserve"> </w:t>
      </w:r>
      <w:r>
        <w:t xml:space="preserve">must be standardised across modules, with open questions for exploration and ratings or forced‑choice for behaviour tracking</w:t>
      </w:r>
      <w:r>
        <w:br/>
      </w:r>
      <w:r>
        <w:t xml:space="preserve">.</w:t>
      </w:r>
    </w:p>
    <w:p>
      <w:pPr>
        <w:pStyle w:val="Compact"/>
        <w:numPr>
          <w:ilvl w:val="0"/>
          <w:numId w:val="1004"/>
        </w:numPr>
      </w:pPr>
      <w:r>
        <w:rPr>
          <w:b/>
          <w:bCs/>
        </w:rPr>
        <w:t xml:space="preserve">Educational design</w:t>
      </w:r>
      <w:r>
        <w:t xml:space="preserve"> </w:t>
      </w:r>
      <w:r>
        <w:t xml:space="preserve">should embrace micro‑learning, varied media and adult learning principles to increase retention and accessibility</w:t>
      </w:r>
      <w:r>
        <w:br/>
      </w:r>
      <w:r>
        <w:t xml:space="preserve">.</w:t>
      </w:r>
    </w:p>
    <w:p>
      <w:pPr>
        <w:pStyle w:val="Compact"/>
        <w:numPr>
          <w:ilvl w:val="0"/>
          <w:numId w:val="1004"/>
        </w:numPr>
      </w:pPr>
      <w:r>
        <w:rPr>
          <w:b/>
          <w:bCs/>
        </w:rPr>
        <w:t xml:space="preserve">AI architecture</w:t>
      </w:r>
      <w:r>
        <w:t xml:space="preserve"> </w:t>
      </w:r>
      <w:r>
        <w:t xml:space="preserve">must prioritise structured outputs, transparency and user confirmation, with memory deletion and bias checks built in</w:t>
      </w:r>
      <w:r>
        <w:br/>
      </w:r>
      <w:r>
        <w:t xml:space="preserve">.</w:t>
      </w:r>
    </w:p>
    <w:p>
      <w:pPr>
        <w:pStyle w:val="Compact"/>
        <w:numPr>
          <w:ilvl w:val="0"/>
          <w:numId w:val="1004"/>
        </w:numPr>
      </w:pPr>
      <w:r>
        <w:rPr>
          <w:b/>
          <w:bCs/>
        </w:rPr>
        <w:t xml:space="preserve">Privacy and consent</w:t>
      </w:r>
      <w:r>
        <w:t xml:space="preserve"> </w:t>
      </w:r>
      <w:r>
        <w:t xml:space="preserve">require local storage by default, encryption for cloud storage and explicit user approval for data sharing or calendar modifications</w:t>
      </w:r>
      <w:r>
        <w:br/>
      </w:r>
      <w:r>
        <w:t xml:space="preserve">.</w:t>
      </w:r>
    </w:p>
    <w:bookmarkEnd w:id="26"/>
    <w:bookmarkStart w:id="27" w:name="main-safety-implications"/>
    <w:p>
      <w:pPr>
        <w:pStyle w:val="Heading2"/>
      </w:pPr>
      <w:r>
        <w:t xml:space="preserve">Main Safety Implications</w:t>
      </w:r>
    </w:p>
    <w:p>
      <w:pPr>
        <w:pStyle w:val="Compact"/>
        <w:numPr>
          <w:ilvl w:val="0"/>
          <w:numId w:val="1005"/>
        </w:numPr>
      </w:pPr>
      <w:r>
        <w:rPr>
          <w:b/>
          <w:bCs/>
        </w:rPr>
        <w:t xml:space="preserve">Non‑therapy positioning</w:t>
      </w:r>
      <w:r>
        <w:t xml:space="preserve"> </w:t>
      </w:r>
      <w:r>
        <w:t xml:space="preserve">– The product must clearly state that it is educational and not therapy, diagnosis or treatment</w:t>
      </w:r>
      <w:r>
        <w:br/>
      </w:r>
      <w:r>
        <w:t xml:space="preserve">.</w:t>
      </w:r>
    </w:p>
    <w:p>
      <w:pPr>
        <w:pStyle w:val="Compact"/>
        <w:numPr>
          <w:ilvl w:val="0"/>
          <w:numId w:val="1005"/>
        </w:numPr>
      </w:pPr>
      <w:r>
        <w:rPr>
          <w:b/>
          <w:bCs/>
        </w:rPr>
        <w:t xml:space="preserve">Emergency wording</w:t>
      </w:r>
      <w:r>
        <w:t xml:space="preserve"> </w:t>
      </w:r>
      <w:r>
        <w:t xml:space="preserve">– Users should be directed to local emergency services if they are in immediate danger; crisis helplines and professional support resources should be provided</w:t>
      </w:r>
      <w:r>
        <w:br/>
      </w:r>
      <w:r>
        <w:t xml:space="preserve">.</w:t>
      </w:r>
    </w:p>
    <w:p>
      <w:pPr>
        <w:pStyle w:val="Compact"/>
        <w:numPr>
          <w:ilvl w:val="0"/>
          <w:numId w:val="1005"/>
        </w:numPr>
      </w:pPr>
      <w:r>
        <w:rPr>
          <w:b/>
          <w:bCs/>
        </w:rPr>
        <w:t xml:space="preserve">Privacy and data protection</w:t>
      </w:r>
      <w:r>
        <w:t xml:space="preserve"> </w:t>
      </w:r>
      <w:r>
        <w:t xml:space="preserve">– Personal data must be stored securely with user control over sharing, deletion and export</w:t>
      </w:r>
      <w:r>
        <w:br/>
      </w:r>
      <w:r>
        <w:t xml:space="preserve">.</w:t>
      </w:r>
    </w:p>
    <w:p>
      <w:pPr>
        <w:pStyle w:val="Compact"/>
        <w:numPr>
          <w:ilvl w:val="0"/>
          <w:numId w:val="1005"/>
        </w:numPr>
      </w:pPr>
      <w:r>
        <w:rPr>
          <w:b/>
          <w:bCs/>
        </w:rPr>
        <w:t xml:space="preserve">User agency</w:t>
      </w:r>
      <w:r>
        <w:t xml:space="preserve"> </w:t>
      </w:r>
      <w:r>
        <w:t xml:space="preserve">– AI insights must be confirmable, editable and deletable; rejected or deleted memories should not influence future recommendations</w:t>
      </w:r>
      <w:r>
        <w:br/>
      </w:r>
      <w:r>
        <w:t xml:space="preserve">.</w:t>
      </w:r>
    </w:p>
    <w:p>
      <w:pPr>
        <w:pStyle w:val="Compact"/>
        <w:numPr>
          <w:ilvl w:val="0"/>
          <w:numId w:val="1005"/>
        </w:numPr>
      </w:pPr>
      <w:r>
        <w:rPr>
          <w:b/>
          <w:bCs/>
        </w:rPr>
        <w:t xml:space="preserve">Avoid high‑risk features</w:t>
      </w:r>
      <w:r>
        <w:t xml:space="preserve"> </w:t>
      </w:r>
      <w:r>
        <w:t xml:space="preserve">– No therapy, diagnosis, high‑impact decision automation or automatic scheduling; the system must avoid manipulative nudging and protect against trauma triggers</w:t>
      </w:r>
      <w:r>
        <w:br/>
      </w:r>
      <w:r>
        <w:t xml:space="preserve">.</w:t>
      </w:r>
    </w:p>
    <w:bookmarkEnd w:id="27"/>
    <w:bookmarkStart w:id="28" w:name="main-technical-implications-high-level"/>
    <w:p>
      <w:pPr>
        <w:pStyle w:val="Heading2"/>
      </w:pPr>
      <w:r>
        <w:t xml:space="preserve">Main Technical Implications (High Level)</w:t>
      </w:r>
    </w:p>
    <w:p>
      <w:pPr>
        <w:pStyle w:val="Compact"/>
        <w:numPr>
          <w:ilvl w:val="0"/>
          <w:numId w:val="1006"/>
        </w:numPr>
      </w:pPr>
      <w:r>
        <w:rPr>
          <w:b/>
          <w:bCs/>
        </w:rPr>
        <w:t xml:space="preserve">Assessment logic</w:t>
      </w:r>
      <w:r>
        <w:t xml:space="preserve"> </w:t>
      </w:r>
      <w:r>
        <w:t xml:space="preserve">– Modules need dynamic logic to assess capability, opportunity and motivation and serve appropriate interventions.</w:t>
      </w:r>
    </w:p>
    <w:p>
      <w:pPr>
        <w:pStyle w:val="Compact"/>
        <w:numPr>
          <w:ilvl w:val="0"/>
          <w:numId w:val="1006"/>
        </w:numPr>
      </w:pPr>
      <w:r>
        <w:rPr>
          <w:b/>
          <w:bCs/>
        </w:rPr>
        <w:t xml:space="preserve">Flexible question engine</w:t>
      </w:r>
      <w:r>
        <w:t xml:space="preserve"> </w:t>
      </w:r>
      <w:r>
        <w:t xml:space="preserve">– A component must support multiple question types (open, rating, ranking, slider, forced choice) with branching and skip logic.</w:t>
      </w:r>
    </w:p>
    <w:p>
      <w:pPr>
        <w:pStyle w:val="Compact"/>
        <w:numPr>
          <w:ilvl w:val="0"/>
          <w:numId w:val="1006"/>
        </w:numPr>
      </w:pPr>
      <w:r>
        <w:rPr>
          <w:b/>
          <w:bCs/>
        </w:rPr>
        <w:t xml:space="preserve">Structured memory store</w:t>
      </w:r>
      <w:r>
        <w:t xml:space="preserve"> </w:t>
      </w:r>
      <w:r>
        <w:t xml:space="preserve">– Implement a schema for user memories with fields like type, content, sources and confidence; track status (pending, confirmed, edited, rejected, deleted).</w:t>
      </w:r>
    </w:p>
    <w:p>
      <w:pPr>
        <w:pStyle w:val="Compact"/>
        <w:numPr>
          <w:ilvl w:val="0"/>
          <w:numId w:val="1006"/>
        </w:numPr>
      </w:pPr>
      <w:r>
        <w:rPr>
          <w:b/>
          <w:bCs/>
        </w:rPr>
        <w:t xml:space="preserve">AI summarisation and confirmation loops</w:t>
      </w:r>
      <w:r>
        <w:t xml:space="preserve"> </w:t>
      </w:r>
      <w:r>
        <w:t xml:space="preserve">– Build AI pipelines that generate summaries with confidence scores, evidence citations and prompts for confirmation/edit/reject flows.</w:t>
      </w:r>
    </w:p>
    <w:p>
      <w:pPr>
        <w:pStyle w:val="Compact"/>
        <w:numPr>
          <w:ilvl w:val="0"/>
          <w:numId w:val="1006"/>
        </w:numPr>
      </w:pPr>
      <w:r>
        <w:rPr>
          <w:b/>
          <w:bCs/>
        </w:rPr>
        <w:t xml:space="preserve">Privacy and encryption infrastructure</w:t>
      </w:r>
      <w:r>
        <w:t xml:space="preserve"> </w:t>
      </w:r>
      <w:r>
        <w:t xml:space="preserve">– Data storage should default to local, with optional encrypted cloud backup; support user‑controlled export, deletion and consent management.</w:t>
      </w:r>
    </w:p>
    <w:p>
      <w:pPr>
        <w:pStyle w:val="Compact"/>
        <w:numPr>
          <w:ilvl w:val="0"/>
          <w:numId w:val="1006"/>
        </w:numPr>
      </w:pPr>
      <w:r>
        <w:rPr>
          <w:b/>
          <w:bCs/>
        </w:rPr>
        <w:t xml:space="preserve">Safety module</w:t>
      </w:r>
      <w:r>
        <w:t xml:space="preserve"> </w:t>
      </w:r>
      <w:r>
        <w:t xml:space="preserve">– Integrate a universal disclaimer and crisis contact component across modules; enforce constraints to prevent therapy or high‑impact recommendations.</w:t>
      </w:r>
    </w:p>
    <w:bookmarkEnd w:id="28"/>
    <w:bookmarkStart w:id="29" w:name="claims-that-need-verification"/>
    <w:p>
      <w:pPr>
        <w:pStyle w:val="Heading2"/>
      </w:pPr>
      <w:r>
        <w:t xml:space="preserve">Claims That Need Verification</w:t>
      </w:r>
    </w:p>
    <w:p>
      <w:pPr>
        <w:pStyle w:val="Compact"/>
        <w:numPr>
          <w:ilvl w:val="0"/>
          <w:numId w:val="1007"/>
        </w:numPr>
      </w:pPr>
      <w:r>
        <w:t xml:space="preserve">The exact duration for habit formation (~66 days) may vary; more recent studies should be consulted to confirm typical timelines and factors affecting automaticity</w:t>
      </w:r>
      <w:r>
        <w:br/>
      </w:r>
      <w:r>
        <w:t xml:space="preserve">.</w:t>
      </w:r>
    </w:p>
    <w:p>
      <w:pPr>
        <w:pStyle w:val="Compact"/>
        <w:numPr>
          <w:ilvl w:val="0"/>
          <w:numId w:val="1007"/>
        </w:numPr>
      </w:pPr>
      <w:r>
        <w:t xml:space="preserve">Effectiveness of forced‑choice questions versus ranking tasks in digital self‑reflection contexts needs further empirical testing.</w:t>
      </w:r>
    </w:p>
    <w:p>
      <w:pPr>
        <w:pStyle w:val="Compact"/>
        <w:numPr>
          <w:ilvl w:val="0"/>
          <w:numId w:val="1007"/>
        </w:numPr>
      </w:pPr>
      <w:r>
        <w:t xml:space="preserve">The impact of future‑self continuity interventions (e.g., VR visualisations) on motivation and self‑control in non‑clinical settings requires more evidence</w:t>
      </w:r>
      <w:r>
        <w:br/>
      </w:r>
      <w:r>
        <w:t xml:space="preserve">.</w:t>
      </w:r>
    </w:p>
    <w:p>
      <w:pPr>
        <w:pStyle w:val="Compact"/>
        <w:numPr>
          <w:ilvl w:val="0"/>
          <w:numId w:val="1007"/>
        </w:numPr>
      </w:pPr>
      <w:r>
        <w:t xml:space="preserve">Integration of COM‑B assessments within micro‑learning modules is proposed but has not been validated; prototypes should test user comprehension and acceptability.</w:t>
      </w:r>
    </w:p>
    <w:bookmarkEnd w:id="29"/>
    <w:bookmarkStart w:id="30" w:name="X5af645a2b884ef718733f9782c422adeb27d6c8"/>
    <w:p>
      <w:pPr>
        <w:pStyle w:val="Heading2"/>
      </w:pPr>
      <w:r>
        <w:t xml:space="preserve">Areas Where the Research Is Weak or Incomplete</w:t>
      </w:r>
    </w:p>
    <w:p>
      <w:pPr>
        <w:pStyle w:val="Compact"/>
        <w:numPr>
          <w:ilvl w:val="0"/>
          <w:numId w:val="1008"/>
        </w:numPr>
      </w:pPr>
      <w:r>
        <w:t xml:space="preserve">Limited evidence on optimal question sequencing and number of questions for deep self‑reflection without fatigue.</w:t>
      </w:r>
    </w:p>
    <w:p>
      <w:pPr>
        <w:pStyle w:val="Compact"/>
        <w:numPr>
          <w:ilvl w:val="0"/>
          <w:numId w:val="1008"/>
        </w:numPr>
      </w:pPr>
      <w:r>
        <w:t xml:space="preserve">Insufficient data on how long micro‑learning lessons should be and how different media formats affect retention across diverse populations.</w:t>
      </w:r>
    </w:p>
    <w:p>
      <w:pPr>
        <w:pStyle w:val="Compact"/>
        <w:numPr>
          <w:ilvl w:val="0"/>
          <w:numId w:val="1008"/>
        </w:numPr>
      </w:pPr>
      <w:r>
        <w:t xml:space="preserve">Little guidance on implementing future‑self continuity techniques in consumer apps without risking confusion or harm.</w:t>
      </w:r>
    </w:p>
    <w:p>
      <w:pPr>
        <w:pStyle w:val="Compact"/>
        <w:numPr>
          <w:ilvl w:val="0"/>
          <w:numId w:val="1008"/>
        </w:numPr>
      </w:pPr>
      <w:r>
        <w:t xml:space="preserve">More research is needed on bias checking and fairness evaluation in AI summarisation for personal development contexts.</w:t>
      </w:r>
    </w:p>
    <w:p>
      <w:pPr>
        <w:pStyle w:val="Compact"/>
        <w:numPr>
          <w:ilvl w:val="0"/>
          <w:numId w:val="1008"/>
        </w:numPr>
      </w:pPr>
      <w:r>
        <w:t xml:space="preserve">The plan references privacy laws generally; specific compliance requirements for Australian, EU and US jurisdictions should be investigated.</w:t>
      </w:r>
    </w:p>
    <w:bookmarkEnd w:id="30"/>
    <w:bookmarkEnd w:id="31"/>
    <w:bookmarkEnd w:id="32"/>
    <w:p>
      <w:r>
        <w:pict>
          <v:rect style="width:0;height:1.5pt" o:hralign="center" o:hrstd="t" o:hr="t"/>
        </w:pict>
      </w:r>
    </w:p>
    <w:bookmarkStart w:id="3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r>
        <w:t xml:space="preserve">[title unknown]</w:t>
      </w:r>
    </w:p>
    <w:p>
      <w:pPr>
        <w:pStyle w:val="BodyText"/>
      </w:pPr>
      <w:hyperlink r:id="rId21">
        <w:r>
          <w:rPr>
            <w:rStyle w:val="Hyperlink"/>
          </w:rPr>
          <w:t xml:space="preserve">file:///home/oai/share/Pasted%20text%20%282%29.txt</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file:///home/oai/share/Pasted%20text%20%282%29.txt" TargetMode="External" /></Relationships>
</file>

<file path=word/_rels/footnotes.xml.rels><?xml version="1.0" encoding="UTF-8"?><Relationships xmlns="http://schemas.openxmlformats.org/package/2006/relationships"><Relationship Type="http://schemas.openxmlformats.org/officeDocument/2006/relationships/hyperlink" Id="rId21" Target="file:///home/oai/share/Pasted%20text%20%282%29.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2026-05-14T13:26:19Z</dcterms:created>
  <dcterms:modified xsi:type="dcterms:W3CDTF">2026-05-14T13:26:19Z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