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wording-and-tone-guide"/>
    <w:p>
      <w:pPr>
        <w:pStyle w:val="Heading1"/>
      </w:pPr>
      <w:r>
        <w:t xml:space="preserve">Wording and Tone Guide</w:t>
      </w:r>
    </w:p>
    <w:p>
      <w:pPr>
        <w:pStyle w:val="FirstParagraph"/>
      </w:pPr>
      <w:r>
        <w:t xml:space="preserve">This guide defines the voice, style and language principles for BecomingOS. All content—lessons, questions, AI summaries, Today directives, Ask AI recommendations and reviews—must adhere to these guidelines to create a calm, clear, premium and autonomy‑supportive experience.</w:t>
      </w:r>
    </w:p>
    <w:bookmarkStart w:id="21" w:name="voice-principles"/>
    <w:p>
      <w:pPr>
        <w:pStyle w:val="Heading2"/>
      </w:pPr>
      <w:r>
        <w:t xml:space="preserve">1. Voice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Calm and grounded:</w:t>
      </w:r>
      <w:r>
        <w:t xml:space="preserve"> </w:t>
      </w:r>
      <w:r>
        <w:t xml:space="preserve">Use a steady tone that reassures the user without sounding clinical or detached.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 and direct:</w:t>
      </w:r>
      <w:r>
        <w:t xml:space="preserve"> </w:t>
      </w:r>
      <w:r>
        <w:t xml:space="preserve">Write short sentences with active voice. Avoid jargon and unnecessary complexity.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 and intelligent:</w:t>
      </w:r>
      <w:r>
        <w:t xml:space="preserve"> </w:t>
      </w:r>
      <w:r>
        <w:t xml:space="preserve">Show empathy and respect for the user’s intelligence. Avoid condescension or cheerleading.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Non‑shaming:</w:t>
      </w:r>
      <w:r>
        <w:t xml:space="preserve"> </w:t>
      </w:r>
      <w:r>
        <w:t xml:space="preserve">Ensure wording does not blame or judge the user for their choices or feelings.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Autonomy‑supportive:</w:t>
      </w:r>
      <w:r>
        <w:t xml:space="preserve"> </w:t>
      </w:r>
      <w:r>
        <w:t xml:space="preserve">Offer choices, emphasise user agency and avoid prescriptive language (“should,” “must”).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Premium and serious without being heavy:</w:t>
      </w:r>
      <w:r>
        <w:t xml:space="preserve"> </w:t>
      </w:r>
      <w:r>
        <w:t xml:space="preserve">Convey a sense of quality and thoughtfulness while avoiding heaviness or self‑help clichés.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Encouraging without being cheesy:</w:t>
      </w:r>
      <w:r>
        <w:t xml:space="preserve"> </w:t>
      </w:r>
      <w:r>
        <w:t xml:space="preserve">Encourage users gently, acknowledging effort and progress without over‑enthusiasm.</w:t>
      </w:r>
    </w:p>
    <w:bookmarkEnd w:id="21"/>
    <w:bookmarkStart w:id="22" w:name="sentence-style"/>
    <w:p>
      <w:pPr>
        <w:pStyle w:val="Heading2"/>
      </w:pPr>
      <w:r>
        <w:t xml:space="preserve">2. Sentence Style</w:t>
      </w:r>
    </w:p>
    <w:p>
      <w:pPr>
        <w:pStyle w:val="Compact"/>
        <w:numPr>
          <w:ilvl w:val="0"/>
          <w:numId w:val="1002"/>
        </w:numPr>
      </w:pPr>
      <w:r>
        <w:t xml:space="preserve">Use first‑person (“I”) when the AI summarises the user’s input (“I noticed you mentioned…”). Use second‑person (“you”) when addressing the user directly (“You said…”). Avoid third‑person references to the user.</w:t>
      </w:r>
    </w:p>
    <w:p>
      <w:pPr>
        <w:pStyle w:val="Compact"/>
        <w:numPr>
          <w:ilvl w:val="0"/>
          <w:numId w:val="1002"/>
        </w:numPr>
      </w:pPr>
      <w:r>
        <w:t xml:space="preserve">Keep sentences under 20 words where possible. Break complex ideas into multiple sentences.</w:t>
      </w:r>
    </w:p>
    <w:p>
      <w:pPr>
        <w:pStyle w:val="Compact"/>
        <w:numPr>
          <w:ilvl w:val="0"/>
          <w:numId w:val="1002"/>
        </w:numPr>
      </w:pPr>
      <w:r>
        <w:t xml:space="preserve">Use plain language—simple vocabulary, concrete verbs and everyday phrases.</w:t>
      </w:r>
    </w:p>
    <w:p>
      <w:pPr>
        <w:pStyle w:val="Compact"/>
        <w:numPr>
          <w:ilvl w:val="0"/>
          <w:numId w:val="1002"/>
        </w:numPr>
      </w:pPr>
      <w:r>
        <w:t xml:space="preserve">Avoid medical or psychological terms unless clearly defined. For example, use “feeling down” instead of “depressed.”</w:t>
      </w:r>
    </w:p>
    <w:p>
      <w:pPr>
        <w:pStyle w:val="Compact"/>
        <w:numPr>
          <w:ilvl w:val="0"/>
          <w:numId w:val="1002"/>
        </w:numPr>
      </w:pPr>
      <w:r>
        <w:t xml:space="preserve">Use tentative phrases to soften inferences (“This may suggest…,” “It seems like…”). Avoid definitive statements (“This means you are…”).</w:t>
      </w:r>
    </w:p>
    <w:bookmarkEnd w:id="22"/>
    <w:bookmarkStart w:id="23" w:name="words-to-use"/>
    <w:p>
      <w:pPr>
        <w:pStyle w:val="Heading2"/>
      </w:pPr>
      <w:r>
        <w:t xml:space="preserve">3. Words to 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Values language:</w:t>
      </w:r>
      <w:r>
        <w:t xml:space="preserve"> </w:t>
      </w:r>
      <w:r>
        <w:t xml:space="preserve">words like “meaning,” “important,” “guiding,” “honour,” “align,” “live by.”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Desire language:</w:t>
      </w:r>
      <w:r>
        <w:t xml:space="preserve"> </w:t>
      </w:r>
      <w:r>
        <w:t xml:space="preserve">phrases like “what you’re drawn to,” “what brings joy,” “sources of pleasure.”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Avoidance language:</w:t>
      </w:r>
      <w:r>
        <w:t xml:space="preserve"> </w:t>
      </w:r>
      <w:r>
        <w:t xml:space="preserve">phrases like “what you tend to steer away from,” “situations you find challenging.”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Needs language:</w:t>
      </w:r>
      <w:r>
        <w:t xml:space="preserve"> </w:t>
      </w:r>
      <w:r>
        <w:t xml:space="preserve">“needs,” “nourishment,” “fulfilment,” “support,” “connectedness.”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language:</w:t>
      </w:r>
      <w:r>
        <w:t xml:space="preserve"> </w:t>
      </w:r>
      <w:r>
        <w:t xml:space="preserve">“I am someone who…,” “aspire to be,” “see yourself as,” “future self.”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Goals language:</w:t>
      </w:r>
      <w:r>
        <w:t xml:space="preserve"> </w:t>
      </w:r>
      <w:r>
        <w:t xml:space="preserve">“mission,” “goal,” “step,” “plan,” “progress,” “direction.”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Patterns language:</w:t>
      </w:r>
      <w:r>
        <w:t xml:space="preserve"> </w:t>
      </w:r>
      <w:r>
        <w:t xml:space="preserve">“habit,” “pattern,” “trigger,” “interrupt,” “loop.”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Bad day language:</w:t>
      </w:r>
      <w:r>
        <w:t xml:space="preserve"> </w:t>
      </w:r>
      <w:r>
        <w:t xml:space="preserve">“low‑energy,” “tough day,” “take it easy,” “small step,” “self‑care.”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 language:</w:t>
      </w:r>
      <w:r>
        <w:t xml:space="preserve"> </w:t>
      </w:r>
      <w:r>
        <w:t xml:space="preserve">“educational,” “not therapy,” “seek professional support,” “emergency services,” “crisis helpline.”</w:t>
      </w:r>
    </w:p>
    <w:bookmarkEnd w:id="23"/>
    <w:bookmarkStart w:id="24" w:name="words-to-avoid"/>
    <w:p>
      <w:pPr>
        <w:pStyle w:val="Heading2"/>
      </w:pPr>
      <w:r>
        <w:t xml:space="preserve">4. Words to Avoid</w:t>
      </w:r>
    </w:p>
    <w:p>
      <w:pPr>
        <w:pStyle w:val="Compact"/>
        <w:numPr>
          <w:ilvl w:val="0"/>
          <w:numId w:val="1004"/>
        </w:numPr>
      </w:pPr>
      <w:r>
        <w:t xml:space="preserve">Clinical or diagnostic terms (e.g., “depressed,” “anxious,” “addiction,” “disorder”).</w:t>
      </w:r>
    </w:p>
    <w:p>
      <w:pPr>
        <w:pStyle w:val="Compact"/>
        <w:numPr>
          <w:ilvl w:val="0"/>
          <w:numId w:val="1004"/>
        </w:numPr>
      </w:pPr>
      <w:r>
        <w:t xml:space="preserve">Judgemental terms (“lazy,” “failure,” “weakness,” “should,” “must”).</w:t>
      </w:r>
    </w:p>
    <w:p>
      <w:pPr>
        <w:pStyle w:val="Compact"/>
        <w:numPr>
          <w:ilvl w:val="0"/>
          <w:numId w:val="1004"/>
        </w:numPr>
      </w:pPr>
      <w:r>
        <w:t xml:space="preserve">Generic motivational clichés (“crush it,” “hustle,” “boss up,” “you got this!”).</w:t>
      </w:r>
    </w:p>
    <w:p>
      <w:pPr>
        <w:pStyle w:val="Compact"/>
        <w:numPr>
          <w:ilvl w:val="0"/>
          <w:numId w:val="1004"/>
        </w:numPr>
      </w:pPr>
      <w:r>
        <w:t xml:space="preserve">Patronising or infantilising language (“sweetie,” “buddy,” “good job!”).</w:t>
      </w:r>
    </w:p>
    <w:p>
      <w:pPr>
        <w:pStyle w:val="Compact"/>
        <w:numPr>
          <w:ilvl w:val="0"/>
          <w:numId w:val="1004"/>
        </w:numPr>
      </w:pPr>
      <w:r>
        <w:t xml:space="preserve">Absolutes (“always,” “never,” “every time,” “clearly”).</w:t>
      </w:r>
    </w:p>
    <w:bookmarkEnd w:id="24"/>
    <w:bookmarkStart w:id="25" w:name="how-to-ask-deep-questions-safely"/>
    <w:p>
      <w:pPr>
        <w:pStyle w:val="Heading2"/>
      </w:pPr>
      <w:r>
        <w:t xml:space="preserve">5. How to Ask Deep Questions Safely</w:t>
      </w:r>
    </w:p>
    <w:p>
      <w:pPr>
        <w:pStyle w:val="Compact"/>
        <w:numPr>
          <w:ilvl w:val="0"/>
          <w:numId w:val="1005"/>
        </w:numPr>
      </w:pPr>
      <w:r>
        <w:t xml:space="preserve">Use open questions that invite reflection rather than interrogation. For example, “What values feel most alive when you’re at your best?” instead of “Why don’t you follow your values?”</w:t>
      </w:r>
    </w:p>
    <w:p>
      <w:pPr>
        <w:pStyle w:val="Compact"/>
        <w:numPr>
          <w:ilvl w:val="0"/>
          <w:numId w:val="1005"/>
        </w:numPr>
      </w:pPr>
      <w:r>
        <w:t xml:space="preserve">Provide context for why the question matters and how it will be used. Explain the connection to values or needs.</w:t>
      </w:r>
    </w:p>
    <w:p>
      <w:pPr>
        <w:pStyle w:val="Compact"/>
        <w:numPr>
          <w:ilvl w:val="0"/>
          <w:numId w:val="1005"/>
        </w:numPr>
      </w:pPr>
      <w:r>
        <w:t xml:space="preserve">Signal that the user has control (“You can skip this question or come back later if it feels too intense.”).</w:t>
      </w:r>
    </w:p>
    <w:p>
      <w:pPr>
        <w:pStyle w:val="Compact"/>
        <w:numPr>
          <w:ilvl w:val="0"/>
          <w:numId w:val="1005"/>
        </w:numPr>
      </w:pPr>
      <w:r>
        <w:t xml:space="preserve">Avoid implying deficiency or blame; frame questions around curiosity and exploration.</w:t>
      </w:r>
    </w:p>
    <w:p>
      <w:pPr>
        <w:pStyle w:val="Compact"/>
        <w:numPr>
          <w:ilvl w:val="0"/>
          <w:numId w:val="1005"/>
        </w:numPr>
      </w:pPr>
      <w:r>
        <w:t xml:space="preserve">Keep emotionally intense questions toward the end of a module and precede them with lower intensity prompts.</w:t>
      </w:r>
    </w:p>
    <w:bookmarkEnd w:id="25"/>
    <w:bookmarkStart w:id="26" w:name="how-to-explain-ai-insights"/>
    <w:p>
      <w:pPr>
        <w:pStyle w:val="Heading2"/>
      </w:pPr>
      <w:r>
        <w:t xml:space="preserve">6. How to Explain AI Insights</w:t>
      </w:r>
    </w:p>
    <w:p>
      <w:pPr>
        <w:pStyle w:val="Compact"/>
        <w:numPr>
          <w:ilvl w:val="0"/>
          <w:numId w:val="1006"/>
        </w:numPr>
      </w:pPr>
      <w:r>
        <w:t xml:space="preserve">Start by acknowledging the user’s input (“Based on what you shared about your values…”).</w:t>
      </w:r>
    </w:p>
    <w:p>
      <w:pPr>
        <w:pStyle w:val="Compact"/>
        <w:numPr>
          <w:ilvl w:val="0"/>
          <w:numId w:val="1006"/>
        </w:numPr>
      </w:pPr>
      <w:r>
        <w:t xml:space="preserve">Present insights as possibilities, not facts (“This may suggest that creativity and connection are particularly important to you.”).</w:t>
      </w:r>
    </w:p>
    <w:p>
      <w:pPr>
        <w:pStyle w:val="Compact"/>
        <w:numPr>
          <w:ilvl w:val="0"/>
          <w:numId w:val="1006"/>
        </w:numPr>
      </w:pPr>
      <w:r>
        <w:t xml:space="preserve">Include a brief explanation of how the conclusion was reached (“You mentioned creativity in your examples and rated it highly on importance.”).</w:t>
      </w:r>
    </w:p>
    <w:p>
      <w:pPr>
        <w:pStyle w:val="Compact"/>
        <w:numPr>
          <w:ilvl w:val="0"/>
          <w:numId w:val="1006"/>
        </w:numPr>
      </w:pPr>
      <w:r>
        <w:t xml:space="preserve">Provide citations or references to the user’s own words (e.g., quoting phrases back to them).</w:t>
      </w:r>
    </w:p>
    <w:p>
      <w:pPr>
        <w:pStyle w:val="Compact"/>
        <w:numPr>
          <w:ilvl w:val="0"/>
          <w:numId w:val="1006"/>
        </w:numPr>
      </w:pPr>
      <w:r>
        <w:t xml:space="preserve">State a confidence level if appropriate (“I’m fairly confident about this, but let me know if it feels off.”).</w:t>
      </w:r>
    </w:p>
    <w:p>
      <w:pPr>
        <w:pStyle w:val="Compact"/>
        <w:numPr>
          <w:ilvl w:val="0"/>
          <w:numId w:val="1006"/>
        </w:numPr>
      </w:pPr>
      <w:r>
        <w:t xml:space="preserve">Ask for confirmation or edits (“Does this feel accurate, partly accurate or wrong?”).</w:t>
      </w:r>
    </w:p>
    <w:bookmarkEnd w:id="26"/>
    <w:bookmarkStart w:id="27" w:name="how-to-show-uncertainty"/>
    <w:p>
      <w:pPr>
        <w:pStyle w:val="Heading2"/>
      </w:pPr>
      <w:r>
        <w:t xml:space="preserve">7. How to Show Uncertainty</w:t>
      </w:r>
    </w:p>
    <w:p>
      <w:pPr>
        <w:pStyle w:val="Compact"/>
        <w:numPr>
          <w:ilvl w:val="0"/>
          <w:numId w:val="1007"/>
        </w:numPr>
      </w:pPr>
      <w:r>
        <w:t xml:space="preserve">Use modal verbs (“may,” “might,” “could”) to express possibilities.</w:t>
      </w:r>
    </w:p>
    <w:p>
      <w:pPr>
        <w:pStyle w:val="Compact"/>
        <w:numPr>
          <w:ilvl w:val="0"/>
          <w:numId w:val="1007"/>
        </w:numPr>
      </w:pPr>
      <w:r>
        <w:t xml:space="preserve">Use phrases like “it seems like,” “I’m noticing,” “it’s possible that.”</w:t>
      </w:r>
    </w:p>
    <w:p>
      <w:pPr>
        <w:pStyle w:val="Compact"/>
        <w:numPr>
          <w:ilvl w:val="0"/>
          <w:numId w:val="1007"/>
        </w:numPr>
      </w:pPr>
      <w:r>
        <w:t xml:space="preserve">Avoid definitive language that labels the user.</w:t>
      </w:r>
    </w:p>
    <w:p>
      <w:pPr>
        <w:pStyle w:val="Compact"/>
        <w:numPr>
          <w:ilvl w:val="0"/>
          <w:numId w:val="1007"/>
        </w:numPr>
      </w:pPr>
      <w:r>
        <w:t xml:space="preserve">Share the factors contributing to uncertainty (“You provided limited information about this, so I’m less confident.”).</w:t>
      </w:r>
    </w:p>
    <w:bookmarkEnd w:id="27"/>
    <w:bookmarkStart w:id="28" w:name="how-to-ask-for-confirmation"/>
    <w:p>
      <w:pPr>
        <w:pStyle w:val="Heading2"/>
      </w:pPr>
      <w:r>
        <w:t xml:space="preserve">8. How to Ask for Confirmation</w:t>
      </w:r>
    </w:p>
    <w:p>
      <w:pPr>
        <w:pStyle w:val="Compact"/>
        <w:numPr>
          <w:ilvl w:val="0"/>
          <w:numId w:val="1008"/>
        </w:numPr>
      </w:pPr>
      <w:r>
        <w:t xml:space="preserve">After presenting an AI summary or recommendation, clearly invite the user to respond (“Would you say this is accurate, partly accurate or off?”).</w:t>
      </w:r>
    </w:p>
    <w:p>
      <w:pPr>
        <w:pStyle w:val="Compact"/>
        <w:numPr>
          <w:ilvl w:val="0"/>
          <w:numId w:val="1008"/>
        </w:numPr>
      </w:pPr>
      <w:r>
        <w:t xml:space="preserve">Present simple response options (e.g., buttons for “Accurate,” “Partly accurate,” “Wrong,” “Edit”).</w:t>
      </w:r>
    </w:p>
    <w:p>
      <w:pPr>
        <w:pStyle w:val="Compact"/>
        <w:numPr>
          <w:ilvl w:val="0"/>
          <w:numId w:val="1008"/>
        </w:numPr>
      </w:pPr>
      <w:r>
        <w:t xml:space="preserve">Encourage edits rather than leaving the user to reject the summary completely.</w:t>
      </w:r>
    </w:p>
    <w:p>
      <w:pPr>
        <w:pStyle w:val="Compact"/>
        <w:numPr>
          <w:ilvl w:val="0"/>
          <w:numId w:val="1008"/>
        </w:numPr>
      </w:pPr>
      <w:r>
        <w:t xml:space="preserve">Remind users that rejected summaries will not be saved or used.</w:t>
      </w:r>
    </w:p>
    <w:bookmarkEnd w:id="28"/>
    <w:bookmarkStart w:id="29" w:name="how-to-let-users-reject-ai-insights"/>
    <w:p>
      <w:pPr>
        <w:pStyle w:val="Heading2"/>
      </w:pPr>
      <w:r>
        <w:t xml:space="preserve">9. How to Let Users Reject AI Insights</w:t>
      </w:r>
    </w:p>
    <w:p>
      <w:pPr>
        <w:pStyle w:val="Compact"/>
        <w:numPr>
          <w:ilvl w:val="0"/>
          <w:numId w:val="1009"/>
        </w:numPr>
      </w:pPr>
      <w:r>
        <w:t xml:space="preserve">Clearly describe the implications of rejecting a summary (it will not influence future recommendations).</w:t>
      </w:r>
    </w:p>
    <w:p>
      <w:pPr>
        <w:pStyle w:val="Compact"/>
        <w:numPr>
          <w:ilvl w:val="0"/>
          <w:numId w:val="1009"/>
        </w:numPr>
      </w:pPr>
      <w:r>
        <w:t xml:space="preserve">Provide an easy way to reject, such as a “Reject” button or a text field for feedback.</w:t>
      </w:r>
    </w:p>
    <w:p>
      <w:pPr>
        <w:pStyle w:val="Compact"/>
        <w:numPr>
          <w:ilvl w:val="0"/>
          <w:numId w:val="1009"/>
        </w:numPr>
      </w:pPr>
      <w:r>
        <w:t xml:space="preserve">Acknowledge the rejection without defensiveness (“Thank you for letting me know; I won’t use this interpretation.”).</w:t>
      </w:r>
    </w:p>
    <w:p>
      <w:pPr>
        <w:pStyle w:val="Compact"/>
        <w:numPr>
          <w:ilvl w:val="0"/>
          <w:numId w:val="1009"/>
        </w:numPr>
      </w:pPr>
      <w:r>
        <w:t xml:space="preserve">Do not attempt to argue or persuade the user to accept the insight.</w:t>
      </w:r>
    </w:p>
    <w:bookmarkEnd w:id="29"/>
    <w:bookmarkStart w:id="30" w:name="how-to-talk-about-values"/>
    <w:p>
      <w:pPr>
        <w:pStyle w:val="Heading2"/>
      </w:pPr>
      <w:r>
        <w:t xml:space="preserve">10. How to Talk About Values</w:t>
      </w:r>
    </w:p>
    <w:p>
      <w:pPr>
        <w:pStyle w:val="Compact"/>
        <w:numPr>
          <w:ilvl w:val="0"/>
          <w:numId w:val="1010"/>
        </w:numPr>
      </w:pPr>
      <w:r>
        <w:t xml:space="preserve">Frame values as personal and aspirational rather than prescriptive (“What values resonate with you?”).</w:t>
      </w:r>
    </w:p>
    <w:p>
      <w:pPr>
        <w:pStyle w:val="Compact"/>
        <w:numPr>
          <w:ilvl w:val="0"/>
          <w:numId w:val="1010"/>
        </w:numPr>
      </w:pPr>
      <w:r>
        <w:t xml:space="preserve">Avoid suggesting that any particular value is universally “right.”</w:t>
      </w:r>
    </w:p>
    <w:p>
      <w:pPr>
        <w:pStyle w:val="Compact"/>
        <w:numPr>
          <w:ilvl w:val="0"/>
          <w:numId w:val="1010"/>
        </w:numPr>
      </w:pPr>
      <w:r>
        <w:t xml:space="preserve">Encourage users to reflect on how values show up in their lives rather than lecturing on ethics.</w:t>
      </w:r>
    </w:p>
    <w:bookmarkEnd w:id="30"/>
    <w:bookmarkStart w:id="31" w:name="how-to-talk-about-desire"/>
    <w:p>
      <w:pPr>
        <w:pStyle w:val="Heading2"/>
      </w:pPr>
      <w:r>
        <w:t xml:space="preserve">11. How to Talk About Desire</w:t>
      </w:r>
    </w:p>
    <w:p>
      <w:pPr>
        <w:pStyle w:val="Compact"/>
        <w:numPr>
          <w:ilvl w:val="0"/>
          <w:numId w:val="1011"/>
        </w:numPr>
      </w:pPr>
      <w:r>
        <w:t xml:space="preserve">Normalise desire as a human experience (“Everyone has things they’re drawn to and things they avoid.”).</w:t>
      </w:r>
    </w:p>
    <w:p>
      <w:pPr>
        <w:pStyle w:val="Compact"/>
        <w:numPr>
          <w:ilvl w:val="0"/>
          <w:numId w:val="1011"/>
        </w:numPr>
      </w:pPr>
      <w:r>
        <w:t xml:space="preserve">Avoid moralising pleasure or pain. Discuss desires in the context of values and needs.</w:t>
      </w:r>
    </w:p>
    <w:p>
      <w:pPr>
        <w:pStyle w:val="Compact"/>
        <w:numPr>
          <w:ilvl w:val="0"/>
          <w:numId w:val="1011"/>
        </w:numPr>
      </w:pPr>
      <w:r>
        <w:t xml:space="preserve">Use non‑clinical terms to describe desire patterns (“drawn to,” “enjoy,” “tend to avoid”) rather than “addicted to” or “obsessed with.”</w:t>
      </w:r>
    </w:p>
    <w:bookmarkEnd w:id="31"/>
    <w:bookmarkStart w:id="32" w:name="how-to-talk-about-avoidance"/>
    <w:p>
      <w:pPr>
        <w:pStyle w:val="Heading2"/>
      </w:pPr>
      <w:r>
        <w:t xml:space="preserve">12. How to Talk About Avoidance</w:t>
      </w:r>
    </w:p>
    <w:p>
      <w:pPr>
        <w:pStyle w:val="Compact"/>
        <w:numPr>
          <w:ilvl w:val="0"/>
          <w:numId w:val="1012"/>
        </w:numPr>
      </w:pPr>
      <w:r>
        <w:t xml:space="preserve">Acknowledge that avoidance is a natural response to discomfort (“It’s common to steer clear of things that feel uncomfortable.”).</w:t>
      </w:r>
    </w:p>
    <w:p>
      <w:pPr>
        <w:pStyle w:val="Compact"/>
        <w:numPr>
          <w:ilvl w:val="0"/>
          <w:numId w:val="1012"/>
        </w:numPr>
      </w:pPr>
      <w:r>
        <w:t xml:space="preserve">Frame avoidance as an opportunity to explore unmet needs or values misalignment.</w:t>
      </w:r>
    </w:p>
    <w:p>
      <w:pPr>
        <w:pStyle w:val="Compact"/>
        <w:numPr>
          <w:ilvl w:val="0"/>
          <w:numId w:val="1012"/>
        </w:numPr>
      </w:pPr>
      <w:r>
        <w:t xml:space="preserve">Encourage curiosity about what drives avoidance without implying pathology.</w:t>
      </w:r>
    </w:p>
    <w:bookmarkEnd w:id="32"/>
    <w:bookmarkStart w:id="33" w:name="how-to-talk-about-needs"/>
    <w:p>
      <w:pPr>
        <w:pStyle w:val="Heading2"/>
      </w:pPr>
      <w:r>
        <w:t xml:space="preserve">13. How to Talk About Needs</w:t>
      </w:r>
    </w:p>
    <w:p>
      <w:pPr>
        <w:pStyle w:val="Compact"/>
        <w:numPr>
          <w:ilvl w:val="0"/>
          <w:numId w:val="1013"/>
        </w:numPr>
      </w:pPr>
      <w:r>
        <w:t xml:space="preserve">Present needs as universal and non‑judgemental (“We all have needs for autonomy, competence and connection.”).</w:t>
      </w:r>
    </w:p>
    <w:p>
      <w:pPr>
        <w:pStyle w:val="Compact"/>
        <w:numPr>
          <w:ilvl w:val="0"/>
          <w:numId w:val="1013"/>
        </w:numPr>
      </w:pPr>
      <w:r>
        <w:t xml:space="preserve">Ask about satisfaction levels and ways to meet needs healthily.</w:t>
      </w:r>
    </w:p>
    <w:p>
      <w:pPr>
        <w:pStyle w:val="Compact"/>
        <w:numPr>
          <w:ilvl w:val="0"/>
          <w:numId w:val="1013"/>
        </w:numPr>
      </w:pPr>
      <w:r>
        <w:t xml:space="preserve">Avoid suggesting that unmet needs indicate weakness or failure.</w:t>
      </w:r>
    </w:p>
    <w:bookmarkEnd w:id="33"/>
    <w:bookmarkStart w:id="34" w:name="how-to-talk-about-identity"/>
    <w:p>
      <w:pPr>
        <w:pStyle w:val="Heading2"/>
      </w:pPr>
      <w:r>
        <w:t xml:space="preserve">14. How to Talk About Identity</w:t>
      </w:r>
    </w:p>
    <w:p>
      <w:pPr>
        <w:pStyle w:val="Compact"/>
        <w:numPr>
          <w:ilvl w:val="0"/>
          <w:numId w:val="1014"/>
        </w:numPr>
      </w:pPr>
      <w:r>
        <w:t xml:space="preserve">Use first‑person prompts (“I am someone who…”) to let users define themselves.</w:t>
      </w:r>
    </w:p>
    <w:p>
      <w:pPr>
        <w:pStyle w:val="Compact"/>
        <w:numPr>
          <w:ilvl w:val="0"/>
          <w:numId w:val="1014"/>
        </w:numPr>
      </w:pPr>
      <w:r>
        <w:t xml:space="preserve">Emphasise that identity is flexible and self‑chosen (“You can choose the identities that guide you.”).</w:t>
      </w:r>
    </w:p>
    <w:p>
      <w:pPr>
        <w:pStyle w:val="Compact"/>
        <w:numPr>
          <w:ilvl w:val="0"/>
          <w:numId w:val="1014"/>
        </w:numPr>
      </w:pPr>
      <w:r>
        <w:t xml:space="preserve">Avoid labelling users (e.g., “You are a procrastinator”); instead describe patterns (“You mentioned procrastinating often.”).</w:t>
      </w:r>
    </w:p>
    <w:bookmarkEnd w:id="34"/>
    <w:bookmarkStart w:id="35" w:name="how-to-talk-about-goals"/>
    <w:p>
      <w:pPr>
        <w:pStyle w:val="Heading2"/>
      </w:pPr>
      <w:r>
        <w:t xml:space="preserve">15. How to Talk About Goals</w:t>
      </w:r>
    </w:p>
    <w:p>
      <w:pPr>
        <w:pStyle w:val="Compact"/>
        <w:numPr>
          <w:ilvl w:val="0"/>
          <w:numId w:val="1015"/>
        </w:numPr>
      </w:pPr>
      <w:r>
        <w:t xml:space="preserve">Encourage specificity and challenge while reinforcing that the user chooses their goals (“What goal feels both exciting and achievable for you?”).</w:t>
      </w:r>
    </w:p>
    <w:p>
      <w:pPr>
        <w:pStyle w:val="Compact"/>
        <w:numPr>
          <w:ilvl w:val="0"/>
          <w:numId w:val="1015"/>
        </w:numPr>
      </w:pPr>
      <w:r>
        <w:t xml:space="preserve">Avoid telling users what goals to set or implying that certain goals are superior.</w:t>
      </w:r>
    </w:p>
    <w:p>
      <w:pPr>
        <w:pStyle w:val="Compact"/>
        <w:numPr>
          <w:ilvl w:val="0"/>
          <w:numId w:val="1015"/>
        </w:numPr>
      </w:pPr>
      <w:r>
        <w:t xml:space="preserve">Emphasise links between goals and values/identity to boost motivation.</w:t>
      </w:r>
    </w:p>
    <w:bookmarkEnd w:id="35"/>
    <w:bookmarkStart w:id="36" w:name="how-to-talk-about-patterns"/>
    <w:p>
      <w:pPr>
        <w:pStyle w:val="Heading2"/>
      </w:pPr>
      <w:r>
        <w:t xml:space="preserve">16. How to Talk About Patterns</w:t>
      </w:r>
    </w:p>
    <w:p>
      <w:pPr>
        <w:pStyle w:val="Compact"/>
        <w:numPr>
          <w:ilvl w:val="0"/>
          <w:numId w:val="1016"/>
        </w:numPr>
      </w:pPr>
      <w:r>
        <w:t xml:space="preserve">Describe patterns neutrally (“You mentioned procrastinating and people‑pleasing.”).</w:t>
      </w:r>
    </w:p>
    <w:p>
      <w:pPr>
        <w:pStyle w:val="Compact"/>
        <w:numPr>
          <w:ilvl w:val="0"/>
          <w:numId w:val="1016"/>
        </w:numPr>
      </w:pPr>
      <w:r>
        <w:t xml:space="preserve">Ask about triggers and contexts; avoid implying that patterns are inherent traits.</w:t>
      </w:r>
    </w:p>
    <w:p>
      <w:pPr>
        <w:pStyle w:val="Compact"/>
        <w:numPr>
          <w:ilvl w:val="0"/>
          <w:numId w:val="1016"/>
        </w:numPr>
      </w:pPr>
      <w:r>
        <w:t xml:space="preserve">Offer pattern interrupts as suggestions, not prescriptions (“One option could be taking a brief pause when you notice the urge to….”).</w:t>
      </w:r>
    </w:p>
    <w:bookmarkEnd w:id="36"/>
    <w:bookmarkStart w:id="37" w:name="how-to-talk-about-bad-days"/>
    <w:p>
      <w:pPr>
        <w:pStyle w:val="Heading2"/>
      </w:pPr>
      <w:r>
        <w:t xml:space="preserve">17. How to Talk About Bad Days</w:t>
      </w:r>
    </w:p>
    <w:p>
      <w:pPr>
        <w:pStyle w:val="Compact"/>
        <w:numPr>
          <w:ilvl w:val="0"/>
          <w:numId w:val="1017"/>
        </w:numPr>
      </w:pPr>
      <w:r>
        <w:t xml:space="preserve">Normalise fluctuations in energy and mood (“We all have days when we feel low or overwhelmed.”).</w:t>
      </w:r>
    </w:p>
    <w:p>
      <w:pPr>
        <w:pStyle w:val="Compact"/>
        <w:numPr>
          <w:ilvl w:val="0"/>
          <w:numId w:val="1017"/>
        </w:numPr>
      </w:pPr>
      <w:r>
        <w:t xml:space="preserve">Encourage small, compassionate steps rather than pushing productivity (“On days like this, taking one small step or resting might be the best move.”).</w:t>
      </w:r>
    </w:p>
    <w:p>
      <w:pPr>
        <w:pStyle w:val="Compact"/>
        <w:numPr>
          <w:ilvl w:val="0"/>
          <w:numId w:val="1017"/>
        </w:numPr>
      </w:pPr>
      <w:r>
        <w:t xml:space="preserve">Provide reassurance that it’s okay to pause and that progress is non‑linear.</w:t>
      </w:r>
    </w:p>
    <w:bookmarkEnd w:id="37"/>
    <w:bookmarkStart w:id="38" w:name="how-to-talk-about-privacy"/>
    <w:p>
      <w:pPr>
        <w:pStyle w:val="Heading2"/>
      </w:pPr>
      <w:r>
        <w:t xml:space="preserve">18. How to Talk About Privacy</w:t>
      </w:r>
    </w:p>
    <w:p>
      <w:pPr>
        <w:pStyle w:val="Compact"/>
        <w:numPr>
          <w:ilvl w:val="0"/>
          <w:numId w:val="1018"/>
        </w:numPr>
      </w:pPr>
      <w:r>
        <w:t xml:space="preserve">Be transparent about what data is collected, where it is stored and how it’s used.</w:t>
      </w:r>
    </w:p>
    <w:p>
      <w:pPr>
        <w:pStyle w:val="Compact"/>
        <w:numPr>
          <w:ilvl w:val="0"/>
          <w:numId w:val="1018"/>
        </w:numPr>
      </w:pPr>
      <w:r>
        <w:t xml:space="preserve">Use plain language to describe local storage, optional encrypted backups and user consent for sharing.</w:t>
      </w:r>
    </w:p>
    <w:p>
      <w:pPr>
        <w:pStyle w:val="Compact"/>
        <w:numPr>
          <w:ilvl w:val="0"/>
          <w:numId w:val="1018"/>
        </w:numPr>
      </w:pPr>
      <w:r>
        <w:t xml:space="preserve">Remind users that they can export, edit or delete their data at any time.</w:t>
      </w:r>
    </w:p>
    <w:bookmarkEnd w:id="38"/>
    <w:bookmarkStart w:id="39" w:name="how-to-talk-about-safety-boundaries"/>
    <w:p>
      <w:pPr>
        <w:pStyle w:val="Heading2"/>
      </w:pPr>
      <w:r>
        <w:t xml:space="preserve">19. How to Talk About Safety Boundaries</w:t>
      </w:r>
    </w:p>
    <w:p>
      <w:pPr>
        <w:pStyle w:val="Compact"/>
        <w:numPr>
          <w:ilvl w:val="0"/>
          <w:numId w:val="1019"/>
        </w:numPr>
      </w:pPr>
      <w:r>
        <w:t xml:space="preserve">Clearly state that BecomingOS does not provide therapy, medical, legal or financial advice.</w:t>
      </w:r>
    </w:p>
    <w:p>
      <w:pPr>
        <w:pStyle w:val="Compact"/>
        <w:numPr>
          <w:ilvl w:val="0"/>
          <w:numId w:val="1019"/>
        </w:numPr>
      </w:pPr>
      <w:r>
        <w:t xml:space="preserve">Include a disclaimer at onboarding, in settings and near any potentially distressing content.</w:t>
      </w:r>
    </w:p>
    <w:p>
      <w:pPr>
        <w:pStyle w:val="Compact"/>
        <w:numPr>
          <w:ilvl w:val="0"/>
          <w:numId w:val="1019"/>
        </w:numPr>
      </w:pPr>
      <w:r>
        <w:t xml:space="preserve">Use phrases like “For educational purposes,” “This is not therapy,” “If you need help, please contact a professional.”</w:t>
      </w:r>
    </w:p>
    <w:bookmarkEnd w:id="39"/>
    <w:bookmarkStart w:id="40" w:name="emergency-wording"/>
    <w:p>
      <w:pPr>
        <w:pStyle w:val="Heading2"/>
      </w:pPr>
      <w:r>
        <w:t xml:space="preserve">20. Emergency Wording</w:t>
      </w:r>
    </w:p>
    <w:p>
      <w:pPr>
        <w:pStyle w:val="FirstParagraph"/>
      </w:pPr>
      <w:r>
        <w:t xml:space="preserve">If a user expresses distress or the system detects high emotional intensity:</w:t>
      </w:r>
    </w:p>
    <w:p>
      <w:pPr>
        <w:pStyle w:val="Compact"/>
        <w:numPr>
          <w:ilvl w:val="0"/>
          <w:numId w:val="1020"/>
        </w:numPr>
      </w:pPr>
      <w:r>
        <w:t xml:space="preserve">Display a message: “If you or someone else is in immediate danger, contact local emergency services now. BecomingOS cannot provide emergency monitoring or crisis response.”</w:t>
      </w:r>
    </w:p>
    <w:p>
      <w:pPr>
        <w:pStyle w:val="Compact"/>
        <w:numPr>
          <w:ilvl w:val="0"/>
          <w:numId w:val="1020"/>
        </w:numPr>
      </w:pPr>
      <w:r>
        <w:t xml:space="preserve">Provide region‑appropriate crisis hotline numbers (e.g., Lifeline in Australia: 13 11 14) and encourage users to reach out.</w:t>
      </w:r>
    </w:p>
    <w:p>
      <w:pPr>
        <w:pStyle w:val="Compact"/>
        <w:numPr>
          <w:ilvl w:val="0"/>
          <w:numId w:val="1020"/>
        </w:numPr>
      </w:pPr>
      <w:r>
        <w:t xml:space="preserve">Remind users they can skip questions and take breaks.</w:t>
      </w:r>
    </w:p>
    <w:bookmarkEnd w:id="40"/>
    <w:bookmarkStart w:id="41" w:name="X9fbc516d0caeb5208f1ec3b47609002254fd287"/>
    <w:p>
      <w:pPr>
        <w:pStyle w:val="Heading2"/>
      </w:pPr>
      <w:r>
        <w:t xml:space="preserve">21. Examples of Poor Wording and Better Wording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expectations</w:t>
            </w:r>
          </w:p>
        </w:tc>
        <w:tc>
          <w:tcPr/>
          <w:p>
            <w:pPr>
              <w:pStyle w:val="Compact"/>
            </w:pPr>
            <w:r>
              <w:t xml:space="preserve">“This app will change your life if you follow our program.”</w:t>
            </w:r>
          </w:p>
        </w:tc>
        <w:tc>
          <w:tcPr/>
          <w:p>
            <w:pPr>
              <w:pStyle w:val="Compact"/>
            </w:pPr>
            <w:r>
              <w:t xml:space="preserve">“BecomingOS is a tool to help you explore who you are and align your life; your progress depends on your own pace and choices.”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about values</w:t>
            </w:r>
          </w:p>
        </w:tc>
        <w:tc>
          <w:tcPr/>
          <w:p>
            <w:pPr>
              <w:pStyle w:val="Compact"/>
            </w:pPr>
            <w:r>
              <w:t xml:space="preserve">“Why don’t you live by your values?”</w:t>
            </w:r>
          </w:p>
        </w:tc>
        <w:tc>
          <w:tcPr/>
          <w:p>
            <w:pPr>
              <w:pStyle w:val="Compact"/>
            </w:pPr>
            <w:r>
              <w:t xml:space="preserve">“Which values feel most alive in your daily life, and which ones would you like to honour more?”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Explaining AI insights</w:t>
            </w:r>
          </w:p>
        </w:tc>
        <w:tc>
          <w:tcPr/>
          <w:p>
            <w:pPr>
              <w:pStyle w:val="Compact"/>
            </w:pPr>
            <w:r>
              <w:t xml:space="preserve">“You are clearly a people‑pleaser.”</w:t>
            </w:r>
          </w:p>
        </w:tc>
        <w:tc>
          <w:tcPr/>
          <w:p>
            <w:pPr>
              <w:pStyle w:val="Compact"/>
            </w:pPr>
            <w:r>
              <w:t xml:space="preserve">“Based on what you shared, it seems like you sometimes prioritise others’ needs over your own. Does that feel accurate?”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a user struggles</w:t>
            </w:r>
          </w:p>
        </w:tc>
        <w:tc>
          <w:tcPr/>
          <w:p>
            <w:pPr>
              <w:pStyle w:val="Compact"/>
            </w:pPr>
            <w:r>
              <w:t xml:space="preserve">“You failed to complete your goal this week.”</w:t>
            </w:r>
          </w:p>
        </w:tc>
        <w:tc>
          <w:tcPr/>
          <w:p>
            <w:pPr>
              <w:pStyle w:val="Compact"/>
            </w:pPr>
            <w:r>
              <w:t xml:space="preserve">“It looks like this week didn’t go as planned. Would you like to explore what got in the way and adjust your plan?”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Proposing pattern interrupts</w:t>
            </w:r>
          </w:p>
        </w:tc>
        <w:tc>
          <w:tcPr/>
          <w:p>
            <w:pPr>
              <w:pStyle w:val="Compact"/>
            </w:pPr>
            <w:r>
              <w:t xml:space="preserve">“Stop procrastinating by forcing yourself to start immediately.”</w:t>
            </w:r>
          </w:p>
        </w:tc>
        <w:tc>
          <w:tcPr/>
          <w:p>
            <w:pPr>
              <w:pStyle w:val="Compact"/>
            </w:pPr>
            <w:r>
              <w:t xml:space="preserve">“When you notice the urge to procrastinate, you might try taking a five‑minute action to get started. Would that be helpful?”</w:t>
            </w:r>
          </w:p>
        </w:tc>
      </w:tr>
    </w:tbl>
    <w:p>
      <w:pPr>
        <w:pStyle w:val="BodyText"/>
      </w:pPr>
      <w:r>
        <w:t xml:space="preserve">By adhering to these guidelines, BecomingOS will maintain a consistent, supportive and safe voice throughout the user experience.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4" w:name="citations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2026-05-14T13:20:41Z</dcterms:created>
  <dcterms:modified xsi:type="dcterms:W3CDTF">2026-05-14T13:20:41Z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