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accepted-recommendations"/>
    <w:p>
      <w:pPr>
        <w:pStyle w:val="Heading1"/>
      </w:pPr>
      <w:r>
        <w:t xml:space="preserve">Accepted Recommendations</w:t>
      </w:r>
    </w:p>
    <w:p>
      <w:pPr>
        <w:pStyle w:val="FirstParagraph"/>
      </w:pPr>
      <w:r>
        <w:t xml:space="preserve">This document summarises the recommendations from the research that have been accepted for incorporation into the BecomingOS product. Each section explains why the recommendation matters, how it changes the product, where it will be applied, and whether it affects the MVP scope.</w:t>
      </w:r>
    </w:p>
    <w:bookmarkStart w:id="22" w:name="product-model"/>
    <w:p>
      <w:pPr>
        <w:pStyle w:val="Heading2"/>
      </w:pPr>
      <w:r>
        <w:t xml:space="preserve">1. Product Model</w:t>
      </w:r>
    </w:p>
    <w:p>
      <w:pPr>
        <w:numPr>
          <w:ilvl w:val="0"/>
          <w:numId w:val="1001"/>
        </w:numPr>
      </w:pPr>
      <w:r>
        <w:rPr>
          <w:b/>
          <w:bCs/>
        </w:rPr>
        <w:t xml:space="preserve">Embed COM‑B assessments</w:t>
      </w:r>
      <w:r>
        <w:t xml:space="preserve"> </w:t>
      </w:r>
      <w:r>
        <w:t xml:space="preserve">– Each module will include brief questions to determine whether capability, opportunity or motivation is the primary barrier. This ensures interventions address the full behaviour‑change triad</w:t>
      </w:r>
      <w:hyperlink r:id="rId21">
        <w:r>
          <w:rPr>
            <w:rStyle w:val="Hyperlink"/>
          </w:rPr>
          <w:t xml:space="preserve">[1]</w:t>
        </w:r>
      </w:hyperlink>
      <w:r>
        <w:t xml:space="preserve">. It shifts the product from motivational prompts to a more comprehensive self‑assessment system. This change is core to the MVP because it underpins all behavioural recommendations.</w:t>
      </w:r>
    </w:p>
    <w:p>
      <w:pPr>
        <w:numPr>
          <w:ilvl w:val="0"/>
          <w:numId w:val="1001"/>
        </w:numPr>
      </w:pPr>
      <w:r>
        <w:rPr>
          <w:b/>
          <w:bCs/>
        </w:rPr>
        <w:t xml:space="preserve">Values clarification tools</w:t>
      </w:r>
      <w:r>
        <w:t xml:space="preserve"> </w:t>
      </w:r>
      <w:r>
        <w:t xml:space="preserve">– The product will use validated exercises (e.g., Valued Living Questionnaire, Bull’s‑Eye Survey) to help users articulate their values and personal rules</w:t>
      </w:r>
      <w:hyperlink r:id="rId21">
        <w:r>
          <w:rPr>
            <w:rStyle w:val="Hyperlink"/>
          </w:rPr>
          <w:t xml:space="preserve">[2]</w:t>
        </w:r>
      </w:hyperlink>
      <w:r>
        <w:t xml:space="preserve">. This deepens the product’s self‑discovery model and makes goal setting meaningful. It applies mainly in the Values &amp; Morals module and affects the MVP.</w:t>
      </w:r>
    </w:p>
    <w:p>
      <w:pPr>
        <w:numPr>
          <w:ilvl w:val="0"/>
          <w:numId w:val="1001"/>
        </w:numPr>
      </w:pPr>
      <w:r>
        <w:rPr>
          <w:b/>
          <w:bCs/>
        </w:rPr>
        <w:t xml:space="preserve">Implementation intentions and habit formation</w:t>
      </w:r>
      <w:r>
        <w:t xml:space="preserve"> </w:t>
      </w:r>
      <w:r>
        <w:t xml:space="preserve">– Modules will teach users to create if‑then plans and choose consistent cues. This bridges the intention–behaviour gap and sets realistic expectations about habit formation timelines</w:t>
      </w:r>
      <w:hyperlink r:id="rId21">
        <w:r>
          <w:rPr>
            <w:rStyle w:val="Hyperlink"/>
          </w:rPr>
          <w:t xml:space="preserve">[1]</w:t>
        </w:r>
      </w:hyperlink>
      <w:r>
        <w:t xml:space="preserve">. It will influence both the Goals &amp; Missions and Patterns/Habit modules in MVP.</w:t>
      </w:r>
    </w:p>
    <w:p>
      <w:pPr>
        <w:numPr>
          <w:ilvl w:val="0"/>
          <w:numId w:val="1001"/>
        </w:numPr>
      </w:pPr>
      <w:r>
        <w:rPr>
          <w:b/>
          <w:bCs/>
        </w:rPr>
        <w:t xml:space="preserve">Challenging yet attainable goals</w:t>
      </w:r>
      <w:r>
        <w:t xml:space="preserve"> </w:t>
      </w:r>
      <w:r>
        <w:t xml:space="preserve">– The product will encourage users to set specific, challenging goals linked to values and identity and revisit progress regularly</w:t>
      </w:r>
      <w:hyperlink r:id="rId21">
        <w:r>
          <w:rPr>
            <w:rStyle w:val="Hyperlink"/>
          </w:rPr>
          <w:t xml:space="preserve">[1]</w:t>
        </w:r>
      </w:hyperlink>
      <w:r>
        <w:t xml:space="preserve">. This supports identity‑based habits and strengthens the OS framework. Applies in the Goals &amp; Missions module and affects MVP.</w:t>
      </w:r>
    </w:p>
    <w:bookmarkEnd w:id="22"/>
    <w:bookmarkStart w:id="23" w:name="module-order"/>
    <w:p>
      <w:pPr>
        <w:pStyle w:val="Heading2"/>
      </w:pPr>
      <w:r>
        <w:t xml:space="preserve">2. Module Order</w:t>
      </w:r>
    </w:p>
    <w:p>
      <w:pPr>
        <w:numPr>
          <w:ilvl w:val="0"/>
          <w:numId w:val="1002"/>
        </w:numPr>
      </w:pPr>
      <w:r>
        <w:rPr>
          <w:b/>
          <w:bCs/>
        </w:rPr>
        <w:t xml:space="preserve">Values and identity first</w:t>
      </w:r>
      <w:r>
        <w:t xml:space="preserve"> </w:t>
      </w:r>
      <w:r>
        <w:t xml:space="preserve">– The curriculum will begin with Orientation, then Values &amp; Morals, followed by Pleasure/Pain/Desire, Human Needs, Identity &amp; Patterns, Goals &amp; Missions, and finally Planning &amp; Calendar. This order emphasises self‑discovery before goal setting and habit formation and aligns with the research recommendation to start with values</w:t>
      </w:r>
      <w:hyperlink r:id="rId21">
        <w:r>
          <w:rPr>
            <w:rStyle w:val="Hyperlink"/>
          </w:rPr>
          <w:t xml:space="preserve">[2]</w:t>
        </w:r>
      </w:hyperlink>
      <w:r>
        <w:t xml:space="preserve">. This change affects the MVP and ensures a logical learning path.</w:t>
      </w:r>
    </w:p>
    <w:p>
      <w:pPr>
        <w:numPr>
          <w:ilvl w:val="0"/>
          <w:numId w:val="1002"/>
        </w:numPr>
      </w:pPr>
      <w:r>
        <w:rPr>
          <w:b/>
          <w:bCs/>
        </w:rPr>
        <w:t xml:space="preserve">Integration of COM‑B and capability checks</w:t>
      </w:r>
      <w:r>
        <w:t xml:space="preserve"> </w:t>
      </w:r>
      <w:r>
        <w:t xml:space="preserve">– Each module will include an assessment of capability, opportunity and motivation, which may influence the subsequent module order. This dynamic sequencing is an enhancement but does not change the overall MVP sequence.</w:t>
      </w:r>
    </w:p>
    <w:bookmarkEnd w:id="23"/>
    <w:bookmarkStart w:id="24" w:name="educational-design"/>
    <w:p>
      <w:pPr>
        <w:pStyle w:val="Heading2"/>
      </w:pPr>
      <w:r>
        <w:t xml:space="preserve">3. Educational Design</w:t>
      </w:r>
    </w:p>
    <w:p>
      <w:pPr>
        <w:numPr>
          <w:ilvl w:val="0"/>
          <w:numId w:val="1003"/>
        </w:numPr>
      </w:pPr>
      <w:r>
        <w:rPr>
          <w:b/>
          <w:bCs/>
        </w:rPr>
        <w:t xml:space="preserve">Adult learning and micro‑learning</w:t>
      </w:r>
      <w:r>
        <w:t xml:space="preserve"> </w:t>
      </w:r>
      <w:r>
        <w:t xml:space="preserve">– Content will be broken into short, focused lessons, with options for text, audio and video and progressive disclosure</w:t>
      </w:r>
      <w:hyperlink r:id="rId21">
        <w:r>
          <w:rPr>
            <w:rStyle w:val="Hyperlink"/>
          </w:rPr>
          <w:t xml:space="preserve">[1]</w:t>
        </w:r>
      </w:hyperlink>
      <w:r>
        <w:t xml:space="preserve">. This design respects autonomy and cognitive load and is applied across all modules. It affects the MVP because it shapes how content is delivered.</w:t>
      </w:r>
    </w:p>
    <w:p>
      <w:pPr>
        <w:numPr>
          <w:ilvl w:val="0"/>
          <w:numId w:val="1003"/>
        </w:numPr>
      </w:pPr>
      <w:r>
        <w:rPr>
          <w:b/>
          <w:bCs/>
        </w:rPr>
        <w:t xml:space="preserve">Branching and skip logic</w:t>
      </w:r>
      <w:r>
        <w:t xml:space="preserve"> </w:t>
      </w:r>
      <w:r>
        <w:t xml:space="preserve">– Question sequences will include branching to reduce fatigue and allow users to pause or skip emotionally intense prompts</w:t>
      </w:r>
      <w:hyperlink r:id="rId21">
        <w:r>
          <w:rPr>
            <w:rStyle w:val="Hyperlink"/>
          </w:rPr>
          <w:t xml:space="preserve">[3]</w:t>
        </w:r>
      </w:hyperlink>
      <w:r>
        <w:t xml:space="preserve">. This increases design complexity but is vital for safety and user agency. It affects the question engine built for the MVP.</w:t>
      </w:r>
    </w:p>
    <w:bookmarkEnd w:id="24"/>
    <w:bookmarkStart w:id="25" w:name="question-design"/>
    <w:p>
      <w:pPr>
        <w:pStyle w:val="Heading2"/>
      </w:pPr>
      <w:r>
        <w:t xml:space="preserve">4. Question Design</w:t>
      </w:r>
    </w:p>
    <w:p>
      <w:pPr>
        <w:numPr>
          <w:ilvl w:val="0"/>
          <w:numId w:val="1004"/>
        </w:numPr>
      </w:pPr>
      <w:r>
        <w:rPr>
          <w:b/>
          <w:bCs/>
        </w:rPr>
        <w:t xml:space="preserve">Forced‑choice and rating scales</w:t>
      </w:r>
      <w:r>
        <w:t xml:space="preserve"> </w:t>
      </w:r>
      <w:r>
        <w:t xml:space="preserve">– Behavioural tracking will use yes/no (forced‑choice) questions; attitudes and priorities will use rating scales with clear anchors; ranking tasks will be limited to small sets</w:t>
      </w:r>
      <w:hyperlink r:id="rId21">
        <w:r>
          <w:rPr>
            <w:rStyle w:val="Hyperlink"/>
          </w:rPr>
          <w:t xml:space="preserve">[3]</w:t>
        </w:r>
      </w:hyperlink>
      <w:r>
        <w:t xml:space="preserve">. This improves data quality and reduces cognitive load.</w:t>
      </w:r>
    </w:p>
    <w:p>
      <w:pPr>
        <w:numPr>
          <w:ilvl w:val="0"/>
          <w:numId w:val="1004"/>
        </w:numPr>
      </w:pPr>
      <w:r>
        <w:rPr>
          <w:b/>
          <w:bCs/>
        </w:rPr>
        <w:t xml:space="preserve">Open and reflective prompts</w:t>
      </w:r>
      <w:r>
        <w:t xml:space="preserve"> </w:t>
      </w:r>
      <w:r>
        <w:t xml:space="preserve">– Modules exploring values, identity and patterns will use open questions to elicit nuanced responses. The question engine will support multiple question types.</w:t>
      </w:r>
    </w:p>
    <w:p>
      <w:pPr>
        <w:numPr>
          <w:ilvl w:val="0"/>
          <w:numId w:val="1004"/>
        </w:numPr>
      </w:pPr>
      <w:r>
        <w:rPr>
          <w:b/>
          <w:bCs/>
        </w:rPr>
        <w:t xml:space="preserve">Limit high‑intensity prompts</w:t>
      </w:r>
      <w:r>
        <w:t xml:space="preserve"> </w:t>
      </w:r>
      <w:r>
        <w:t xml:space="preserve">– High‑emotion questions will be clearly flagged, limited in number and accompanied by skip/pause options and crisis resources</w:t>
      </w:r>
      <w:hyperlink r:id="rId21">
        <w:r>
          <w:rPr>
            <w:rStyle w:val="Hyperlink"/>
          </w:rPr>
          <w:t xml:space="preserve">[3]</w:t>
        </w:r>
      </w:hyperlink>
      <w:r>
        <w:t xml:space="preserve">. This safeguards users from distress and is essential for the MVP.</w:t>
      </w:r>
    </w:p>
    <w:bookmarkEnd w:id="25"/>
    <w:bookmarkStart w:id="26" w:name="wording-style"/>
    <w:p>
      <w:pPr>
        <w:pStyle w:val="Heading2"/>
      </w:pPr>
      <w:r>
        <w:t xml:space="preserve">5. Wording Style</w:t>
      </w:r>
    </w:p>
    <w:p>
      <w:pPr>
        <w:numPr>
          <w:ilvl w:val="0"/>
          <w:numId w:val="1005"/>
        </w:numPr>
      </w:pPr>
      <w:r>
        <w:rPr>
          <w:b/>
          <w:bCs/>
        </w:rPr>
        <w:t xml:space="preserve">Plain, autonomy‑supportive language</w:t>
      </w:r>
      <w:r>
        <w:t xml:space="preserve"> </w:t>
      </w:r>
      <w:r>
        <w:t xml:space="preserve">– All content will be written in clear, direct language with an encouraging, non‑shaming tone, following motivational interviewing principles</w:t>
      </w:r>
      <w:hyperlink r:id="rId21">
        <w:r>
          <w:rPr>
            <w:rStyle w:val="Hyperlink"/>
          </w:rPr>
          <w:t xml:space="preserve">[3]</w:t>
        </w:r>
      </w:hyperlink>
      <w:r>
        <w:t xml:space="preserve">. First‑person (“I”) and second‑person (“you”) pronouns will be used to foster connection. This affects all modules and is critical for MVP quality.</w:t>
      </w:r>
    </w:p>
    <w:p>
      <w:pPr>
        <w:numPr>
          <w:ilvl w:val="0"/>
          <w:numId w:val="1005"/>
        </w:numPr>
      </w:pPr>
      <w:r>
        <w:rPr>
          <w:b/>
          <w:bCs/>
        </w:rPr>
        <w:t xml:space="preserve">Avoid clinical or diagnostic terms</w:t>
      </w:r>
      <w:r>
        <w:t xml:space="preserve"> </w:t>
      </w:r>
      <w:r>
        <w:t xml:space="preserve">– The app will not use medical labels or prescriptive language; instead it will describe experiences in everyday terms and emphasise user choice</w:t>
      </w:r>
      <w:hyperlink r:id="rId21">
        <w:r>
          <w:rPr>
            <w:rStyle w:val="Hyperlink"/>
          </w:rPr>
          <w:t xml:space="preserve">[3]</w:t>
        </w:r>
      </w:hyperlink>
      <w:r>
        <w:t xml:space="preserve">. This supports the safety boundary of not providing therapy.</w:t>
      </w:r>
    </w:p>
    <w:bookmarkEnd w:id="26"/>
    <w:bookmarkStart w:id="27" w:name="ai-interpretation"/>
    <w:p>
      <w:pPr>
        <w:pStyle w:val="Heading2"/>
      </w:pPr>
      <w:r>
        <w:t xml:space="preserve">6. AI Interpretation</w:t>
      </w:r>
    </w:p>
    <w:p>
      <w:pPr>
        <w:numPr>
          <w:ilvl w:val="0"/>
          <w:numId w:val="1006"/>
        </w:numPr>
      </w:pPr>
      <w:r>
        <w:rPr>
          <w:b/>
          <w:bCs/>
        </w:rPr>
        <w:t xml:space="preserve">Structured output schema</w:t>
      </w:r>
      <w:r>
        <w:t xml:space="preserve"> </w:t>
      </w:r>
      <w:r>
        <w:t xml:space="preserve">– AI summarisation will produce JSON objects with fields for type, content, sources, tags and confidence. Summaries will include the AI’s reasoning and citations and ask the user to confirm, edit or reject</w:t>
      </w:r>
      <w:hyperlink r:id="rId21">
        <w:r>
          <w:rPr>
            <w:rStyle w:val="Hyperlink"/>
          </w:rPr>
          <w:t xml:space="preserve">[3]</w:t>
        </w:r>
      </w:hyperlink>
      <w:hyperlink r:id="rId21">
        <w:r>
          <w:rPr>
            <w:rStyle w:val="Hyperlink"/>
          </w:rPr>
          <w:t xml:space="preserve">[2]</w:t>
        </w:r>
      </w:hyperlink>
      <w:r>
        <w:t xml:space="preserve">. This ensures transparency and user control and is fundamental to the MVP.</w:t>
      </w:r>
    </w:p>
    <w:p>
      <w:pPr>
        <w:numPr>
          <w:ilvl w:val="0"/>
          <w:numId w:val="1006"/>
        </w:numPr>
      </w:pPr>
      <w:r>
        <w:rPr>
          <w:b/>
          <w:bCs/>
        </w:rPr>
        <w:t xml:space="preserve">Confidence scoring and bias checks</w:t>
      </w:r>
      <w:r>
        <w:t xml:space="preserve"> </w:t>
      </w:r>
      <w:r>
        <w:t xml:space="preserve">– The AI will compute confidence scores for inferences and highlight uncertain suggestions. Bias checks and fairness evaluations will be planned for later releases but basic confidence scoring will be in the MVP.</w:t>
      </w:r>
    </w:p>
    <w:bookmarkEnd w:id="27"/>
    <w:bookmarkStart w:id="28" w:name="safety-boundaries"/>
    <w:p>
      <w:pPr>
        <w:pStyle w:val="Heading2"/>
      </w:pPr>
      <w:r>
        <w:t xml:space="preserve">7. Safety Boundaries</w:t>
      </w:r>
    </w:p>
    <w:p>
      <w:pPr>
        <w:numPr>
          <w:ilvl w:val="0"/>
          <w:numId w:val="1007"/>
        </w:numPr>
      </w:pPr>
      <w:r>
        <w:rPr>
          <w:b/>
          <w:bCs/>
        </w:rPr>
        <w:t xml:space="preserve">Clear disclaimer and crisis resources</w:t>
      </w:r>
      <w:r>
        <w:t xml:space="preserve"> </w:t>
      </w:r>
      <w:r>
        <w:t xml:space="preserve">– Onboarding and settings will display a statement that BecomingOS is not therapy or a substitute for medical, legal or financial advice and will provide links to emergency services and crisis hotlines</w:t>
      </w:r>
      <w:hyperlink r:id="rId21">
        <w:r>
          <w:rPr>
            <w:rStyle w:val="Hyperlink"/>
          </w:rPr>
          <w:t xml:space="preserve">[3]</w:t>
        </w:r>
      </w:hyperlink>
      <w:r>
        <w:t xml:space="preserve">. This is mandatory for MVP.</w:t>
      </w:r>
    </w:p>
    <w:p>
      <w:pPr>
        <w:numPr>
          <w:ilvl w:val="0"/>
          <w:numId w:val="1007"/>
        </w:numPr>
      </w:pPr>
      <w:r>
        <w:rPr>
          <w:b/>
          <w:bCs/>
        </w:rPr>
        <w:t xml:space="preserve">Non‑therapy positioning</w:t>
      </w:r>
      <w:r>
        <w:t xml:space="preserve"> </w:t>
      </w:r>
      <w:r>
        <w:t xml:space="preserve">– The product will avoid therapy or diagnosis features, high‑impact decision automation and automatic scheduling; AI will not make medical, legal or financial recommendations</w:t>
      </w:r>
      <w:hyperlink r:id="rId21">
        <w:r>
          <w:rPr>
            <w:rStyle w:val="Hyperlink"/>
          </w:rPr>
          <w:t xml:space="preserve">[2]</w:t>
        </w:r>
      </w:hyperlink>
      <w:r>
        <w:t xml:space="preserve">. This restricts scope and protects users.</w:t>
      </w:r>
    </w:p>
    <w:bookmarkEnd w:id="28"/>
    <w:bookmarkStart w:id="29" w:name="my-os-memory"/>
    <w:p>
      <w:pPr>
        <w:pStyle w:val="Heading2"/>
      </w:pPr>
      <w:r>
        <w:t xml:space="preserve">8. My OS Memory</w:t>
      </w:r>
    </w:p>
    <w:p>
      <w:pPr>
        <w:numPr>
          <w:ilvl w:val="0"/>
          <w:numId w:val="1008"/>
        </w:numPr>
      </w:pPr>
      <w:r>
        <w:rPr>
          <w:b/>
          <w:bCs/>
        </w:rPr>
        <w:t xml:space="preserve">User‑owned memories</w:t>
      </w:r>
      <w:r>
        <w:t xml:space="preserve"> </w:t>
      </w:r>
      <w:r>
        <w:t xml:space="preserve">– Data will be stored locally by default, with optional encrypted cloud backup. Users can confirm, edit, reject or delete AI‑generated memories; rejected memories will not influence future suggestions</w:t>
      </w:r>
      <w:hyperlink r:id="rId21">
        <w:r>
          <w:rPr>
            <w:rStyle w:val="Hyperlink"/>
          </w:rPr>
          <w:t xml:space="preserve">[3]</w:t>
        </w:r>
      </w:hyperlink>
      <w:r>
        <w:t xml:space="preserve">. This is essential for privacy and agency.</w:t>
      </w:r>
    </w:p>
    <w:p>
      <w:pPr>
        <w:numPr>
          <w:ilvl w:val="0"/>
          <w:numId w:val="1008"/>
        </w:numPr>
      </w:pPr>
      <w:r>
        <w:rPr>
          <w:b/>
          <w:bCs/>
        </w:rPr>
        <w:t xml:space="preserve">Memory schema</w:t>
      </w:r>
      <w:r>
        <w:t xml:space="preserve"> </w:t>
      </w:r>
      <w:r>
        <w:t xml:space="preserve">– Each memory record will include status (pending, confirmed, edited, rejected, deleted) and be linked to modules, values, needs, goals, patterns and calendar rules. This structure is needed in MVP to support Today Directive and Ask AI engines.</w:t>
      </w:r>
    </w:p>
    <w:bookmarkEnd w:id="29"/>
    <w:bookmarkStart w:id="30" w:name="today-directive"/>
    <w:p>
      <w:pPr>
        <w:pStyle w:val="Heading2"/>
      </w:pPr>
      <w:r>
        <w:t xml:space="preserve">9. Today Directive</w:t>
      </w:r>
    </w:p>
    <w:p>
      <w:pPr>
        <w:numPr>
          <w:ilvl w:val="0"/>
          <w:numId w:val="1009"/>
        </w:numPr>
      </w:pPr>
      <w:r>
        <w:rPr>
          <w:b/>
          <w:bCs/>
        </w:rPr>
        <w:t xml:space="preserve">Daily directive based on My OS</w:t>
      </w:r>
      <w:r>
        <w:t xml:space="preserve"> </w:t>
      </w:r>
      <w:r>
        <w:t xml:space="preserve">– Today will use the user’s confirmed values, needs, goals and patterns to generate a single actionable directive with an explanation and fallback option. It will avoid acting as a dashboard and instead provide a concise recommendation. This aligns with the product vision and is included in MVP.</w:t>
      </w:r>
    </w:p>
    <w:p>
      <w:pPr>
        <w:numPr>
          <w:ilvl w:val="0"/>
          <w:numId w:val="1009"/>
        </w:numPr>
      </w:pPr>
      <w:r>
        <w:rPr>
          <w:b/>
          <w:bCs/>
        </w:rPr>
        <w:t xml:space="preserve">Energy and risk handling</w:t>
      </w:r>
      <w:r>
        <w:t xml:space="preserve"> </w:t>
      </w:r>
      <w:r>
        <w:t xml:space="preserve">– Today will consider energy windows, risks and patterns; it will offer “Bad Day Mode” suggestions when energy is low or triggers are present. Implementation details may be expanded post‑MVP but the core logic is accepted.</w:t>
      </w:r>
    </w:p>
    <w:bookmarkEnd w:id="30"/>
    <w:bookmarkStart w:id="31" w:name="ask-ai"/>
    <w:p>
      <w:pPr>
        <w:pStyle w:val="Heading2"/>
      </w:pPr>
      <w:r>
        <w:t xml:space="preserve">10. Ask AI</w:t>
      </w:r>
    </w:p>
    <w:p>
      <w:pPr>
        <w:pStyle w:val="Compact"/>
        <w:numPr>
          <w:ilvl w:val="0"/>
          <w:numId w:val="1010"/>
        </w:numPr>
      </w:pPr>
      <w:r>
        <w:rPr>
          <w:b/>
          <w:bCs/>
        </w:rPr>
        <w:t xml:space="preserve">Decision advisor (not chatbot)</w:t>
      </w:r>
      <w:r>
        <w:t xml:space="preserve"> </w:t>
      </w:r>
      <w:r>
        <w:t xml:space="preserve">– Ask AI will use the user’s confirmed memories and rules to provide structured decision advice, including why, confidence and what values, goals and needs are involved. It will not answer generic questions or provide therapy, legal or financial advice. This feature is part of MVP but some advanced reasoning may be deferred.</w:t>
      </w:r>
    </w:p>
    <w:bookmarkEnd w:id="31"/>
    <w:bookmarkStart w:id="32" w:name="calendar"/>
    <w:p>
      <w:pPr>
        <w:pStyle w:val="Heading2"/>
      </w:pPr>
      <w:r>
        <w:t xml:space="preserve">11. Calendar</w:t>
      </w:r>
    </w:p>
    <w:p>
      <w:pPr>
        <w:pStyle w:val="Compact"/>
        <w:numPr>
          <w:ilvl w:val="0"/>
          <w:numId w:val="1011"/>
        </w:numPr>
      </w:pPr>
      <w:r>
        <w:rPr>
          <w:b/>
          <w:bCs/>
        </w:rPr>
        <w:t xml:space="preserve">Life‑alignment calendar</w:t>
      </w:r>
      <w:r>
        <w:t xml:space="preserve"> </w:t>
      </w:r>
      <w:r>
        <w:t xml:space="preserve">– The calendar will distinguish between fixed commitments, flexible commitments, energy windows and risk windows. It will not automatically schedule events; instead it will compare values and goals against time and suggest potential adjustments requiring explicit approval</w:t>
      </w:r>
      <w:hyperlink r:id="rId21">
        <w:r>
          <w:rPr>
            <w:rStyle w:val="Hyperlink"/>
          </w:rPr>
          <w:t xml:space="preserve">[3]</w:t>
        </w:r>
      </w:hyperlink>
      <w:r>
        <w:t xml:space="preserve">. This design is core to the Planning &amp; Calendar module in MVP.</w:t>
      </w:r>
    </w:p>
    <w:bookmarkEnd w:id="32"/>
    <w:bookmarkStart w:id="33" w:name="review-loop"/>
    <w:p>
      <w:pPr>
        <w:pStyle w:val="Heading2"/>
      </w:pPr>
      <w:r>
        <w:t xml:space="preserve">12. Review Loop</w:t>
      </w:r>
    </w:p>
    <w:p>
      <w:pPr>
        <w:pStyle w:val="Compact"/>
        <w:numPr>
          <w:ilvl w:val="0"/>
          <w:numId w:val="1012"/>
        </w:numPr>
      </w:pPr>
      <w:r>
        <w:rPr>
          <w:b/>
          <w:bCs/>
        </w:rPr>
        <w:t xml:space="preserve">Daily and weekly reviews</w:t>
      </w:r>
      <w:r>
        <w:t xml:space="preserve"> </w:t>
      </w:r>
      <w:r>
        <w:t xml:space="preserve">– The system will implement daily check‑ins (e.g., Did you perform Today’s directive? What helped or hindered?) and weekly reviews (e.g., Which value was honoured? Which goal progressed? What pattern emerged?). AI suggestions during review will be confirmable and non‑clinical. This loops learning back into the OS and is part of the MVP.</w:t>
      </w:r>
    </w:p>
    <w:bookmarkEnd w:id="33"/>
    <w:bookmarkStart w:id="34" w:name="bad-day-mode"/>
    <w:p>
      <w:pPr>
        <w:pStyle w:val="Heading2"/>
      </w:pPr>
      <w:r>
        <w:t xml:space="preserve">13. Bad Day Mode</w:t>
      </w:r>
    </w:p>
    <w:p>
      <w:pPr>
        <w:pStyle w:val="Compact"/>
        <w:numPr>
          <w:ilvl w:val="0"/>
          <w:numId w:val="1013"/>
        </w:numPr>
      </w:pPr>
      <w:r>
        <w:rPr>
          <w:b/>
          <w:bCs/>
        </w:rPr>
        <w:t xml:space="preserve">Low‑energy support</w:t>
      </w:r>
      <w:r>
        <w:t xml:space="preserve"> </w:t>
      </w:r>
      <w:r>
        <w:t xml:space="preserve">– When users report low energy or high stress, the system will switch to a simplified directive with small, self‑compassionate actions and encourage users to rest or seek support. Crisis resources will be shown if distress is reported. This feature is accepted for MVP because it supports user wellbeing.</w:t>
      </w:r>
    </w:p>
    <w:bookmarkEnd w:id="34"/>
    <w:bookmarkStart w:id="35" w:name="user-testing"/>
    <w:p>
      <w:pPr>
        <w:pStyle w:val="Heading2"/>
      </w:pPr>
      <w:r>
        <w:t xml:space="preserve">14. User Testing</w:t>
      </w:r>
    </w:p>
    <w:p>
      <w:pPr>
        <w:pStyle w:val="Compact"/>
        <w:numPr>
          <w:ilvl w:val="0"/>
          <w:numId w:val="1014"/>
        </w:numPr>
      </w:pPr>
      <w:r>
        <w:rPr>
          <w:b/>
          <w:bCs/>
        </w:rPr>
        <w:t xml:space="preserve">Comprehensive testing plan</w:t>
      </w:r>
      <w:r>
        <w:t xml:space="preserve"> </w:t>
      </w:r>
      <w:r>
        <w:t xml:space="preserve">– User testing will evaluate module comprehension, question clarity, emotional intensity, wording tone, trust in AI interpretation, understanding of My OS, and perceived usefulness</w:t>
      </w:r>
      <w:hyperlink r:id="rId21">
        <w:r>
          <w:rPr>
            <w:rStyle w:val="Hyperlink"/>
          </w:rPr>
          <w:t xml:space="preserve">[3]</w:t>
        </w:r>
      </w:hyperlink>
      <w:hyperlink r:id="rId21">
        <w:r>
          <w:rPr>
            <w:rStyle w:val="Hyperlink"/>
          </w:rPr>
          <w:t xml:space="preserve">[2]</w:t>
        </w:r>
      </w:hyperlink>
      <w:r>
        <w:t xml:space="preserve">. Red flags include feeling judged, confusion or distress. This plan is required before coding and is included in the MVP timeline.</w:t>
      </w:r>
    </w:p>
    <w:bookmarkEnd w:id="35"/>
    <w:bookmarkStart w:id="36" w:name="technical-implications"/>
    <w:p>
      <w:pPr>
        <w:pStyle w:val="Heading2"/>
      </w:pPr>
      <w:r>
        <w:t xml:space="preserve">15. Technical Implications</w:t>
      </w:r>
    </w:p>
    <w:p>
      <w:pPr>
        <w:numPr>
          <w:ilvl w:val="0"/>
          <w:numId w:val="1015"/>
        </w:numPr>
      </w:pPr>
      <w:r>
        <w:rPr>
          <w:b/>
          <w:bCs/>
        </w:rPr>
        <w:t xml:space="preserve">Flexible question engine</w:t>
      </w:r>
      <w:r>
        <w:t xml:space="preserve"> </w:t>
      </w:r>
      <w:r>
        <w:t xml:space="preserve">– A new component will support multiple question types, branching logic and skip options. This must be built early to support the curriculum.</w:t>
      </w:r>
    </w:p>
    <w:p>
      <w:pPr>
        <w:numPr>
          <w:ilvl w:val="0"/>
          <w:numId w:val="1015"/>
        </w:numPr>
      </w:pPr>
      <w:r>
        <w:rPr>
          <w:b/>
          <w:bCs/>
        </w:rPr>
        <w:t xml:space="preserve">Structured memory store and encryption</w:t>
      </w:r>
      <w:r>
        <w:t xml:space="preserve"> </w:t>
      </w:r>
      <w:r>
        <w:t xml:space="preserve">– The technical stack must support local storage, optional encrypted cloud backup, and structured, user‑owned records with status flags. Implementing encryption may affect the timeline but is necessary for MVP.</w:t>
      </w:r>
    </w:p>
    <w:p>
      <w:pPr>
        <w:numPr>
          <w:ilvl w:val="0"/>
          <w:numId w:val="1015"/>
        </w:numPr>
      </w:pPr>
      <w:r>
        <w:rPr>
          <w:b/>
          <w:bCs/>
        </w:rPr>
        <w:t xml:space="preserve">AI pipeline and confirmation loops</w:t>
      </w:r>
      <w:r>
        <w:t xml:space="preserve"> </w:t>
      </w:r>
      <w:r>
        <w:t xml:space="preserve">– Summarisation and interpretation will run through a pipeline that generates structured outputs, computes confidence and prompts the user for confirmation or edits before storing. This pipeline is critical for safety and must be built in MVP.</w:t>
      </w:r>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[title unknown]</w:t>
      </w:r>
    </w:p>
    <w:p>
      <w:pPr>
        <w:pStyle w:val="BodyText"/>
      </w:pPr>
      <w:hyperlink r:id="rId21">
        <w:r>
          <w:rPr>
            <w:rStyle w:val="Hyperlink"/>
          </w:rPr>
          <w:t xml:space="preserve">file:///home/oai/share/Pasted%20text%20%282%29.txt</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file:///home/oai/share/Pasted%20text%20%282%29.txt" TargetMode="External" /></Relationships>
</file>

<file path=word/_rels/footnotes.xml.rels><?xml version="1.0" encoding="UTF-8"?><Relationships xmlns="http://schemas.openxmlformats.org/package/2006/relationships"><Relationship Type="http://schemas.openxmlformats.org/officeDocument/2006/relationships/hyperlink" Id="rId21" Target="file:///home/oai/share/Pasted%20text%20%282%29.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2026-05-14T13:24:09Z</dcterms:created>
  <dcterms:modified xsi:type="dcterms:W3CDTF">2026-05-14T13:24:09Z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