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9" w:name="content"/>
    <w:bookmarkStart w:id="68" w:name="X565baa890d213c891066a398a769edad15403fa"/>
    <w:p>
      <w:pPr>
        <w:pStyle w:val="Heading1"/>
      </w:pPr>
      <w:r>
        <w:t xml:space="preserve">BecomingOS Operations &amp; Support Playbook (Closed Beta &amp; Production)</w:t>
      </w:r>
    </w:p>
    <w:bookmarkStart w:id="22" w:name="overview"/>
    <w:p>
      <w:pPr>
        <w:pStyle w:val="Heading2"/>
      </w:pPr>
      <w:r>
        <w:t xml:space="preserve">Overview</w:t>
      </w:r>
    </w:p>
    <w:p>
      <w:pPr>
        <w:pStyle w:val="FirstParagraph"/>
      </w:pPr>
      <w:r>
        <w:t xml:space="preserve">BecomingOS helps users explore educational content and self‑reflection. It is</w:t>
      </w:r>
      <w:r>
        <w:t xml:space="preserve"> </w:t>
      </w:r>
      <w:r>
        <w:rPr>
          <w:b/>
          <w:bCs/>
        </w:rPr>
        <w:t xml:space="preserve">not</w:t>
      </w:r>
      <w:r>
        <w:t xml:space="preserve"> </w:t>
      </w:r>
      <w:r>
        <w:t xml:space="preserve">a therapy service and does</w:t>
      </w:r>
      <w:r>
        <w:t xml:space="preserve"> </w:t>
      </w:r>
      <w:r>
        <w:rPr>
          <w:b/>
          <w:bCs/>
        </w:rPr>
        <w:t xml:space="preserve">not</w:t>
      </w:r>
      <w:r>
        <w:t xml:space="preserve"> </w:t>
      </w:r>
      <w:r>
        <w:t xml:space="preserve">offer medical, legal, financial or crisis advice. Support staff must never imply they are monitoring users in real time or promise emergency rescue. When a user expresses serious self‑harm, risk to others or other crisis signals, the supporter must redirect them to appropriate local emergency resources such as the 988 hotline in the US, national crisis lines or emergency services. All workflows below respect data minimisation and privacy: deletion and export requests are processed within one month in line with GDPR requirements</w:t>
      </w:r>
      <w:hyperlink r:id="rId21">
        <w:r>
          <w:rPr>
            <w:rStyle w:val="Hyperlink"/>
          </w:rPr>
          <w:t xml:space="preserve">[1]</w:t>
        </w:r>
      </w:hyperlink>
      <w:r>
        <w:t xml:space="preserve">. The support model is separated into tiers to ensure efficient triage and expert escalation.</w:t>
      </w:r>
    </w:p>
    <w:bookmarkEnd w:id="22"/>
    <w:bookmarkStart w:id="27" w:name="support-operating-model"/>
    <w:p>
      <w:pPr>
        <w:pStyle w:val="Heading2"/>
      </w:pPr>
      <w:r>
        <w:t xml:space="preserve">Support Operating Model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Element</w:t>
            </w:r>
          </w:p>
        </w:tc>
        <w:tc>
          <w:tcPr/>
          <w:p>
            <w:pPr>
              <w:pStyle w:val="Compact"/>
            </w:pPr>
            <w:r>
              <w:t xml:space="preserve">Description</w:t>
            </w:r>
          </w:p>
        </w:tc>
      </w:tr>
      <w:tr>
        <w:tc>
          <w:tcPr/>
          <w:p>
            <w:pPr>
              <w:pStyle w:val="Compact"/>
            </w:pPr>
            <w:r>
              <w:rPr>
                <w:b/>
                <w:bCs/>
              </w:rPr>
              <w:t xml:space="preserve">Support tiers</w:t>
            </w:r>
          </w:p>
        </w:tc>
        <w:tc>
          <w:tcPr/>
          <w:p>
            <w:pPr>
              <w:pStyle w:val="Compact"/>
            </w:pPr>
            <w:r>
              <w:rPr>
                <w:b/>
                <w:bCs/>
              </w:rPr>
              <w:t xml:space="preserve">Tier 1</w:t>
            </w:r>
            <w:r>
              <w:t xml:space="preserve"> </w:t>
            </w:r>
            <w:r>
              <w:t xml:space="preserve">handles general inquiries (account help, product guidance, troubleshooting).</w:t>
            </w:r>
            <w:r>
              <w:t xml:space="preserve"> </w:t>
            </w:r>
            <w:r>
              <w:rPr>
                <w:b/>
                <w:bCs/>
              </w:rPr>
              <w:t xml:space="preserve">Tier 2</w:t>
            </w:r>
            <w:r>
              <w:t xml:space="preserve"> </w:t>
            </w:r>
            <w:r>
              <w:t xml:space="preserve">(specialists) handle account deletion/export, privacy/security incidents, AI safety issues and crisis escalations. Complex incidents (SEV 2–5) are routed to engineering, legal, or data protection officers (DPO) as appropriate.</w:t>
            </w:r>
          </w:p>
        </w:tc>
      </w:tr>
      <w:tr>
        <w:tc>
          <w:tcPr/>
          <w:p>
            <w:pPr>
              <w:pStyle w:val="Compact"/>
            </w:pPr>
            <w:r>
              <w:rPr>
                <w:b/>
                <w:bCs/>
              </w:rPr>
              <w:t xml:space="preserve">Channels</w:t>
            </w:r>
          </w:p>
        </w:tc>
        <w:tc>
          <w:tcPr/>
          <w:p>
            <w:pPr>
              <w:pStyle w:val="Compact"/>
            </w:pPr>
            <w:r>
              <w:t xml:space="preserve">Email support, in‑app messaging and a self‑serve knowledge base. No real‑time phone or chat for the MVP.</w:t>
            </w:r>
          </w:p>
        </w:tc>
      </w:tr>
      <w:tr>
        <w:tc>
          <w:tcPr/>
          <w:p>
            <w:pPr>
              <w:pStyle w:val="Compact"/>
            </w:pPr>
            <w:r>
              <w:rPr>
                <w:b/>
                <w:bCs/>
              </w:rPr>
              <w:t xml:space="preserve">Business hours</w:t>
            </w:r>
          </w:p>
        </w:tc>
        <w:tc>
          <w:tcPr/>
          <w:p>
            <w:pPr>
              <w:pStyle w:val="Compact"/>
            </w:pPr>
            <w:r>
              <w:t xml:space="preserve">Closed beta: weekdays 9 am–5 pm Sydney time. Production: extended coverage with on‑call engineers for SEV 1/2 incidents.</w:t>
            </w:r>
          </w:p>
        </w:tc>
      </w:tr>
      <w:tr>
        <w:tc>
          <w:tcPr/>
          <w:p>
            <w:pPr>
              <w:pStyle w:val="Compact"/>
            </w:pPr>
            <w:r>
              <w:rPr>
                <w:b/>
                <w:bCs/>
              </w:rPr>
              <w:t xml:space="preserve">System of record</w:t>
            </w:r>
          </w:p>
        </w:tc>
        <w:tc>
          <w:tcPr/>
          <w:p>
            <w:pPr>
              <w:pStyle w:val="Compact"/>
            </w:pPr>
            <w:r>
              <w:t xml:space="preserve">All requests are logged in a ticketing system with timestamps, classification, actions taken, and evidence for audit. For deletion/export requests, identity verification and approval evidence must be recorded</w:t>
            </w:r>
            <w:hyperlink r:id="rId21">
              <w:r>
                <w:rPr>
                  <w:rStyle w:val="Hyperlink"/>
                </w:rPr>
                <w:t xml:space="preserve">[1]</w:t>
              </w:r>
            </w:hyperlink>
            <w:hyperlink r:id="rId23">
              <w:r>
                <w:rPr>
                  <w:rStyle w:val="Hyperlink"/>
                </w:rPr>
                <w:t xml:space="preserve">[2]</w:t>
              </w:r>
            </w:hyperlink>
            <w:r>
              <w:t xml:space="preserve">.</w:t>
            </w:r>
          </w:p>
        </w:tc>
      </w:tr>
      <w:tr>
        <w:tc>
          <w:tcPr/>
          <w:p>
            <w:pPr>
              <w:pStyle w:val="Compact"/>
            </w:pPr>
            <w:r>
              <w:rPr>
                <w:b/>
                <w:bCs/>
              </w:rPr>
              <w:t xml:space="preserve">Compliance and privacy</w:t>
            </w:r>
          </w:p>
        </w:tc>
        <w:tc>
          <w:tcPr/>
          <w:p>
            <w:pPr>
              <w:pStyle w:val="Compact"/>
            </w:pPr>
            <w:r>
              <w:t xml:space="preserve">Support processes adhere to GDPR/CCPA and local privacy laws. Data deletion must be completed within one month of a valid request</w:t>
            </w:r>
            <w:hyperlink r:id="rId21">
              <w:r>
                <w:rPr>
                  <w:rStyle w:val="Hyperlink"/>
                </w:rPr>
                <w:t xml:space="preserve">[1]</w:t>
              </w:r>
            </w:hyperlink>
            <w:r>
              <w:t xml:space="preserve">. Export and access requests must be fulfilled within one month and can be extended by two months if complex</w:t>
            </w:r>
            <w:hyperlink r:id="rId24">
              <w:r>
                <w:rPr>
                  <w:rStyle w:val="Hyperlink"/>
                </w:rPr>
                <w:t xml:space="preserve">[3]</w:t>
              </w:r>
            </w:hyperlink>
            <w:r>
              <w:t xml:space="preserve">. Audit trails of all actions are maintained</w:t>
            </w:r>
            <w:hyperlink r:id="rId21">
              <w:r>
                <w:rPr>
                  <w:rStyle w:val="Hyperlink"/>
                </w:rPr>
                <w:t xml:space="preserve">[1]</w:t>
              </w:r>
            </w:hyperlink>
            <w:r>
              <w:t xml:space="preserve">.</w:t>
            </w:r>
          </w:p>
        </w:tc>
      </w:tr>
      <w:tr>
        <w:tc>
          <w:tcPr/>
          <w:p>
            <w:pPr>
              <w:pStyle w:val="Compact"/>
            </w:pPr>
            <w:r>
              <w:rPr>
                <w:b/>
                <w:bCs/>
              </w:rPr>
              <w:t xml:space="preserve">Boundaries</w:t>
            </w:r>
          </w:p>
        </w:tc>
        <w:tc>
          <w:tcPr/>
          <w:p>
            <w:pPr>
              <w:pStyle w:val="Compact"/>
            </w:pPr>
            <w:r>
              <w:t xml:space="preserve">Supporters do not give therapy, diagnoses, legal, financial, or medical advice. They cannot monitor or intervene in real time and must explicitly state this if asked. Crisis support must direct the user to appropriate external resources (e.g., “Call or text 988” for US users</w:t>
            </w:r>
            <w:hyperlink r:id="rId25">
              <w:r>
                <w:rPr>
                  <w:rStyle w:val="Hyperlink"/>
                </w:rPr>
                <w:t xml:space="preserve">[4]</w:t>
              </w:r>
            </w:hyperlink>
            <w:r>
              <w:t xml:space="preserve">).</w:t>
            </w:r>
          </w:p>
        </w:tc>
      </w:tr>
    </w:tbl>
    <w:bookmarkStart w:id="26" w:name="roles-responsibilities"/>
    <w:p>
      <w:pPr>
        <w:pStyle w:val="Heading3"/>
      </w:pPr>
      <w:r>
        <w:t xml:space="preserve">Roles &amp; responsibilities</w:t>
      </w:r>
    </w:p>
    <w:p>
      <w:pPr>
        <w:pStyle w:val="Compact"/>
        <w:numPr>
          <w:ilvl w:val="0"/>
          <w:numId w:val="1001"/>
        </w:numPr>
      </w:pPr>
      <w:r>
        <w:rPr>
          <w:b/>
          <w:bCs/>
        </w:rPr>
        <w:t xml:space="preserve">Support Agent (Tier 1)</w:t>
      </w:r>
      <w:r>
        <w:t xml:space="preserve"> </w:t>
      </w:r>
      <w:r>
        <w:t xml:space="preserve">– First point of contact. Handles general questions, guides users through self‑serve resources, monitors for crisis signals, and escalates when needed.</w:t>
      </w:r>
    </w:p>
    <w:p>
      <w:pPr>
        <w:pStyle w:val="Compact"/>
        <w:numPr>
          <w:ilvl w:val="0"/>
          <w:numId w:val="1001"/>
        </w:numPr>
      </w:pPr>
      <w:r>
        <w:rPr>
          <w:b/>
          <w:bCs/>
        </w:rPr>
        <w:t xml:space="preserve">Support Specialist (Tier 2)</w:t>
      </w:r>
      <w:r>
        <w:t xml:space="preserve"> </w:t>
      </w:r>
      <w:r>
        <w:t xml:space="preserve">– Handles sensitive processes (account deletion/export, consent revocation) and manages incident response. Verifies identity and ensures compliance with privacy regulations.</w:t>
      </w:r>
    </w:p>
    <w:p>
      <w:pPr>
        <w:pStyle w:val="Compact"/>
        <w:numPr>
          <w:ilvl w:val="0"/>
          <w:numId w:val="1001"/>
        </w:numPr>
      </w:pPr>
      <w:r>
        <w:rPr>
          <w:b/>
          <w:bCs/>
        </w:rPr>
        <w:t xml:space="preserve">Crisis Escalation Lead</w:t>
      </w:r>
      <w:r>
        <w:t xml:space="preserve"> </w:t>
      </w:r>
      <w:r>
        <w:t xml:space="preserve">– Tier 2 specialist trained on crisis protocols. Reviews flagged conversations, provides resource referrals and coordinates with legal/DPO if required.</w:t>
      </w:r>
    </w:p>
    <w:p>
      <w:pPr>
        <w:pStyle w:val="Compact"/>
        <w:numPr>
          <w:ilvl w:val="0"/>
          <w:numId w:val="1001"/>
        </w:numPr>
      </w:pPr>
      <w:r>
        <w:rPr>
          <w:b/>
          <w:bCs/>
        </w:rPr>
        <w:t xml:space="preserve">Data Protection Officer (DPO)</w:t>
      </w:r>
      <w:r>
        <w:t xml:space="preserve"> </w:t>
      </w:r>
      <w:r>
        <w:t xml:space="preserve">– Oversees data handling, deletion/export approvals and regulatory notifications. Reviews complex privacy incidents and ensures compliance.</w:t>
      </w:r>
    </w:p>
    <w:p>
      <w:pPr>
        <w:pStyle w:val="Compact"/>
        <w:numPr>
          <w:ilvl w:val="0"/>
          <w:numId w:val="1001"/>
        </w:numPr>
      </w:pPr>
      <w:r>
        <w:rPr>
          <w:b/>
          <w:bCs/>
        </w:rPr>
        <w:t xml:space="preserve">Security Lead</w:t>
      </w:r>
      <w:r>
        <w:t xml:space="preserve"> </w:t>
      </w:r>
      <w:r>
        <w:t xml:space="preserve">– Coordinates investigation and remediation for security incidents (unauthorised access, breaches) and ensures incident logs are maintained.</w:t>
      </w:r>
    </w:p>
    <w:p>
      <w:pPr>
        <w:pStyle w:val="Compact"/>
        <w:numPr>
          <w:ilvl w:val="0"/>
          <w:numId w:val="1001"/>
        </w:numPr>
      </w:pPr>
      <w:r>
        <w:rPr>
          <w:b/>
          <w:bCs/>
        </w:rPr>
        <w:t xml:space="preserve">Engineering Team</w:t>
      </w:r>
      <w:r>
        <w:t xml:space="preserve"> </w:t>
      </w:r>
      <w:r>
        <w:t xml:space="preserve">– Resolves technical issues and system outages. Participates in post‑incident review and implements remediation.</w:t>
      </w:r>
    </w:p>
    <w:p>
      <w:pPr>
        <w:pStyle w:val="Compact"/>
        <w:numPr>
          <w:ilvl w:val="0"/>
          <w:numId w:val="1001"/>
        </w:numPr>
      </w:pPr>
      <w:r>
        <w:rPr>
          <w:b/>
          <w:bCs/>
        </w:rPr>
        <w:t xml:space="preserve">Legal &amp; Compliance</w:t>
      </w:r>
      <w:r>
        <w:t xml:space="preserve"> </w:t>
      </w:r>
      <w:r>
        <w:t xml:space="preserve">– Advises on legal implications, regulatory notifications and consent revocation. Provides language for user communication.</w:t>
      </w:r>
    </w:p>
    <w:bookmarkEnd w:id="26"/>
    <w:bookmarkEnd w:id="27"/>
    <w:bookmarkStart w:id="33" w:name="Xe8011ca2264c757f0bfa89dbf109824c6424d92"/>
    <w:p>
      <w:pPr>
        <w:pStyle w:val="Heading2"/>
      </w:pPr>
      <w:r>
        <w:t xml:space="preserve">Incident Severity Levels and Escalation Matrix</w:t>
      </w:r>
    </w:p>
    <w:p>
      <w:pPr>
        <w:pStyle w:val="FirstParagraph"/>
      </w:pPr>
      <w:r>
        <w:t xml:space="preserve">To ensure consistent prioritisation, BecomingOS adopts a 5‑level severity framework</w:t>
      </w:r>
      <w:hyperlink r:id="rId28">
        <w:r>
          <w:rPr>
            <w:rStyle w:val="Hyperlink"/>
          </w:rPr>
          <w:t xml:space="preserve">[5]</w:t>
        </w:r>
      </w:hyperlink>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Severity level</w:t>
            </w:r>
          </w:p>
        </w:tc>
        <w:tc>
          <w:tcPr/>
          <w:p>
            <w:pPr>
              <w:pStyle w:val="Compact"/>
            </w:pPr>
            <w:r>
              <w:t xml:space="preserve">Impact &amp; examples</w:t>
            </w:r>
          </w:p>
        </w:tc>
        <w:tc>
          <w:tcPr/>
          <w:p>
            <w:pPr>
              <w:pStyle w:val="Compact"/>
            </w:pPr>
            <w:r>
              <w:t xml:space="preserve">Response &amp; escalation</w:t>
            </w:r>
          </w:p>
        </w:tc>
      </w:tr>
      <w:tr>
        <w:tc>
          <w:tcPr/>
          <w:p>
            <w:pPr>
              <w:pStyle w:val="Compact"/>
            </w:pPr>
            <w:r>
              <w:rPr>
                <w:b/>
                <w:bCs/>
              </w:rPr>
              <w:t xml:space="preserve">SEV 1 (Critical)</w:t>
            </w:r>
          </w:p>
        </w:tc>
        <w:tc>
          <w:tcPr/>
          <w:p>
            <w:pPr>
              <w:pStyle w:val="Compact"/>
            </w:pPr>
            <w:r>
              <w:t xml:space="preserve">Catastrophic impact on core services (e.g., full outage, data breach in progress)</w:t>
            </w:r>
            <w:hyperlink r:id="rId28">
              <w:r>
                <w:rPr>
                  <w:rStyle w:val="Hyperlink"/>
                </w:rPr>
                <w:t xml:space="preserve">[6]</w:t>
              </w:r>
            </w:hyperlink>
            <w:r>
              <w:t xml:space="preserve">. Many users affected; significant revenue or trust at risk.</w:t>
            </w:r>
          </w:p>
        </w:tc>
        <w:tc>
          <w:tcPr/>
          <w:p>
            <w:pPr>
              <w:pStyle w:val="Compact"/>
            </w:pPr>
            <w:r>
              <w:t xml:space="preserve">Immediate, 24/7 all‑hands response. Escalate to engineering, security lead and executive management. Notify DPO if personal data is involved.</w:t>
            </w:r>
          </w:p>
        </w:tc>
      </w:tr>
      <w:tr>
        <w:tc>
          <w:tcPr/>
          <w:p>
            <w:pPr>
              <w:pStyle w:val="Compact"/>
            </w:pPr>
            <w:r>
              <w:rPr>
                <w:b/>
                <w:bCs/>
              </w:rPr>
              <w:t xml:space="preserve">SEV 2 (High)</w:t>
            </w:r>
          </w:p>
        </w:tc>
        <w:tc>
          <w:tcPr/>
          <w:p>
            <w:pPr>
              <w:pStyle w:val="Compact"/>
            </w:pPr>
            <w:r>
              <w:t xml:space="preserve">Major functionality impaired, affecting a significant subset of users (e.g., partial outage, serious performance degradation, active security vulnerability)</w:t>
            </w:r>
            <w:hyperlink r:id="rId29">
              <w:r>
                <w:rPr>
                  <w:rStyle w:val="Hyperlink"/>
                </w:rPr>
                <w:t xml:space="preserve">[7]</w:t>
              </w:r>
            </w:hyperlink>
            <w:r>
              <w:t xml:space="preserve">.</w:t>
            </w:r>
          </w:p>
        </w:tc>
        <w:tc>
          <w:tcPr/>
          <w:p>
            <w:pPr>
              <w:pStyle w:val="Compact"/>
            </w:pPr>
            <w:r>
              <w:t xml:space="preserve">Urgent response during extended hours. Escalate to engineering lead and support specialists. DPO reviews if data involved.</w:t>
            </w:r>
          </w:p>
        </w:tc>
      </w:tr>
      <w:tr>
        <w:tc>
          <w:tcPr/>
          <w:p>
            <w:pPr>
              <w:pStyle w:val="Compact"/>
            </w:pPr>
            <w:r>
              <w:rPr>
                <w:b/>
                <w:bCs/>
              </w:rPr>
              <w:t xml:space="preserve">SEV 3 (Medium)</w:t>
            </w:r>
          </w:p>
        </w:tc>
        <w:tc>
          <w:tcPr/>
          <w:p>
            <w:pPr>
              <w:pStyle w:val="Compact"/>
            </w:pPr>
            <w:r>
              <w:t xml:space="preserve">Moderate impact on non‑critical functionality or moderate number of users (e.g., isolated performance issues or non‑critical feature outage)</w:t>
            </w:r>
            <w:hyperlink r:id="rId30">
              <w:r>
                <w:rPr>
                  <w:rStyle w:val="Hyperlink"/>
                </w:rPr>
                <w:t xml:space="preserve">[8]</w:t>
              </w:r>
            </w:hyperlink>
            <w:r>
              <w:t xml:space="preserve">.</w:t>
            </w:r>
          </w:p>
        </w:tc>
        <w:tc>
          <w:tcPr/>
          <w:p>
            <w:pPr>
              <w:pStyle w:val="Compact"/>
            </w:pPr>
            <w:r>
              <w:t xml:space="preserve">Same‑day response by support and engineering. Escalate to team leads.</w:t>
            </w:r>
          </w:p>
        </w:tc>
      </w:tr>
      <w:tr>
        <w:tc>
          <w:tcPr/>
          <w:p>
            <w:pPr>
              <w:pStyle w:val="Compact"/>
            </w:pPr>
            <w:r>
              <w:rPr>
                <w:b/>
                <w:bCs/>
              </w:rPr>
              <w:t xml:space="preserve">SEV 4 (Low)</w:t>
            </w:r>
          </w:p>
        </w:tc>
        <w:tc>
          <w:tcPr/>
          <w:p>
            <w:pPr>
              <w:pStyle w:val="Compact"/>
            </w:pPr>
            <w:r>
              <w:t xml:space="preserve">Minor impact with workarounds; small user group (e.g., cosmetic bugs)</w:t>
            </w:r>
            <w:hyperlink r:id="rId31">
              <w:r>
                <w:rPr>
                  <w:rStyle w:val="Hyperlink"/>
                </w:rPr>
                <w:t xml:space="preserve">[9]</w:t>
              </w:r>
            </w:hyperlink>
            <w:r>
              <w:t xml:space="preserve">.</w:t>
            </w:r>
          </w:p>
        </w:tc>
        <w:tc>
          <w:tcPr/>
          <w:p>
            <w:pPr>
              <w:pStyle w:val="Compact"/>
            </w:pPr>
            <w:r>
              <w:t xml:space="preserve">Fix scheduled within days. No urgent escalation.</w:t>
            </w:r>
          </w:p>
        </w:tc>
      </w:tr>
      <w:tr>
        <w:tc>
          <w:tcPr/>
          <w:p>
            <w:pPr>
              <w:pStyle w:val="Compact"/>
            </w:pPr>
            <w:r>
              <w:rPr>
                <w:b/>
                <w:bCs/>
              </w:rPr>
              <w:t xml:space="preserve">SEV 5 (Informational)</w:t>
            </w:r>
          </w:p>
        </w:tc>
        <w:tc>
          <w:tcPr/>
          <w:p>
            <w:pPr>
              <w:pStyle w:val="Compact"/>
            </w:pPr>
            <w:r>
              <w:t xml:space="preserve">Negligible impact; informational or feature requests</w:t>
            </w:r>
            <w:hyperlink r:id="rId32">
              <w:r>
                <w:rPr>
                  <w:rStyle w:val="Hyperlink"/>
                </w:rPr>
                <w:t xml:space="preserve">[10]</w:t>
              </w:r>
            </w:hyperlink>
            <w:r>
              <w:t xml:space="preserve">.</w:t>
            </w:r>
          </w:p>
        </w:tc>
        <w:tc>
          <w:tcPr/>
          <w:p>
            <w:pPr>
              <w:pStyle w:val="Compact"/>
            </w:pPr>
            <w:r>
              <w:t xml:space="preserve">Addressed in normal development cycle; logged for product team.</w:t>
            </w:r>
          </w:p>
        </w:tc>
      </w:tr>
    </w:tbl>
    <w:p>
      <w:pPr>
        <w:pStyle w:val="BodyText"/>
      </w:pPr>
      <w:r>
        <w:t xml:space="preserve">The</w:t>
      </w:r>
      <w:r>
        <w:t xml:space="preserve"> </w:t>
      </w:r>
      <w:r>
        <w:rPr>
          <w:b/>
          <w:bCs/>
        </w:rPr>
        <w:t xml:space="preserve">escalation matrix</w:t>
      </w:r>
      <w:r>
        <w:t xml:space="preserve"> </w:t>
      </w:r>
      <w:r>
        <w:t xml:space="preserve">ties severity to roles: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Severity</w:t>
            </w:r>
          </w:p>
        </w:tc>
        <w:tc>
          <w:tcPr/>
          <w:p>
            <w:pPr>
              <w:pStyle w:val="Compact"/>
            </w:pPr>
            <w:r>
              <w:t xml:space="preserve">First responder</w:t>
            </w:r>
          </w:p>
        </w:tc>
        <w:tc>
          <w:tcPr/>
          <w:p>
            <w:pPr>
              <w:pStyle w:val="Compact"/>
            </w:pPr>
            <w:r>
              <w:t xml:space="preserve">Secondary responders</w:t>
            </w:r>
          </w:p>
        </w:tc>
        <w:tc>
          <w:tcPr/>
          <w:p>
            <w:pPr>
              <w:pStyle w:val="Compact"/>
            </w:pPr>
            <w:r>
              <w:t xml:space="preserve">Executive involvement</w:t>
            </w:r>
          </w:p>
        </w:tc>
        <w:tc>
          <w:tcPr/>
          <w:p>
            <w:pPr>
              <w:pStyle w:val="Compact"/>
            </w:pPr>
            <w:r>
              <w:t xml:space="preserve">SLA target</w:t>
            </w:r>
          </w:p>
        </w:tc>
      </w:tr>
      <w:tr>
        <w:tc>
          <w:tcPr/>
          <w:p>
            <w:pPr>
              <w:pStyle w:val="Compact"/>
            </w:pPr>
            <w:r>
              <w:t xml:space="preserve">SEV 1</w:t>
            </w:r>
          </w:p>
        </w:tc>
        <w:tc>
          <w:tcPr/>
          <w:p>
            <w:pPr>
              <w:pStyle w:val="Compact"/>
            </w:pPr>
            <w:r>
              <w:t xml:space="preserve">Tier 1 → immediately escalates to Tier 2</w:t>
            </w:r>
          </w:p>
        </w:tc>
        <w:tc>
          <w:tcPr/>
          <w:p>
            <w:pPr>
              <w:pStyle w:val="Compact"/>
            </w:pPr>
            <w:r>
              <w:t xml:space="preserve">Engineering lead, Security lead, DPO</w:t>
            </w:r>
          </w:p>
        </w:tc>
        <w:tc>
          <w:tcPr/>
          <w:p>
            <w:pPr>
              <w:pStyle w:val="Compact"/>
            </w:pPr>
            <w:r>
              <w:t xml:space="preserve">CEO/CTO and legal notified</w:t>
            </w:r>
          </w:p>
        </w:tc>
        <w:tc>
          <w:tcPr/>
          <w:p>
            <w:pPr>
              <w:pStyle w:val="Compact"/>
            </w:pPr>
            <w:r>
              <w:t xml:space="preserve">Response within 15 minutes; resolution within 4 hours or workaround</w:t>
            </w:r>
          </w:p>
        </w:tc>
      </w:tr>
      <w:tr>
        <w:tc>
          <w:tcPr/>
          <w:p>
            <w:pPr>
              <w:pStyle w:val="Compact"/>
            </w:pPr>
            <w:r>
              <w:t xml:space="preserve">SEV 2</w:t>
            </w:r>
          </w:p>
        </w:tc>
        <w:tc>
          <w:tcPr/>
          <w:p>
            <w:pPr>
              <w:pStyle w:val="Compact"/>
            </w:pPr>
            <w:r>
              <w:t xml:space="preserve">Tier 1 or automated alert → Tier 2</w:t>
            </w:r>
          </w:p>
        </w:tc>
        <w:tc>
          <w:tcPr/>
          <w:p>
            <w:pPr>
              <w:pStyle w:val="Compact"/>
            </w:pPr>
            <w:r>
              <w:t xml:space="preserve">Engineering and DPO as needed</w:t>
            </w:r>
          </w:p>
        </w:tc>
        <w:tc>
          <w:tcPr/>
          <w:p>
            <w:pPr>
              <w:pStyle w:val="Compact"/>
            </w:pPr>
            <w:r>
              <w:t xml:space="preserve">No executive unless risk escalates</w:t>
            </w:r>
          </w:p>
        </w:tc>
        <w:tc>
          <w:tcPr/>
          <w:p>
            <w:pPr>
              <w:pStyle w:val="Compact"/>
            </w:pPr>
            <w:r>
              <w:t xml:space="preserve">Response within 1 hour; resolution within 8 hours</w:t>
            </w:r>
          </w:p>
        </w:tc>
      </w:tr>
      <w:tr>
        <w:tc>
          <w:tcPr/>
          <w:p>
            <w:pPr>
              <w:pStyle w:val="Compact"/>
            </w:pPr>
            <w:r>
              <w:t xml:space="preserve">SEV 3</w:t>
            </w:r>
          </w:p>
        </w:tc>
        <w:tc>
          <w:tcPr/>
          <w:p>
            <w:pPr>
              <w:pStyle w:val="Compact"/>
            </w:pPr>
            <w:r>
              <w:t xml:space="preserve">Tier 1</w:t>
            </w:r>
          </w:p>
        </w:tc>
        <w:tc>
          <w:tcPr/>
          <w:p>
            <w:pPr>
              <w:pStyle w:val="Compact"/>
            </w:pPr>
            <w:r>
              <w:t xml:space="preserve">Engineering if needed</w:t>
            </w:r>
          </w:p>
        </w:tc>
        <w:tc>
          <w:tcPr/>
          <w:p>
            <w:pPr>
              <w:pStyle w:val="Compact"/>
            </w:pPr>
            <w:r>
              <w:t xml:space="preserve">Not usually required</w:t>
            </w:r>
          </w:p>
        </w:tc>
        <w:tc>
          <w:tcPr/>
          <w:p>
            <w:pPr>
              <w:pStyle w:val="Compact"/>
            </w:pPr>
            <w:r>
              <w:t xml:space="preserve">Response within 8 hours; resolution within 3 business days</w:t>
            </w:r>
          </w:p>
        </w:tc>
      </w:tr>
      <w:tr>
        <w:tc>
          <w:tcPr/>
          <w:p>
            <w:pPr>
              <w:pStyle w:val="Compact"/>
            </w:pPr>
            <w:r>
              <w:t xml:space="preserve">SEV 4/5</w:t>
            </w:r>
          </w:p>
        </w:tc>
        <w:tc>
          <w:tcPr/>
          <w:p>
            <w:pPr>
              <w:pStyle w:val="Compact"/>
            </w:pPr>
            <w:r>
              <w:t xml:space="preserve">Tier 1</w:t>
            </w:r>
          </w:p>
        </w:tc>
        <w:tc>
          <w:tcPr/>
          <w:p>
            <w:pPr>
              <w:pStyle w:val="Compact"/>
            </w:pPr>
            <w:r>
              <w:t xml:space="preserve">Product/engineering backlog</w:t>
            </w:r>
          </w:p>
        </w:tc>
        <w:tc>
          <w:tcPr/>
          <w:p>
            <w:pPr>
              <w:pStyle w:val="Compact"/>
            </w:pPr>
            <w:r>
              <w:t xml:space="preserve">Not required</w:t>
            </w:r>
          </w:p>
        </w:tc>
        <w:tc>
          <w:tcPr/>
          <w:p>
            <w:pPr>
              <w:pStyle w:val="Compact"/>
            </w:pPr>
            <w:r>
              <w:t xml:space="preserve">Included in regular release cycle</w:t>
            </w:r>
          </w:p>
        </w:tc>
      </w:tr>
    </w:tbl>
    <w:bookmarkEnd w:id="33"/>
    <w:bookmarkStart w:id="66" w:name="workflows"/>
    <w:p>
      <w:pPr>
        <w:pStyle w:val="Heading2"/>
      </w:pPr>
      <w:r>
        <w:t xml:space="preserve">Workflows</w:t>
      </w:r>
    </w:p>
    <w:p>
      <w:pPr>
        <w:pStyle w:val="FirstParagraph"/>
      </w:pPr>
      <w:r>
        <w:t xml:space="preserve">Each workflow below includes a trigger, owner, key steps, suggested user‑facing copy (in plain language), internal notes, escalation path, service‑level target, and required evidence/logs. Support agents can adapt scripts based on context but must always maintain boundaries and privacy.</w:t>
      </w:r>
    </w:p>
    <w:bookmarkStart w:id="34" w:name="user-support-workflow"/>
    <w:p>
      <w:pPr>
        <w:pStyle w:val="Heading3"/>
      </w:pPr>
      <w:r>
        <w:t xml:space="preserve">1 – User Support Workflow</w:t>
      </w:r>
    </w:p>
    <w:p>
      <w:pPr>
        <w:pStyle w:val="FirstParagraph"/>
      </w:pPr>
      <w:r>
        <w:rPr>
          <w:b/>
          <w:bCs/>
        </w:rPr>
        <w:t xml:space="preserve">Trigger:</w:t>
      </w:r>
      <w:r>
        <w:t xml:space="preserve"> </w:t>
      </w:r>
      <w:r>
        <w:t xml:space="preserve">Any general inquiry or request submitted via email or in‑app messaging.</w:t>
      </w:r>
    </w:p>
    <w:p>
      <w:pPr>
        <w:pStyle w:val="BodyText"/>
      </w:pPr>
      <w:r>
        <w:rPr>
          <w:b/>
          <w:bCs/>
        </w:rPr>
        <w:t xml:space="preserve">Owner:</w:t>
      </w:r>
      <w:r>
        <w:t xml:space="preserve"> </w:t>
      </w:r>
      <w:r>
        <w:t xml:space="preserve">Tier 1 Support Agent.</w:t>
      </w:r>
    </w:p>
    <w:p>
      <w:pPr>
        <w:pStyle w:val="BodyText"/>
      </w:pPr>
      <w:r>
        <w:rPr>
          <w:b/>
          <w:bCs/>
        </w:rPr>
        <w:t xml:space="preserve">Steps:</w:t>
      </w:r>
      <w:r>
        <w:t xml:space="preserve"> </w:t>
      </w:r>
      <w:r>
        <w:t xml:space="preserve">1.</w:t>
      </w:r>
      <w:r>
        <w:t xml:space="preserve"> </w:t>
      </w:r>
      <w:r>
        <w:rPr>
          <w:b/>
          <w:bCs/>
        </w:rPr>
        <w:t xml:space="preserve">Acknowledge receipt</w:t>
      </w:r>
      <w:r>
        <w:t xml:space="preserve"> </w:t>
      </w:r>
      <w:r>
        <w:t xml:space="preserve">and assign a ticket ID in the support system. Aim to respond within one business day for beta or within SLA targets.</w:t>
      </w:r>
      <w:r>
        <w:t xml:space="preserve"> </w:t>
      </w:r>
      <w:r>
        <w:t xml:space="preserve">2.</w:t>
      </w:r>
      <w:r>
        <w:t xml:space="preserve"> </w:t>
      </w:r>
      <w:r>
        <w:rPr>
          <w:b/>
          <w:bCs/>
        </w:rPr>
        <w:t xml:space="preserve">Review the request</w:t>
      </w:r>
      <w:r>
        <w:t xml:space="preserve"> </w:t>
      </w:r>
      <w:r>
        <w:t xml:space="preserve">to determine the category (account help, technical issue, feedback, content question, potential crisis, etc.). Use knowledge base and past tickets to provide informed guidance.</w:t>
      </w:r>
      <w:r>
        <w:t xml:space="preserve"> </w:t>
      </w:r>
      <w:r>
        <w:t xml:space="preserve">3.</w:t>
      </w:r>
      <w:r>
        <w:t xml:space="preserve"> </w:t>
      </w:r>
      <w:r>
        <w:rPr>
          <w:b/>
          <w:bCs/>
        </w:rPr>
        <w:t xml:space="preserve">Check for crisis signals:</w:t>
      </w:r>
      <w:r>
        <w:t xml:space="preserve"> </w:t>
      </w:r>
      <w:r>
        <w:t xml:space="preserve">if the message contains self‑harm or safety concerns, immediately follow the Crisis Escalation Boundary Workflow (see below) and skip to step 6.</w:t>
      </w:r>
      <w:r>
        <w:t xml:space="preserve"> </w:t>
      </w:r>
      <w:r>
        <w:t xml:space="preserve">4.</w:t>
      </w:r>
      <w:r>
        <w:t xml:space="preserve"> </w:t>
      </w:r>
      <w:r>
        <w:rPr>
          <w:b/>
          <w:bCs/>
        </w:rPr>
        <w:t xml:space="preserve">Provide a solution or guidance:</w:t>
      </w:r>
      <w:r>
        <w:t xml:space="preserve"> </w:t>
      </w:r>
      <w:r>
        <w:t xml:space="preserve">direct the user to self‑serve resources or explain how to perform the requested action. Do not provide therapy, legal, financial or medical advice.</w:t>
      </w:r>
      <w:r>
        <w:t xml:space="preserve"> </w:t>
      </w:r>
      <w:r>
        <w:t xml:space="preserve">5.</w:t>
      </w:r>
      <w:r>
        <w:t xml:space="preserve"> </w:t>
      </w:r>
      <w:r>
        <w:rPr>
          <w:b/>
          <w:bCs/>
        </w:rPr>
        <w:t xml:space="preserve">Ask clarifying questions</w:t>
      </w:r>
      <w:r>
        <w:t xml:space="preserve"> </w:t>
      </w:r>
      <w:r>
        <w:t xml:space="preserve">only if necessary and within scope. Avoid requesting sensitive data unless required for verification.</w:t>
      </w:r>
      <w:r>
        <w:t xml:space="preserve"> </w:t>
      </w:r>
      <w:r>
        <w:t xml:space="preserve">6.</w:t>
      </w:r>
      <w:r>
        <w:t xml:space="preserve"> </w:t>
      </w:r>
      <w:r>
        <w:rPr>
          <w:b/>
          <w:bCs/>
        </w:rPr>
        <w:t xml:space="preserve">Update ticket status</w:t>
      </w:r>
      <w:r>
        <w:t xml:space="preserve"> </w:t>
      </w:r>
      <w:r>
        <w:t xml:space="preserve">to “awaiting user” or “resolved”. Document actions taken and any knowledge base gaps.</w:t>
      </w:r>
      <w:r>
        <w:t xml:space="preserve"> </w:t>
      </w:r>
      <w:r>
        <w:t xml:space="preserve">7.</w:t>
      </w:r>
      <w:r>
        <w:t xml:space="preserve"> </w:t>
      </w:r>
      <w:r>
        <w:rPr>
          <w:b/>
          <w:bCs/>
        </w:rPr>
        <w:t xml:space="preserve">Escalate</w:t>
      </w:r>
      <w:r>
        <w:t xml:space="preserve"> </w:t>
      </w:r>
      <w:r>
        <w:t xml:space="preserve">to Tier 2 if the issue is complex, involves privacy/security, or if the user expresses dissatisfaction.</w:t>
      </w:r>
    </w:p>
    <w:p>
      <w:pPr>
        <w:pStyle w:val="BodyText"/>
      </w:pPr>
      <w:r>
        <w:rPr>
          <w:b/>
          <w:bCs/>
        </w:rPr>
        <w:t xml:space="preserve">User‑facing copy (example):</w:t>
      </w:r>
    </w:p>
    <w:p>
      <w:pPr>
        <w:pStyle w:val="BlockText"/>
      </w:pPr>
      <w:r>
        <w:rPr>
          <w:i/>
          <w:iCs/>
        </w:rPr>
        <w:t xml:space="preserve">Hello [Name], thank you for reaching out to BecomingOS support. We’ve received your request and will assist you shortly. Please note that BecomingOS provides educational and reflective experiences and cannot offer medical, legal, financial or crisis advice. If you’re in danger or need immediate help, contact your local emergency services or a crisis hotline (e.g., in the US, call or text 988)</w:t>
      </w:r>
      <w:hyperlink r:id="rId25">
        <w:r>
          <w:rPr>
            <w:rStyle w:val="Hyperlink"/>
            <w:i/>
            <w:iCs/>
          </w:rPr>
          <w:t xml:space="preserve">[4]</w:t>
        </w:r>
      </w:hyperlink>
      <w:r>
        <w:rPr>
          <w:i/>
          <w:iCs/>
        </w:rPr>
        <w:t xml:space="preserve">.</w:t>
      </w:r>
    </w:p>
    <w:p>
      <w:pPr>
        <w:pStyle w:val="FirstParagraph"/>
      </w:pPr>
      <w:r>
        <w:rPr>
          <w:b/>
          <w:bCs/>
        </w:rPr>
        <w:t xml:space="preserve">Internal notes:</w:t>
      </w:r>
      <w:r>
        <w:t xml:space="preserve"> </w:t>
      </w:r>
      <w:r>
        <w:t xml:space="preserve">Log the ticket ID, category, any potential red flags, and the resolution. Use macros for common responses and update knowledge base articles to reduce repetitive questions.</w:t>
      </w:r>
    </w:p>
    <w:p>
      <w:pPr>
        <w:pStyle w:val="BodyText"/>
      </w:pPr>
      <w:r>
        <w:rPr>
          <w:b/>
          <w:bCs/>
        </w:rPr>
        <w:t xml:space="preserve">Escalation path:</w:t>
      </w:r>
      <w:r>
        <w:t xml:space="preserve"> </w:t>
      </w:r>
      <w:r>
        <w:t xml:space="preserve">Tier 1 → Tier 2 or engineering if unresolved in two business days or if severity rating ≥ 3.</w:t>
      </w:r>
    </w:p>
    <w:p>
      <w:pPr>
        <w:pStyle w:val="BodyText"/>
      </w:pPr>
      <w:r>
        <w:rPr>
          <w:b/>
          <w:bCs/>
        </w:rPr>
        <w:t xml:space="preserve">SLA target:</w:t>
      </w:r>
      <w:r>
        <w:t xml:space="preserve"> </w:t>
      </w:r>
      <w:r>
        <w:t xml:space="preserve">Beta: initial response within 24 hours. Production: initial response within 8 hours (SEV 3) or per severity matrix for SEV 1/2.</w:t>
      </w:r>
    </w:p>
    <w:p>
      <w:pPr>
        <w:pStyle w:val="BodyText"/>
      </w:pPr>
      <w:r>
        <w:rPr>
          <w:b/>
          <w:bCs/>
        </w:rPr>
        <w:t xml:space="preserve">Required evidence/logs:</w:t>
      </w:r>
      <w:r>
        <w:t xml:space="preserve"> </w:t>
      </w:r>
      <w:r>
        <w:t xml:space="preserve">Ticket history, timestamps, agent notes, user communication and any internal consultation.</w:t>
      </w:r>
    </w:p>
    <w:bookmarkEnd w:id="34"/>
    <w:bookmarkStart w:id="42" w:name="account-deletion-workflow"/>
    <w:p>
      <w:pPr>
        <w:pStyle w:val="Heading3"/>
      </w:pPr>
      <w:r>
        <w:t xml:space="preserve">2 – Account Deletion Workflow</w:t>
      </w:r>
    </w:p>
    <w:p>
      <w:pPr>
        <w:pStyle w:val="FirstParagraph"/>
      </w:pPr>
      <w:r>
        <w:rPr>
          <w:b/>
          <w:bCs/>
        </w:rPr>
        <w:t xml:space="preserve">Trigger:</w:t>
      </w:r>
      <w:r>
        <w:t xml:space="preserve"> </w:t>
      </w:r>
      <w:r>
        <w:t xml:space="preserve">A user requests deletion of their account or exercise of the “right to be forgotten”.</w:t>
      </w:r>
    </w:p>
    <w:p>
      <w:pPr>
        <w:pStyle w:val="BodyText"/>
      </w:pPr>
      <w:r>
        <w:rPr>
          <w:b/>
          <w:bCs/>
        </w:rPr>
        <w:t xml:space="preserve">Owner:</w:t>
      </w:r>
      <w:r>
        <w:t xml:space="preserve"> </w:t>
      </w:r>
      <w:r>
        <w:t xml:space="preserve">Tier 2 Support Specialist (with DPO oversight).</w:t>
      </w:r>
    </w:p>
    <w:p>
      <w:pPr>
        <w:pStyle w:val="BodyText"/>
      </w:pPr>
      <w:r>
        <w:rPr>
          <w:b/>
          <w:bCs/>
        </w:rPr>
        <w:t xml:space="preserve">Steps:</w:t>
      </w:r>
      <w:r>
        <w:t xml:space="preserve"> </w:t>
      </w:r>
      <w:r>
        <w:t xml:space="preserve">1.</w:t>
      </w:r>
      <w:r>
        <w:t xml:space="preserve"> </w:t>
      </w:r>
      <w:r>
        <w:rPr>
          <w:b/>
          <w:bCs/>
        </w:rPr>
        <w:t xml:space="preserve">Verify identity:</w:t>
      </w:r>
      <w:r>
        <w:t xml:space="preserve"> </w:t>
      </w:r>
      <w:r>
        <w:t xml:space="preserve">confirm the requestor’s identity using the email on file or other minimal verification (e.g., security questions)</w:t>
      </w:r>
      <w:hyperlink r:id="rId35">
        <w:r>
          <w:rPr>
            <w:rStyle w:val="Hyperlink"/>
          </w:rPr>
          <w:t xml:space="preserve">[11]</w:t>
        </w:r>
      </w:hyperlink>
      <w:r>
        <w:t xml:space="preserve">. Only request the minimum necessary information</w:t>
      </w:r>
      <w:hyperlink r:id="rId36">
        <w:r>
          <w:rPr>
            <w:rStyle w:val="Hyperlink"/>
          </w:rPr>
          <w:t xml:space="preserve">[12]</w:t>
        </w:r>
      </w:hyperlink>
      <w:r>
        <w:t xml:space="preserve">.</w:t>
      </w:r>
      <w:r>
        <w:t xml:space="preserve"> </w:t>
      </w:r>
      <w:r>
        <w:t xml:space="preserve">2.</w:t>
      </w:r>
      <w:r>
        <w:t xml:space="preserve"> </w:t>
      </w:r>
      <w:r>
        <w:rPr>
          <w:b/>
          <w:bCs/>
        </w:rPr>
        <w:t xml:space="preserve">Record request:</w:t>
      </w:r>
      <w:r>
        <w:t xml:space="preserve"> </w:t>
      </w:r>
      <w:r>
        <w:t xml:space="preserve">create a secure log entry with the request date, user ID, and verification steps</w:t>
      </w:r>
      <w:hyperlink r:id="rId37">
        <w:r>
          <w:rPr>
            <w:rStyle w:val="Hyperlink"/>
          </w:rPr>
          <w:t xml:space="preserve">[13]</w:t>
        </w:r>
      </w:hyperlink>
      <w:r>
        <w:t xml:space="preserve">.</w:t>
      </w:r>
      <w:r>
        <w:t xml:space="preserve"> </w:t>
      </w:r>
      <w:r>
        <w:t xml:space="preserve">3.</w:t>
      </w:r>
      <w:r>
        <w:t xml:space="preserve"> </w:t>
      </w:r>
      <w:r>
        <w:rPr>
          <w:b/>
          <w:bCs/>
        </w:rPr>
        <w:t xml:space="preserve">Confirm scope:</w:t>
      </w:r>
      <w:r>
        <w:t xml:space="preserve"> </w:t>
      </w:r>
      <w:r>
        <w:t xml:space="preserve">check whether data must be retained for legal obligations (e.g., financial records). Under GDPR, exceptions allow retention if required for legal claims, public interest, etc.</w:t>
      </w:r>
      <w:hyperlink r:id="rId38">
        <w:r>
          <w:rPr>
            <w:rStyle w:val="Hyperlink"/>
          </w:rPr>
          <w:t xml:space="preserve">[14]</w:t>
        </w:r>
      </w:hyperlink>
      <w:r>
        <w:t xml:space="preserve">. If retention applies, inform the user and deny deletion with justification.</w:t>
      </w:r>
      <w:r>
        <w:t xml:space="preserve"> </w:t>
      </w:r>
      <w:r>
        <w:t xml:space="preserve">4.</w:t>
      </w:r>
      <w:r>
        <w:t xml:space="preserve"> </w:t>
      </w:r>
      <w:r>
        <w:rPr>
          <w:b/>
          <w:bCs/>
        </w:rPr>
        <w:t xml:space="preserve">Inform the user:</w:t>
      </w:r>
      <w:r>
        <w:t xml:space="preserve"> </w:t>
      </w:r>
      <w:r>
        <w:t xml:space="preserve">acknowledge the request and state that the deletion process will be completed within one month</w:t>
      </w:r>
      <w:hyperlink r:id="rId21">
        <w:r>
          <w:rPr>
            <w:rStyle w:val="Hyperlink"/>
          </w:rPr>
          <w:t xml:space="preserve">[1]</w:t>
        </w:r>
      </w:hyperlink>
      <w:hyperlink r:id="rId39">
        <w:r>
          <w:rPr>
            <w:rStyle w:val="Hyperlink"/>
          </w:rPr>
          <w:t xml:space="preserve">[15]</w:t>
        </w:r>
      </w:hyperlink>
      <w:r>
        <w:t xml:space="preserve">. Explain any exceptions.</w:t>
      </w:r>
      <w:r>
        <w:t xml:space="preserve"> </w:t>
      </w:r>
      <w:r>
        <w:t xml:space="preserve">5.</w:t>
      </w:r>
      <w:r>
        <w:t xml:space="preserve"> </w:t>
      </w:r>
      <w:r>
        <w:rPr>
          <w:b/>
          <w:bCs/>
        </w:rPr>
        <w:t xml:space="preserve">Coordinate deletion:</w:t>
      </w:r>
      <w:r>
        <w:t xml:space="preserve"> </w:t>
      </w:r>
      <w:r>
        <w:t xml:space="preserve">instruct engineering to remove personal data from databases, backups and third‑party processors using secure erasure tools</w:t>
      </w:r>
      <w:hyperlink r:id="rId40">
        <w:r>
          <w:rPr>
            <w:rStyle w:val="Hyperlink"/>
          </w:rPr>
          <w:t xml:space="preserve">[16]</w:t>
        </w:r>
      </w:hyperlink>
      <w:r>
        <w:t xml:space="preserve">.</w:t>
      </w:r>
      <w:r>
        <w:t xml:space="preserve"> </w:t>
      </w:r>
      <w:r>
        <w:t xml:space="preserve">6.</w:t>
      </w:r>
      <w:r>
        <w:t xml:space="preserve"> </w:t>
      </w:r>
      <w:r>
        <w:rPr>
          <w:b/>
          <w:bCs/>
        </w:rPr>
        <w:t xml:space="preserve">Log actions:</w:t>
      </w:r>
      <w:r>
        <w:t xml:space="preserve"> </w:t>
      </w:r>
      <w:r>
        <w:t xml:space="preserve">maintain audit trails of deletion activities (timestamp, systems affected)</w:t>
      </w:r>
      <w:hyperlink r:id="rId21">
        <w:r>
          <w:rPr>
            <w:rStyle w:val="Hyperlink"/>
          </w:rPr>
          <w:t xml:space="preserve">[1]</w:t>
        </w:r>
      </w:hyperlink>
      <w:r>
        <w:t xml:space="preserve">.</w:t>
      </w:r>
      <w:r>
        <w:t xml:space="preserve"> </w:t>
      </w:r>
      <w:r>
        <w:t xml:space="preserve">7.</w:t>
      </w:r>
      <w:r>
        <w:t xml:space="preserve"> </w:t>
      </w:r>
      <w:r>
        <w:rPr>
          <w:b/>
          <w:bCs/>
        </w:rPr>
        <w:t xml:space="preserve">Confirm completion:</w:t>
      </w:r>
      <w:r>
        <w:t xml:space="preserve"> </w:t>
      </w:r>
      <w:r>
        <w:t xml:space="preserve">once deletion is complete, send a confirmation to the user and close the request.</w:t>
      </w:r>
    </w:p>
    <w:p>
      <w:pPr>
        <w:pStyle w:val="BodyText"/>
      </w:pPr>
      <w:r>
        <w:rPr>
          <w:b/>
          <w:bCs/>
        </w:rPr>
        <w:t xml:space="preserve">User‑facing copy (example):</w:t>
      </w:r>
    </w:p>
    <w:p>
      <w:pPr>
        <w:pStyle w:val="BlockText"/>
      </w:pPr>
      <w:r>
        <w:rPr>
          <w:i/>
          <w:iCs/>
        </w:rPr>
        <w:t xml:space="preserve">Thank you for your request to delete your BecomingOS account. We’ve verified your identity and have started the deletion process. Under data‑protection laws we will delete your personal data (except any information we must retain to meet legal obligations) within one month. Once complete, we’ll confirm via email. Please note that this action is irreversible.</w:t>
      </w:r>
    </w:p>
    <w:p>
      <w:pPr>
        <w:pStyle w:val="FirstParagraph"/>
      </w:pPr>
      <w:r>
        <w:rPr>
          <w:b/>
          <w:bCs/>
        </w:rPr>
        <w:t xml:space="preserve">Internal notes:</w:t>
      </w:r>
      <w:r>
        <w:t xml:space="preserve"> </w:t>
      </w:r>
      <w:r>
        <w:t xml:space="preserve">Ensure cross‑system deletion (primary database, analytics logs, backups, third‑party services). If backups cannot be immediately erased, mark the user data “beyond use” until the backup expires</w:t>
      </w:r>
      <w:hyperlink r:id="rId41">
        <w:r>
          <w:rPr>
            <w:rStyle w:val="Hyperlink"/>
          </w:rPr>
          <w:t xml:space="preserve">[17]</w:t>
        </w:r>
      </w:hyperlink>
      <w:r>
        <w:t xml:space="preserve">.</w:t>
      </w:r>
    </w:p>
    <w:p>
      <w:pPr>
        <w:pStyle w:val="BodyText"/>
      </w:pPr>
      <w:r>
        <w:rPr>
          <w:b/>
          <w:bCs/>
        </w:rPr>
        <w:t xml:space="preserve">Escalation path:</w:t>
      </w:r>
      <w:r>
        <w:t xml:space="preserve"> </w:t>
      </w:r>
      <w:r>
        <w:t xml:space="preserve">Tier 2 → DPO for approval; Engineering executes deletion; Legal consulted if exceptions apply.</w:t>
      </w:r>
    </w:p>
    <w:p>
      <w:pPr>
        <w:pStyle w:val="BodyText"/>
      </w:pPr>
      <w:r>
        <w:rPr>
          <w:b/>
          <w:bCs/>
        </w:rPr>
        <w:t xml:space="preserve">SLA target:</w:t>
      </w:r>
      <w:r>
        <w:t xml:space="preserve"> </w:t>
      </w:r>
      <w:r>
        <w:t xml:space="preserve">Complete deletion within 30 days; confirm to user within 5 business days after completion.</w:t>
      </w:r>
    </w:p>
    <w:p>
      <w:pPr>
        <w:pStyle w:val="BodyText"/>
      </w:pPr>
      <w:r>
        <w:rPr>
          <w:b/>
          <w:bCs/>
        </w:rPr>
        <w:t xml:space="preserve">Required evidence/logs:</w:t>
      </w:r>
      <w:r>
        <w:t xml:space="preserve"> </w:t>
      </w:r>
      <w:r>
        <w:t xml:space="preserve">Identity verification record, deletion request ticket, list of systems where data was deleted, confirmation email, retention exceptions justification.</w:t>
      </w:r>
    </w:p>
    <w:bookmarkEnd w:id="42"/>
    <w:bookmarkStart w:id="48" w:name="data-export-access-workflow"/>
    <w:p>
      <w:pPr>
        <w:pStyle w:val="Heading3"/>
      </w:pPr>
      <w:r>
        <w:t xml:space="preserve">3 – Data Export (Access) Workflow</w:t>
      </w:r>
    </w:p>
    <w:p>
      <w:pPr>
        <w:pStyle w:val="FirstParagraph"/>
      </w:pPr>
      <w:r>
        <w:rPr>
          <w:b/>
          <w:bCs/>
        </w:rPr>
        <w:t xml:space="preserve">Trigger:</w:t>
      </w:r>
      <w:r>
        <w:t xml:space="preserve"> </w:t>
      </w:r>
      <w:r>
        <w:t xml:space="preserve">A user requests a copy of their personal data or a data subject access request (DSAR).</w:t>
      </w:r>
    </w:p>
    <w:p>
      <w:pPr>
        <w:pStyle w:val="BodyText"/>
      </w:pPr>
      <w:r>
        <w:rPr>
          <w:b/>
          <w:bCs/>
        </w:rPr>
        <w:t xml:space="preserve">Owner:</w:t>
      </w:r>
      <w:r>
        <w:t xml:space="preserve"> </w:t>
      </w:r>
      <w:r>
        <w:t xml:space="preserve">Tier 2 Support Specialist (with DPO oversight).</w:t>
      </w:r>
    </w:p>
    <w:p>
      <w:pPr>
        <w:pStyle w:val="BodyText"/>
      </w:pPr>
      <w:r>
        <w:rPr>
          <w:b/>
          <w:bCs/>
        </w:rPr>
        <w:t xml:space="preserve">Steps:</w:t>
      </w:r>
      <w:r>
        <w:t xml:space="preserve"> </w:t>
      </w:r>
      <w:r>
        <w:t xml:space="preserve">1.</w:t>
      </w:r>
      <w:r>
        <w:t xml:space="preserve"> </w:t>
      </w:r>
      <w:r>
        <w:rPr>
          <w:b/>
          <w:bCs/>
        </w:rPr>
        <w:t xml:space="preserve">Verify identity:</w:t>
      </w:r>
      <w:r>
        <w:t xml:space="preserve"> </w:t>
      </w:r>
      <w:r>
        <w:t xml:space="preserve">confirm the requestor’s identity using minimal necessary information</w:t>
      </w:r>
      <w:hyperlink r:id="rId35">
        <w:r>
          <w:rPr>
            <w:rStyle w:val="Hyperlink"/>
          </w:rPr>
          <w:t xml:space="preserve">[11]</w:t>
        </w:r>
      </w:hyperlink>
      <w:r>
        <w:t xml:space="preserve">.</w:t>
      </w:r>
      <w:r>
        <w:t xml:space="preserve"> </w:t>
      </w:r>
      <w:r>
        <w:t xml:space="preserve">2.</w:t>
      </w:r>
      <w:r>
        <w:t xml:space="preserve"> </w:t>
      </w:r>
      <w:r>
        <w:rPr>
          <w:b/>
          <w:bCs/>
        </w:rPr>
        <w:t xml:space="preserve">Log the request:</w:t>
      </w:r>
      <w:r>
        <w:t xml:space="preserve"> </w:t>
      </w:r>
      <w:r>
        <w:t xml:space="preserve">create a secure record with the request date, user ID, and identity verification steps</w:t>
      </w:r>
      <w:hyperlink r:id="rId35">
        <w:r>
          <w:rPr>
            <w:rStyle w:val="Hyperlink"/>
          </w:rPr>
          <w:t xml:space="preserve">[11]</w:t>
        </w:r>
      </w:hyperlink>
      <w:r>
        <w:t xml:space="preserve">.</w:t>
      </w:r>
      <w:r>
        <w:t xml:space="preserve"> </w:t>
      </w:r>
      <w:r>
        <w:t xml:space="preserve">3.</w:t>
      </w:r>
      <w:r>
        <w:t xml:space="preserve"> </w:t>
      </w:r>
      <w:r>
        <w:rPr>
          <w:b/>
          <w:bCs/>
        </w:rPr>
        <w:t xml:space="preserve">Acknowledge receipt:</w:t>
      </w:r>
      <w:r>
        <w:t xml:space="preserve"> </w:t>
      </w:r>
      <w:r>
        <w:t xml:space="preserve">inform the user that the request has been received and provide an estimated completion timeline (within one month; may extend by two months for complex cases)</w:t>
      </w:r>
      <w:hyperlink r:id="rId39">
        <w:r>
          <w:rPr>
            <w:rStyle w:val="Hyperlink"/>
          </w:rPr>
          <w:t xml:space="preserve">[15]</w:t>
        </w:r>
      </w:hyperlink>
      <w:hyperlink r:id="rId43">
        <w:r>
          <w:rPr>
            <w:rStyle w:val="Hyperlink"/>
          </w:rPr>
          <w:t xml:space="preserve">[18]</w:t>
        </w:r>
      </w:hyperlink>
      <w:r>
        <w:t xml:space="preserve">.</w:t>
      </w:r>
      <w:r>
        <w:t xml:space="preserve"> </w:t>
      </w:r>
      <w:r>
        <w:t xml:space="preserve">4.</w:t>
      </w:r>
      <w:r>
        <w:t xml:space="preserve"> </w:t>
      </w:r>
      <w:r>
        <w:rPr>
          <w:b/>
          <w:bCs/>
        </w:rPr>
        <w:t xml:space="preserve">Gather data:</w:t>
      </w:r>
      <w:r>
        <w:t xml:space="preserve"> </w:t>
      </w:r>
      <w:r>
        <w:t xml:space="preserve">collect copies of the user’s personal data from all relevant systems. Redact personal data of other individuals</w:t>
      </w:r>
      <w:hyperlink r:id="rId44">
        <w:r>
          <w:rPr>
            <w:rStyle w:val="Hyperlink"/>
          </w:rPr>
          <w:t xml:space="preserve">[19]</w:t>
        </w:r>
      </w:hyperlink>
      <w:r>
        <w:t xml:space="preserve">.</w:t>
      </w:r>
      <w:r>
        <w:t xml:space="preserve"> </w:t>
      </w:r>
      <w:r>
        <w:t xml:space="preserve">5.</w:t>
      </w:r>
      <w:r>
        <w:t xml:space="preserve"> </w:t>
      </w:r>
      <w:r>
        <w:rPr>
          <w:b/>
          <w:bCs/>
        </w:rPr>
        <w:t xml:space="preserve">Assess scope:</w:t>
      </w:r>
      <w:r>
        <w:t xml:space="preserve"> </w:t>
      </w:r>
      <w:r>
        <w:t xml:space="preserve">ensure no confidential intellectual property or trade secrets are inadvertently shared. For requests deemed excessive or unfounded, discuss with DPO and, if necessary, charge a reasonable administrative fee</w:t>
      </w:r>
      <w:hyperlink r:id="rId45">
        <w:r>
          <w:rPr>
            <w:rStyle w:val="Hyperlink"/>
          </w:rPr>
          <w:t xml:space="preserve">[20]</w:t>
        </w:r>
      </w:hyperlink>
      <w:hyperlink r:id="rId46">
        <w:r>
          <w:rPr>
            <w:rStyle w:val="Hyperlink"/>
          </w:rPr>
          <w:t xml:space="preserve">[21]</w:t>
        </w:r>
      </w:hyperlink>
      <w:r>
        <w:t xml:space="preserve">.</w:t>
      </w:r>
      <w:r>
        <w:t xml:space="preserve"> </w:t>
      </w:r>
      <w:r>
        <w:t xml:space="preserve">6.</w:t>
      </w:r>
      <w:r>
        <w:t xml:space="preserve"> </w:t>
      </w:r>
      <w:r>
        <w:rPr>
          <w:b/>
          <w:bCs/>
        </w:rPr>
        <w:t xml:space="preserve">Compile package:</w:t>
      </w:r>
      <w:r>
        <w:t xml:space="preserve"> </w:t>
      </w:r>
      <w:r>
        <w:t xml:space="preserve">generate a structured, commonly used electronic format (e.g., JSON or CSV) with user data and include a copy of the privacy policy summarising processing purposes and storage durations</w:t>
      </w:r>
      <w:hyperlink r:id="rId47">
        <w:r>
          <w:rPr>
            <w:rStyle w:val="Hyperlink"/>
          </w:rPr>
          <w:t xml:space="preserve">[22]</w:t>
        </w:r>
      </w:hyperlink>
      <w:r>
        <w:t xml:space="preserve">.</w:t>
      </w:r>
      <w:r>
        <w:t xml:space="preserve"> </w:t>
      </w:r>
      <w:r>
        <w:t xml:space="preserve">7.</w:t>
      </w:r>
      <w:r>
        <w:t xml:space="preserve"> </w:t>
      </w:r>
      <w:r>
        <w:rPr>
          <w:b/>
          <w:bCs/>
        </w:rPr>
        <w:t xml:space="preserve">Deliver data:</w:t>
      </w:r>
      <w:r>
        <w:t xml:space="preserve"> </w:t>
      </w:r>
      <w:r>
        <w:t xml:space="preserve">securely transmit the data package to the user via the same channel used for verification or a secure link. Provide instructions for accessing and understanding the data.</w:t>
      </w:r>
      <w:r>
        <w:t xml:space="preserve"> </w:t>
      </w:r>
      <w:r>
        <w:t xml:space="preserve">8.</w:t>
      </w:r>
      <w:r>
        <w:t xml:space="preserve"> </w:t>
      </w:r>
      <w:r>
        <w:rPr>
          <w:b/>
          <w:bCs/>
        </w:rPr>
        <w:t xml:space="preserve">Log completion:</w:t>
      </w:r>
      <w:r>
        <w:t xml:space="preserve"> </w:t>
      </w:r>
      <w:r>
        <w:t xml:space="preserve">record the delivery date and any user feedback. Close the ticket.</w:t>
      </w:r>
    </w:p>
    <w:p>
      <w:pPr>
        <w:pStyle w:val="BodyText"/>
      </w:pPr>
      <w:r>
        <w:rPr>
          <w:b/>
          <w:bCs/>
        </w:rPr>
        <w:t xml:space="preserve">User‑facing copy (example):</w:t>
      </w:r>
    </w:p>
    <w:p>
      <w:pPr>
        <w:pStyle w:val="BlockText"/>
      </w:pPr>
      <w:r>
        <w:rPr>
          <w:i/>
          <w:iCs/>
        </w:rPr>
        <w:t xml:space="preserve">We’ve received your request to obtain a copy of your personal data. After verifying your identity, we’ll prepare and send your data within one month as required by data‑protection laws. If your request is complex, we may require additional time and will inform you accordingly.</w:t>
      </w:r>
    </w:p>
    <w:p>
      <w:pPr>
        <w:pStyle w:val="FirstParagraph"/>
      </w:pPr>
      <w:r>
        <w:rPr>
          <w:b/>
          <w:bCs/>
        </w:rPr>
        <w:t xml:space="preserve">Internal notes:</w:t>
      </w:r>
      <w:r>
        <w:t xml:space="preserve"> </w:t>
      </w:r>
      <w:r>
        <w:t xml:space="preserve">Ensure data is only sent after identity verification. If the request spans multiple systems, coordinate with engineering. Document reasons if an extension or fee is applied. Provide redaction logs.</w:t>
      </w:r>
    </w:p>
    <w:p>
      <w:pPr>
        <w:pStyle w:val="BodyText"/>
      </w:pPr>
      <w:r>
        <w:rPr>
          <w:b/>
          <w:bCs/>
        </w:rPr>
        <w:t xml:space="preserve">Escalation path:</w:t>
      </w:r>
      <w:r>
        <w:t xml:space="preserve"> </w:t>
      </w:r>
      <w:r>
        <w:t xml:space="preserve">Tier 2 → DPO; if technical assistance needed, engage engineering.</w:t>
      </w:r>
    </w:p>
    <w:p>
      <w:pPr>
        <w:pStyle w:val="BodyText"/>
      </w:pPr>
      <w:r>
        <w:rPr>
          <w:b/>
          <w:bCs/>
        </w:rPr>
        <w:t xml:space="preserve">SLA target:</w:t>
      </w:r>
      <w:r>
        <w:t xml:space="preserve"> </w:t>
      </w:r>
      <w:r>
        <w:t xml:space="preserve">Provide data within 30 days; possible extension to 90 days for complex requests with user notification.</w:t>
      </w:r>
    </w:p>
    <w:p>
      <w:pPr>
        <w:pStyle w:val="BodyText"/>
      </w:pPr>
      <w:r>
        <w:rPr>
          <w:b/>
          <w:bCs/>
        </w:rPr>
        <w:t xml:space="preserve">Required evidence/logs:</w:t>
      </w:r>
      <w:r>
        <w:t xml:space="preserve"> </w:t>
      </w:r>
      <w:r>
        <w:t xml:space="preserve">Identity verification record, data collected, redaction notes, communication records and final data package.</w:t>
      </w:r>
    </w:p>
    <w:bookmarkEnd w:id="48"/>
    <w:bookmarkStart w:id="49" w:name="consent-revocation-workflow"/>
    <w:p>
      <w:pPr>
        <w:pStyle w:val="Heading3"/>
      </w:pPr>
      <w:r>
        <w:t xml:space="preserve">4 – Consent Revocation Workflow</w:t>
      </w:r>
    </w:p>
    <w:p>
      <w:pPr>
        <w:pStyle w:val="FirstParagraph"/>
      </w:pPr>
      <w:r>
        <w:rPr>
          <w:b/>
          <w:bCs/>
        </w:rPr>
        <w:t xml:space="preserve">Trigger:</w:t>
      </w:r>
      <w:r>
        <w:t xml:space="preserve"> </w:t>
      </w:r>
      <w:r>
        <w:t xml:space="preserve">User withdraws consent for specific data processing or marketing communication.</w:t>
      </w:r>
    </w:p>
    <w:p>
      <w:pPr>
        <w:pStyle w:val="BodyText"/>
      </w:pPr>
      <w:r>
        <w:rPr>
          <w:b/>
          <w:bCs/>
        </w:rPr>
        <w:t xml:space="preserve">Owner:</w:t>
      </w:r>
      <w:r>
        <w:t xml:space="preserve"> </w:t>
      </w:r>
      <w:r>
        <w:t xml:space="preserve">Tier 2 Support Specialist.</w:t>
      </w:r>
    </w:p>
    <w:p>
      <w:pPr>
        <w:pStyle w:val="BodyText"/>
      </w:pPr>
      <w:r>
        <w:rPr>
          <w:b/>
          <w:bCs/>
        </w:rPr>
        <w:t xml:space="preserve">Steps:</w:t>
      </w:r>
      <w:r>
        <w:t xml:space="preserve"> </w:t>
      </w:r>
      <w:r>
        <w:t xml:space="preserve">1.</w:t>
      </w:r>
      <w:r>
        <w:t xml:space="preserve"> </w:t>
      </w:r>
      <w:r>
        <w:rPr>
          <w:b/>
          <w:bCs/>
        </w:rPr>
        <w:t xml:space="preserve">Confirm request:</w:t>
      </w:r>
      <w:r>
        <w:t xml:space="preserve"> </w:t>
      </w:r>
      <w:r>
        <w:t xml:space="preserve">verify the user’s identity and the scope of consent being withdrawn (e.g., email marketing, data processing for analytics).</w:t>
      </w:r>
      <w:r>
        <w:t xml:space="preserve"> </w:t>
      </w:r>
      <w:r>
        <w:t xml:space="preserve">2.</w:t>
      </w:r>
      <w:r>
        <w:t xml:space="preserve"> </w:t>
      </w:r>
      <w:r>
        <w:rPr>
          <w:b/>
          <w:bCs/>
        </w:rPr>
        <w:t xml:space="preserve">Log request:</w:t>
      </w:r>
      <w:r>
        <w:t xml:space="preserve"> </w:t>
      </w:r>
      <w:r>
        <w:t xml:space="preserve">record details in the ticketing system with timestamps.</w:t>
      </w:r>
      <w:r>
        <w:t xml:space="preserve"> </w:t>
      </w:r>
      <w:r>
        <w:t xml:space="preserve">3.</w:t>
      </w:r>
      <w:r>
        <w:t xml:space="preserve"> </w:t>
      </w:r>
      <w:r>
        <w:rPr>
          <w:b/>
          <w:bCs/>
        </w:rPr>
        <w:t xml:space="preserve">Update systems:</w:t>
      </w:r>
      <w:r>
        <w:t xml:space="preserve"> </w:t>
      </w:r>
      <w:r>
        <w:t xml:space="preserve">remove or update consent flags in the user’s profile across all systems (marketing tools, analytics, CRM). Stop the processing activities covered by the revoked consent.</w:t>
      </w:r>
      <w:r>
        <w:t xml:space="preserve"> </w:t>
      </w:r>
      <w:r>
        <w:t xml:space="preserve">4.</w:t>
      </w:r>
      <w:r>
        <w:t xml:space="preserve"> </w:t>
      </w:r>
      <w:r>
        <w:rPr>
          <w:b/>
          <w:bCs/>
        </w:rPr>
        <w:t xml:space="preserve">Notify third parties:</w:t>
      </w:r>
      <w:r>
        <w:t xml:space="preserve"> </w:t>
      </w:r>
      <w:r>
        <w:t xml:space="preserve">inform any processors who rely on the user’s consent that it has been withdrawn so they can cease processing.</w:t>
      </w:r>
      <w:r>
        <w:t xml:space="preserve"> </w:t>
      </w:r>
      <w:r>
        <w:t xml:space="preserve">5.</w:t>
      </w:r>
      <w:r>
        <w:t xml:space="preserve"> </w:t>
      </w:r>
      <w:r>
        <w:rPr>
          <w:b/>
          <w:bCs/>
        </w:rPr>
        <w:t xml:space="preserve">Confirm with user:</w:t>
      </w:r>
      <w:r>
        <w:t xml:space="preserve"> </w:t>
      </w:r>
      <w:r>
        <w:t xml:space="preserve">send confirmation that consent has been revoked and specify what services will no longer be available if applicable.</w:t>
      </w:r>
      <w:r>
        <w:t xml:space="preserve"> </w:t>
      </w:r>
      <w:r>
        <w:t xml:space="preserve">6.</w:t>
      </w:r>
      <w:r>
        <w:t xml:space="preserve"> </w:t>
      </w:r>
      <w:r>
        <w:rPr>
          <w:b/>
          <w:bCs/>
        </w:rPr>
        <w:t xml:space="preserve">Maintain record:</w:t>
      </w:r>
      <w:r>
        <w:t xml:space="preserve"> </w:t>
      </w:r>
      <w:r>
        <w:t xml:space="preserve">keep a record of consent withdrawal for compliance and future audits.</w:t>
      </w:r>
    </w:p>
    <w:p>
      <w:pPr>
        <w:pStyle w:val="BodyText"/>
      </w:pPr>
      <w:r>
        <w:rPr>
          <w:b/>
          <w:bCs/>
        </w:rPr>
        <w:t xml:space="preserve">User‑facing copy (example):</w:t>
      </w:r>
    </w:p>
    <w:p>
      <w:pPr>
        <w:pStyle w:val="BlockText"/>
      </w:pPr>
      <w:r>
        <w:rPr>
          <w:i/>
          <w:iCs/>
        </w:rPr>
        <w:t xml:space="preserve">Your request to withdraw consent has been processed. We have updated our records to ensure your data is no longer used for the specified purposes. You may continue to use BecomingOS; however, certain features may require consent to function.</w:t>
      </w:r>
    </w:p>
    <w:p>
      <w:pPr>
        <w:pStyle w:val="FirstParagraph"/>
      </w:pPr>
      <w:r>
        <w:rPr>
          <w:b/>
          <w:bCs/>
        </w:rPr>
        <w:t xml:space="preserve">Internal notes:</w:t>
      </w:r>
      <w:r>
        <w:t xml:space="preserve"> </w:t>
      </w:r>
      <w:r>
        <w:t xml:space="preserve">Withdrawal of consent does not require deletion of data unless explicitly requested. Ensure communication logs are retained to demonstrate compliance.</w:t>
      </w:r>
    </w:p>
    <w:p>
      <w:pPr>
        <w:pStyle w:val="BodyText"/>
      </w:pPr>
      <w:r>
        <w:rPr>
          <w:b/>
          <w:bCs/>
        </w:rPr>
        <w:t xml:space="preserve">Escalation path:</w:t>
      </w:r>
      <w:r>
        <w:t xml:space="preserve"> </w:t>
      </w:r>
      <w:r>
        <w:t xml:space="preserve">Tier 2 → DPO if the request impacts core operations or triggers legal questions.</w:t>
      </w:r>
    </w:p>
    <w:p>
      <w:pPr>
        <w:pStyle w:val="BodyText"/>
      </w:pPr>
      <w:r>
        <w:rPr>
          <w:b/>
          <w:bCs/>
        </w:rPr>
        <w:t xml:space="preserve">SLA target:</w:t>
      </w:r>
      <w:r>
        <w:t xml:space="preserve"> </w:t>
      </w:r>
      <w:r>
        <w:t xml:space="preserve">Process within 5 business days.</w:t>
      </w:r>
    </w:p>
    <w:p>
      <w:pPr>
        <w:pStyle w:val="BodyText"/>
      </w:pPr>
      <w:r>
        <w:rPr>
          <w:b/>
          <w:bCs/>
        </w:rPr>
        <w:t xml:space="preserve">Required evidence/logs:</w:t>
      </w:r>
      <w:r>
        <w:t xml:space="preserve"> </w:t>
      </w:r>
      <w:r>
        <w:t xml:space="preserve">Consent withdrawal record, system updates, confirmation communication.</w:t>
      </w:r>
    </w:p>
    <w:bookmarkEnd w:id="49"/>
    <w:bookmarkStart w:id="55" w:name="ai-safety-incident-workflow"/>
    <w:p>
      <w:pPr>
        <w:pStyle w:val="Heading3"/>
      </w:pPr>
      <w:r>
        <w:t xml:space="preserve">5 – AI Safety Incident Workflow</w:t>
      </w:r>
    </w:p>
    <w:p>
      <w:pPr>
        <w:pStyle w:val="FirstParagraph"/>
      </w:pPr>
      <w:r>
        <w:rPr>
          <w:b/>
          <w:bCs/>
        </w:rPr>
        <w:t xml:space="preserve">Trigger:</w:t>
      </w:r>
      <w:r>
        <w:t xml:space="preserve"> </w:t>
      </w:r>
      <w:r>
        <w:t xml:space="preserve">Any incident where an AI component within BecomingOS behaves unexpectedly (e.g., generates harmful content, leaks personal data, or is subject to malicious input) or a vulnerability is discovered.</w:t>
      </w:r>
    </w:p>
    <w:p>
      <w:pPr>
        <w:pStyle w:val="BodyText"/>
      </w:pPr>
      <w:r>
        <w:rPr>
          <w:b/>
          <w:bCs/>
        </w:rPr>
        <w:t xml:space="preserve">Owner:</w:t>
      </w:r>
      <w:r>
        <w:t xml:space="preserve"> </w:t>
      </w:r>
      <w:r>
        <w:t xml:space="preserve">Security Lead with participation from Tier 2 and Engineering; DPO and Legal as needed.</w:t>
      </w:r>
    </w:p>
    <w:p>
      <w:pPr>
        <w:pStyle w:val="BodyText"/>
      </w:pPr>
      <w:r>
        <w:rPr>
          <w:b/>
          <w:bCs/>
        </w:rPr>
        <w:t xml:space="preserve">Steps:</w:t>
      </w:r>
      <w:r>
        <w:t xml:space="preserve"> </w:t>
      </w:r>
      <w:r>
        <w:t xml:space="preserve">1.</w:t>
      </w:r>
      <w:r>
        <w:t xml:space="preserve"> </w:t>
      </w:r>
      <w:r>
        <w:rPr>
          <w:b/>
          <w:bCs/>
        </w:rPr>
        <w:t xml:space="preserve">Detect and log:</w:t>
      </w:r>
      <w:r>
        <w:t xml:space="preserve"> </w:t>
      </w:r>
      <w:r>
        <w:t xml:space="preserve">monitor AI systems for anomalies or user reports. Document the incident (time, scope, impact, AI component) in the incident register.</w:t>
      </w:r>
      <w:r>
        <w:t xml:space="preserve"> </w:t>
      </w:r>
      <w:r>
        <w:t xml:space="preserve">2.</w:t>
      </w:r>
      <w:r>
        <w:t xml:space="preserve"> </w:t>
      </w:r>
      <w:r>
        <w:rPr>
          <w:b/>
          <w:bCs/>
        </w:rPr>
        <w:t xml:space="preserve">Classify severity:</w:t>
      </w:r>
      <w:r>
        <w:t xml:space="preserve"> </w:t>
      </w:r>
      <w:r>
        <w:t xml:space="preserve">assign an incident severity level using the matrix above. AI incidents often involve data leaks, bias or harm; treat as SEV 1/2 if user safety or data exposure is involved</w:t>
      </w:r>
      <w:hyperlink r:id="rId28">
        <w:r>
          <w:rPr>
            <w:rStyle w:val="Hyperlink"/>
          </w:rPr>
          <w:t xml:space="preserve">[6]</w:t>
        </w:r>
      </w:hyperlink>
      <w:hyperlink r:id="rId29">
        <w:r>
          <w:rPr>
            <w:rStyle w:val="Hyperlink"/>
          </w:rPr>
          <w:t xml:space="preserve">[23]</w:t>
        </w:r>
      </w:hyperlink>
      <w:r>
        <w:t xml:space="preserve">.</w:t>
      </w:r>
      <w:r>
        <w:t xml:space="preserve"> </w:t>
      </w:r>
      <w:r>
        <w:t xml:space="preserve">3.</w:t>
      </w:r>
      <w:r>
        <w:t xml:space="preserve"> </w:t>
      </w:r>
      <w:r>
        <w:rPr>
          <w:b/>
          <w:bCs/>
        </w:rPr>
        <w:t xml:space="preserve">Assemble interdisciplinary team:</w:t>
      </w:r>
      <w:r>
        <w:t xml:space="preserve"> </w:t>
      </w:r>
      <w:r>
        <w:t xml:space="preserve">include engineering, security, DPO, product managers and subject matter experts as AI incidents require broad expertise</w:t>
      </w:r>
      <w:hyperlink r:id="rId50">
        <w:r>
          <w:rPr>
            <w:rStyle w:val="Hyperlink"/>
          </w:rPr>
          <w:t xml:space="preserve">[24]</w:t>
        </w:r>
      </w:hyperlink>
      <w:r>
        <w:t xml:space="preserve">.</w:t>
      </w:r>
      <w:r>
        <w:t xml:space="preserve"> </w:t>
      </w:r>
      <w:r>
        <w:t xml:space="preserve">4.</w:t>
      </w:r>
      <w:r>
        <w:t xml:space="preserve"> </w:t>
      </w:r>
      <w:r>
        <w:rPr>
          <w:b/>
          <w:bCs/>
        </w:rPr>
        <w:t xml:space="preserve">Contain and isolate:</w:t>
      </w:r>
      <w:r>
        <w:t xml:space="preserve"> </w:t>
      </w:r>
      <w:r>
        <w:t xml:space="preserve">if the AI system is actively producing harm or leaking data, isolate or disable it (“kill switch”) to prevent further impact</w:t>
      </w:r>
      <w:hyperlink r:id="rId51">
        <w:r>
          <w:rPr>
            <w:rStyle w:val="Hyperlink"/>
          </w:rPr>
          <w:t xml:space="preserve">[25]</w:t>
        </w:r>
      </w:hyperlink>
      <w:r>
        <w:t xml:space="preserve">.</w:t>
      </w:r>
      <w:r>
        <w:t xml:space="preserve"> </w:t>
      </w:r>
      <w:r>
        <w:t xml:space="preserve">5.</w:t>
      </w:r>
      <w:r>
        <w:t xml:space="preserve"> </w:t>
      </w:r>
      <w:r>
        <w:rPr>
          <w:b/>
          <w:bCs/>
        </w:rPr>
        <w:t xml:space="preserve">Investigate root cause:</w:t>
      </w:r>
      <w:r>
        <w:t xml:space="preserve"> </w:t>
      </w:r>
      <w:r>
        <w:t xml:space="preserve">collect logs, examine prompts and responses, check for prompt injection or model degradation. Verify training data sources and identify vulnerabilities.</w:t>
      </w:r>
      <w:r>
        <w:t xml:space="preserve"> </w:t>
      </w:r>
      <w:r>
        <w:t xml:space="preserve">6.</w:t>
      </w:r>
      <w:r>
        <w:t xml:space="preserve"> </w:t>
      </w:r>
      <w:r>
        <w:rPr>
          <w:b/>
          <w:bCs/>
        </w:rPr>
        <w:t xml:space="preserve">Assess harm and notify:</w:t>
      </w:r>
      <w:r>
        <w:t xml:space="preserve"> </w:t>
      </w:r>
      <w:r>
        <w:t xml:space="preserve">evaluate whether personal data was exposed or users were harmed. If privacy is impacted, follow the Privacy Incident Workflow. If content is harmful to the user’s wellbeing, apply the Crisis Escalation Boundary Workflow and update safety filters.</w:t>
      </w:r>
      <w:r>
        <w:t xml:space="preserve"> </w:t>
      </w:r>
      <w:r>
        <w:t xml:space="preserve">7.</w:t>
      </w:r>
      <w:r>
        <w:t xml:space="preserve"> </w:t>
      </w:r>
      <w:r>
        <w:rPr>
          <w:b/>
          <w:bCs/>
        </w:rPr>
        <w:t xml:space="preserve">Remediate:</w:t>
      </w:r>
      <w:r>
        <w:t xml:space="preserve"> </w:t>
      </w:r>
      <w:r>
        <w:t xml:space="preserve">patch the model, update filters or training data, and implement technical controls (e.g., rate limits, input validation)</w:t>
      </w:r>
      <w:hyperlink r:id="rId52">
        <w:r>
          <w:rPr>
            <w:rStyle w:val="Hyperlink"/>
          </w:rPr>
          <w:t xml:space="preserve">[26]</w:t>
        </w:r>
      </w:hyperlink>
      <w:r>
        <w:t xml:space="preserve">.</w:t>
      </w:r>
      <w:r>
        <w:t xml:space="preserve"> </w:t>
      </w:r>
      <w:r>
        <w:t xml:space="preserve">8.</w:t>
      </w:r>
      <w:r>
        <w:t xml:space="preserve"> </w:t>
      </w:r>
      <w:r>
        <w:rPr>
          <w:b/>
          <w:bCs/>
        </w:rPr>
        <w:t xml:space="preserve">Document and learn:</w:t>
      </w:r>
      <w:r>
        <w:t xml:space="preserve"> </w:t>
      </w:r>
      <w:r>
        <w:t xml:space="preserve">record the incident details, actions taken and lessons learned in the incident register. Update AI development policies and safety tests to prevent recurrence</w:t>
      </w:r>
      <w:hyperlink r:id="rId53">
        <w:r>
          <w:rPr>
            <w:rStyle w:val="Hyperlink"/>
          </w:rPr>
          <w:t xml:space="preserve">[27]</w:t>
        </w:r>
      </w:hyperlink>
      <w:r>
        <w:t xml:space="preserve">.</w:t>
      </w:r>
    </w:p>
    <w:p>
      <w:pPr>
        <w:pStyle w:val="BodyText"/>
      </w:pPr>
      <w:r>
        <w:rPr>
          <w:b/>
          <w:bCs/>
        </w:rPr>
        <w:t xml:space="preserve">User‑facing copy (example) for exposed users:</w:t>
      </w:r>
    </w:p>
    <w:p>
      <w:pPr>
        <w:pStyle w:val="BlockText"/>
      </w:pPr>
      <w:r>
        <w:rPr>
          <w:i/>
          <w:iCs/>
        </w:rPr>
        <w:t xml:space="preserve">We identified an issue affecting our AI output that may have exposed or generated inappropriate information. We have taken immediate steps to contain the issue and are conducting a thorough investigation. Your privacy and safety are our top priority, and we will update you once remediation is complete.</w:t>
      </w:r>
    </w:p>
    <w:p>
      <w:pPr>
        <w:pStyle w:val="FirstParagraph"/>
      </w:pPr>
      <w:r>
        <w:rPr>
          <w:b/>
          <w:bCs/>
        </w:rPr>
        <w:t xml:space="preserve">Internal notes:</w:t>
      </w:r>
      <w:r>
        <w:t xml:space="preserve"> </w:t>
      </w:r>
      <w:r>
        <w:t xml:space="preserve">Document AI system inventory and baselines for monitoring</w:t>
      </w:r>
      <w:hyperlink r:id="rId51">
        <w:r>
          <w:rPr>
            <w:rStyle w:val="Hyperlink"/>
          </w:rPr>
          <w:t xml:space="preserve">[25]</w:t>
        </w:r>
      </w:hyperlink>
      <w:r>
        <w:t xml:space="preserve">. Keep humans in the loop when decisions are made to ensure safe shutdown and update processes</w:t>
      </w:r>
      <w:hyperlink r:id="rId54">
        <w:r>
          <w:rPr>
            <w:rStyle w:val="Hyperlink"/>
          </w:rPr>
          <w:t xml:space="preserve">[28]</w:t>
        </w:r>
      </w:hyperlink>
      <w:r>
        <w:t xml:space="preserve">.</w:t>
      </w:r>
    </w:p>
    <w:p>
      <w:pPr>
        <w:pStyle w:val="BodyText"/>
      </w:pPr>
      <w:r>
        <w:rPr>
          <w:b/>
          <w:bCs/>
        </w:rPr>
        <w:t xml:space="preserve">Escalation path:</w:t>
      </w:r>
      <w:r>
        <w:t xml:space="preserve"> </w:t>
      </w:r>
      <w:r>
        <w:t xml:space="preserve">Security Lead → Engineering, DPO, Legal and Executive depending on severity.</w:t>
      </w:r>
    </w:p>
    <w:p>
      <w:pPr>
        <w:pStyle w:val="BodyText"/>
      </w:pPr>
      <w:r>
        <w:rPr>
          <w:b/>
          <w:bCs/>
        </w:rPr>
        <w:t xml:space="preserve">SLA target:</w:t>
      </w:r>
      <w:r>
        <w:t xml:space="preserve"> </w:t>
      </w:r>
      <w:r>
        <w:t xml:space="preserve">SEV 1: initiate within 15 minutes; SEV 2: within 1 hour; SEV 3: same day.</w:t>
      </w:r>
    </w:p>
    <w:p>
      <w:pPr>
        <w:pStyle w:val="BodyText"/>
      </w:pPr>
      <w:r>
        <w:rPr>
          <w:b/>
          <w:bCs/>
        </w:rPr>
        <w:t xml:space="preserve">Required evidence/logs:</w:t>
      </w:r>
      <w:r>
        <w:t xml:space="preserve"> </w:t>
      </w:r>
      <w:r>
        <w:t xml:space="preserve">AI system logs, anomaly reports, root cause analysis, containment actions, communications, policy updates.</w:t>
      </w:r>
    </w:p>
    <w:bookmarkEnd w:id="55"/>
    <w:bookmarkStart w:id="56" w:name="privacy-incident-workflow"/>
    <w:p>
      <w:pPr>
        <w:pStyle w:val="Heading3"/>
      </w:pPr>
      <w:r>
        <w:t xml:space="preserve">6 – Privacy Incident Workflow</w:t>
      </w:r>
    </w:p>
    <w:p>
      <w:pPr>
        <w:pStyle w:val="FirstParagraph"/>
      </w:pPr>
      <w:r>
        <w:rPr>
          <w:b/>
          <w:bCs/>
        </w:rPr>
        <w:t xml:space="preserve">Trigger:</w:t>
      </w:r>
      <w:r>
        <w:t xml:space="preserve"> </w:t>
      </w:r>
      <w:r>
        <w:t xml:space="preserve">Any event involving the unauthorised access, disclosure, or misuse of personal data (e.g., data breach, accidental exposure, unauthorized third‑party access).</w:t>
      </w:r>
    </w:p>
    <w:p>
      <w:pPr>
        <w:pStyle w:val="BodyText"/>
      </w:pPr>
      <w:r>
        <w:rPr>
          <w:b/>
          <w:bCs/>
        </w:rPr>
        <w:t xml:space="preserve">Owner:</w:t>
      </w:r>
      <w:r>
        <w:t xml:space="preserve"> </w:t>
      </w:r>
      <w:r>
        <w:t xml:space="preserve">DPO with support from Security Lead and Legal.</w:t>
      </w:r>
    </w:p>
    <w:p>
      <w:pPr>
        <w:pStyle w:val="BodyText"/>
      </w:pPr>
      <w:r>
        <w:rPr>
          <w:b/>
          <w:bCs/>
        </w:rPr>
        <w:t xml:space="preserve">Steps:</w:t>
      </w:r>
      <w:r>
        <w:t xml:space="preserve"> </w:t>
      </w:r>
      <w:r>
        <w:t xml:space="preserve">1.</w:t>
      </w:r>
      <w:r>
        <w:t xml:space="preserve"> </w:t>
      </w:r>
      <w:r>
        <w:rPr>
          <w:b/>
          <w:bCs/>
        </w:rPr>
        <w:t xml:space="preserve">Detect and contain:</w:t>
      </w:r>
      <w:r>
        <w:t xml:space="preserve"> </w:t>
      </w:r>
      <w:r>
        <w:t xml:space="preserve">identify the scope of the incident and secure systems to prevent further exposure.</w:t>
      </w:r>
      <w:r>
        <w:t xml:space="preserve"> </w:t>
      </w:r>
      <w:r>
        <w:t xml:space="preserve">2.</w:t>
      </w:r>
      <w:r>
        <w:t xml:space="preserve"> </w:t>
      </w:r>
      <w:r>
        <w:rPr>
          <w:b/>
          <w:bCs/>
        </w:rPr>
        <w:t xml:space="preserve">Classify severity:</w:t>
      </w:r>
      <w:r>
        <w:t xml:space="preserve"> </w:t>
      </w:r>
      <w:r>
        <w:t xml:space="preserve">assign a severity level (SEV 1 for large breaches, SEV 2 for limited exposure). Follow the escalation matrix.</w:t>
      </w:r>
      <w:r>
        <w:t xml:space="preserve"> </w:t>
      </w:r>
      <w:r>
        <w:t xml:space="preserve">3.</w:t>
      </w:r>
      <w:r>
        <w:t xml:space="preserve"> </w:t>
      </w:r>
      <w:r>
        <w:rPr>
          <w:b/>
          <w:bCs/>
        </w:rPr>
        <w:t xml:space="preserve">Assess impact and obligations:</w:t>
      </w:r>
      <w:r>
        <w:t xml:space="preserve"> </w:t>
      </w:r>
      <w:r>
        <w:t xml:space="preserve">determine what categories of personal data are involved, how many users are affected and which regulatory jurisdictions apply.</w:t>
      </w:r>
      <w:r>
        <w:t xml:space="preserve"> </w:t>
      </w:r>
      <w:r>
        <w:t xml:space="preserve">4.</w:t>
      </w:r>
      <w:r>
        <w:t xml:space="preserve"> </w:t>
      </w:r>
      <w:r>
        <w:rPr>
          <w:b/>
          <w:bCs/>
        </w:rPr>
        <w:t xml:space="preserve">Notify stakeholders:</w:t>
      </w:r>
      <w:r>
        <w:t xml:space="preserve"> </w:t>
      </w:r>
      <w:r>
        <w:t xml:space="preserve">inform executive leadership and legal counsel. Determine whether regulatory bodies (e.g., privacy commissioners) and affected users must be notified. Under many laws, affected individuals must be notified without undue delay.</w:t>
      </w:r>
      <w:r>
        <w:t xml:space="preserve"> </w:t>
      </w:r>
      <w:r>
        <w:t xml:space="preserve">5.</w:t>
      </w:r>
      <w:r>
        <w:t xml:space="preserve"> </w:t>
      </w:r>
      <w:r>
        <w:rPr>
          <w:b/>
          <w:bCs/>
        </w:rPr>
        <w:t xml:space="preserve">Conduct root‑cause investigation:</w:t>
      </w:r>
      <w:r>
        <w:t xml:space="preserve"> </w:t>
      </w:r>
      <w:r>
        <w:t xml:space="preserve">identify how the breach occurred (e.g., misconfiguration, insider threat) and implement remediation.</w:t>
      </w:r>
      <w:r>
        <w:t xml:space="preserve"> </w:t>
      </w:r>
      <w:r>
        <w:t xml:space="preserve">6.</w:t>
      </w:r>
      <w:r>
        <w:t xml:space="preserve"> </w:t>
      </w:r>
      <w:r>
        <w:rPr>
          <w:b/>
          <w:bCs/>
        </w:rPr>
        <w:t xml:space="preserve">Communicate with users:</w:t>
      </w:r>
      <w:r>
        <w:t xml:space="preserve"> </w:t>
      </w:r>
      <w:r>
        <w:t xml:space="preserve">provide transparent information about what happened, what data was involved, actions taken, and recommended steps for users. Avoid technical jargon.</w:t>
      </w:r>
      <w:r>
        <w:t xml:space="preserve"> </w:t>
      </w:r>
      <w:r>
        <w:t xml:space="preserve">7.</w:t>
      </w:r>
      <w:r>
        <w:t xml:space="preserve"> </w:t>
      </w:r>
      <w:r>
        <w:rPr>
          <w:b/>
          <w:bCs/>
        </w:rPr>
        <w:t xml:space="preserve">Record and review:</w:t>
      </w:r>
      <w:r>
        <w:t xml:space="preserve"> </w:t>
      </w:r>
      <w:r>
        <w:t xml:space="preserve">document incident details, actions, communications and lessons learned in the incident register and update security controls.</w:t>
      </w:r>
    </w:p>
    <w:p>
      <w:pPr>
        <w:pStyle w:val="BodyText"/>
      </w:pPr>
      <w:r>
        <w:rPr>
          <w:b/>
          <w:bCs/>
        </w:rPr>
        <w:t xml:space="preserve">User‑facing copy (example):</w:t>
      </w:r>
    </w:p>
    <w:p>
      <w:pPr>
        <w:pStyle w:val="BlockText"/>
      </w:pPr>
      <w:r>
        <w:rPr>
          <w:i/>
          <w:iCs/>
        </w:rPr>
        <w:t xml:space="preserve">We recently discovered a security issue that may have exposed some of your personal data. We have secured our systems and are investigating. We will contact you with more details as soon as possible, including steps you can take to protect yourself. We apologize for any inconvenience.</w:t>
      </w:r>
    </w:p>
    <w:p>
      <w:pPr>
        <w:pStyle w:val="FirstParagraph"/>
      </w:pPr>
      <w:r>
        <w:rPr>
          <w:b/>
          <w:bCs/>
        </w:rPr>
        <w:t xml:space="preserve">Internal notes:</w:t>
      </w:r>
      <w:r>
        <w:t xml:space="preserve"> </w:t>
      </w:r>
      <w:r>
        <w:t xml:space="preserve">All notifications must be approved by legal. If the breach involves cross‑border users, consider differing notification timelines. Provide facts only; avoid speculation.</w:t>
      </w:r>
    </w:p>
    <w:p>
      <w:pPr>
        <w:pStyle w:val="BodyText"/>
      </w:pPr>
      <w:r>
        <w:rPr>
          <w:b/>
          <w:bCs/>
        </w:rPr>
        <w:t xml:space="preserve">Escalation path:</w:t>
      </w:r>
      <w:r>
        <w:t xml:space="preserve"> </w:t>
      </w:r>
      <w:r>
        <w:t xml:space="preserve">DPO → Security Lead → Executive leadership. In high‑severity cases, involve external incident response partners and law enforcement as required.</w:t>
      </w:r>
    </w:p>
    <w:p>
      <w:pPr>
        <w:pStyle w:val="BodyText"/>
      </w:pPr>
      <w:r>
        <w:rPr>
          <w:b/>
          <w:bCs/>
        </w:rPr>
        <w:t xml:space="preserve">SLA target:</w:t>
      </w:r>
      <w:r>
        <w:t xml:space="preserve"> </w:t>
      </w:r>
      <w:r>
        <w:t xml:space="preserve">Contain within 24 hours. User notification within legally required timeframe (often 72 hours after detection). Full remediation plan within 30 days.</w:t>
      </w:r>
    </w:p>
    <w:p>
      <w:pPr>
        <w:pStyle w:val="BodyText"/>
      </w:pPr>
      <w:r>
        <w:rPr>
          <w:b/>
          <w:bCs/>
        </w:rPr>
        <w:t xml:space="preserve">Required evidence/logs:</w:t>
      </w:r>
      <w:r>
        <w:t xml:space="preserve"> </w:t>
      </w:r>
      <w:r>
        <w:t xml:space="preserve">Incident detection time, affected systems, number of users affected, remediation actions, notification communications and regulatory filings.</w:t>
      </w:r>
    </w:p>
    <w:bookmarkEnd w:id="56"/>
    <w:bookmarkStart w:id="57" w:name="security-incident-workflow"/>
    <w:p>
      <w:pPr>
        <w:pStyle w:val="Heading3"/>
      </w:pPr>
      <w:r>
        <w:t xml:space="preserve">7 – Security Incident Workflow</w:t>
      </w:r>
    </w:p>
    <w:p>
      <w:pPr>
        <w:pStyle w:val="FirstParagraph"/>
      </w:pPr>
      <w:r>
        <w:rPr>
          <w:b/>
          <w:bCs/>
        </w:rPr>
        <w:t xml:space="preserve">Trigger:</w:t>
      </w:r>
      <w:r>
        <w:t xml:space="preserve"> </w:t>
      </w:r>
      <w:r>
        <w:t xml:space="preserve">Technical security issues such as malware infection, unauthorized system access, vulnerability discovery or infrastructure outage (non‑AI specific).</w:t>
      </w:r>
    </w:p>
    <w:p>
      <w:pPr>
        <w:pStyle w:val="BodyText"/>
      </w:pPr>
      <w:r>
        <w:rPr>
          <w:b/>
          <w:bCs/>
        </w:rPr>
        <w:t xml:space="preserve">Owner:</w:t>
      </w:r>
      <w:r>
        <w:t xml:space="preserve"> </w:t>
      </w:r>
      <w:r>
        <w:t xml:space="preserve">Security Lead with Engineering.</w:t>
      </w:r>
    </w:p>
    <w:p>
      <w:pPr>
        <w:pStyle w:val="BodyText"/>
      </w:pPr>
      <w:r>
        <w:rPr>
          <w:b/>
          <w:bCs/>
        </w:rPr>
        <w:t xml:space="preserve">Steps:</w:t>
      </w:r>
      <w:r>
        <w:t xml:space="preserve"> </w:t>
      </w:r>
      <w:r>
        <w:t xml:space="preserve">1.</w:t>
      </w:r>
      <w:r>
        <w:t xml:space="preserve"> </w:t>
      </w:r>
      <w:r>
        <w:rPr>
          <w:b/>
          <w:bCs/>
        </w:rPr>
        <w:t xml:space="preserve">Detection and triage:</w:t>
      </w:r>
      <w:r>
        <w:t xml:space="preserve"> </w:t>
      </w:r>
      <w:r>
        <w:t xml:space="preserve">detect anomalies via monitoring tools or reports. Classify severity using the standard matrix.</w:t>
      </w:r>
      <w:r>
        <w:t xml:space="preserve"> </w:t>
      </w:r>
      <w:r>
        <w:t xml:space="preserve">2.</w:t>
      </w:r>
      <w:r>
        <w:t xml:space="preserve"> </w:t>
      </w:r>
      <w:r>
        <w:rPr>
          <w:b/>
          <w:bCs/>
        </w:rPr>
        <w:t xml:space="preserve">Contain:</w:t>
      </w:r>
      <w:r>
        <w:t xml:space="preserve"> </w:t>
      </w:r>
      <w:r>
        <w:t xml:space="preserve">isolate affected systems, revoke compromised credentials, and apply security patches.</w:t>
      </w:r>
      <w:r>
        <w:t xml:space="preserve"> </w:t>
      </w:r>
      <w:r>
        <w:t xml:space="preserve">3.</w:t>
      </w:r>
      <w:r>
        <w:t xml:space="preserve"> </w:t>
      </w:r>
      <w:r>
        <w:rPr>
          <w:b/>
          <w:bCs/>
        </w:rPr>
        <w:t xml:space="preserve">Analyse:</w:t>
      </w:r>
      <w:r>
        <w:t xml:space="preserve"> </w:t>
      </w:r>
      <w:r>
        <w:t xml:space="preserve">determine the vector (e.g., phishing, vulnerability) and affected components.</w:t>
      </w:r>
      <w:r>
        <w:t xml:space="preserve"> </w:t>
      </w:r>
      <w:r>
        <w:t xml:space="preserve">4.</w:t>
      </w:r>
      <w:r>
        <w:t xml:space="preserve"> </w:t>
      </w:r>
      <w:r>
        <w:rPr>
          <w:b/>
          <w:bCs/>
        </w:rPr>
        <w:t xml:space="preserve">Remediate:</w:t>
      </w:r>
      <w:r>
        <w:t xml:space="preserve"> </w:t>
      </w:r>
      <w:r>
        <w:t xml:space="preserve">implement fixes, restore services, monitor for recurrence.</w:t>
      </w:r>
      <w:r>
        <w:t xml:space="preserve"> </w:t>
      </w:r>
      <w:r>
        <w:t xml:space="preserve">5.</w:t>
      </w:r>
      <w:r>
        <w:t xml:space="preserve"> </w:t>
      </w:r>
      <w:r>
        <w:rPr>
          <w:b/>
          <w:bCs/>
        </w:rPr>
        <w:t xml:space="preserve">Communicate:</w:t>
      </w:r>
      <w:r>
        <w:t xml:space="preserve"> </w:t>
      </w:r>
      <w:r>
        <w:t xml:space="preserve">update stakeholders based on severity. Provide regular status updates until resolution.</w:t>
      </w:r>
      <w:r>
        <w:t xml:space="preserve"> </w:t>
      </w:r>
      <w:r>
        <w:t xml:space="preserve">6.</w:t>
      </w:r>
      <w:r>
        <w:t xml:space="preserve"> </w:t>
      </w:r>
      <w:r>
        <w:rPr>
          <w:b/>
          <w:bCs/>
        </w:rPr>
        <w:t xml:space="preserve">Post‑mortem:</w:t>
      </w:r>
      <w:r>
        <w:t xml:space="preserve"> </w:t>
      </w:r>
      <w:r>
        <w:t xml:space="preserve">conduct a post‑incident review to identify root causes and improvements.</w:t>
      </w:r>
    </w:p>
    <w:p>
      <w:pPr>
        <w:pStyle w:val="BodyText"/>
      </w:pPr>
      <w:r>
        <w:rPr>
          <w:b/>
          <w:bCs/>
        </w:rPr>
        <w:t xml:space="preserve">User‑facing copy (example) for visible outages:</w:t>
      </w:r>
    </w:p>
    <w:p>
      <w:pPr>
        <w:pStyle w:val="BlockText"/>
      </w:pPr>
      <w:r>
        <w:rPr>
          <w:i/>
          <w:iCs/>
        </w:rPr>
        <w:t xml:space="preserve">We’re experiencing a technical issue that may impact your experience. Our engineering team is working to resolve it as quickly as possible. Thank you for your patience.</w:t>
      </w:r>
    </w:p>
    <w:p>
      <w:pPr>
        <w:pStyle w:val="FirstParagraph"/>
      </w:pPr>
      <w:r>
        <w:rPr>
          <w:b/>
          <w:bCs/>
        </w:rPr>
        <w:t xml:space="preserve">Internal notes:</w:t>
      </w:r>
      <w:r>
        <w:t xml:space="preserve"> </w:t>
      </w:r>
      <w:r>
        <w:t xml:space="preserve">Security incidents may coincide with privacy incidents; coordinate with the Privacy Incident Workflow if personal data is involved.</w:t>
      </w:r>
    </w:p>
    <w:p>
      <w:pPr>
        <w:pStyle w:val="BodyText"/>
      </w:pPr>
      <w:r>
        <w:rPr>
          <w:b/>
          <w:bCs/>
        </w:rPr>
        <w:t xml:space="preserve">Escalation path:</w:t>
      </w:r>
      <w:r>
        <w:t xml:space="preserve"> </w:t>
      </w:r>
      <w:r>
        <w:t xml:space="preserve">Security Lead → Engineering → Executive for SEV 1/2 incidents. DPO looped in if data is compromised.</w:t>
      </w:r>
    </w:p>
    <w:p>
      <w:pPr>
        <w:pStyle w:val="BodyText"/>
      </w:pPr>
      <w:r>
        <w:rPr>
          <w:b/>
          <w:bCs/>
        </w:rPr>
        <w:t xml:space="preserve">SLA target:</w:t>
      </w:r>
      <w:r>
        <w:t xml:space="preserve"> </w:t>
      </w:r>
      <w:r>
        <w:t xml:space="preserve">SEV 1: initiate response immediately; SEV 2: within 1 hour; SEV 3: same business day.</w:t>
      </w:r>
    </w:p>
    <w:p>
      <w:pPr>
        <w:pStyle w:val="BodyText"/>
      </w:pPr>
      <w:r>
        <w:rPr>
          <w:b/>
          <w:bCs/>
        </w:rPr>
        <w:t xml:space="preserve">Required evidence/logs:</w:t>
      </w:r>
      <w:r>
        <w:t xml:space="preserve"> </w:t>
      </w:r>
      <w:r>
        <w:t xml:space="preserve">Incident logs, containment actions, timeline, communication records, root‑cause analysis.</w:t>
      </w:r>
    </w:p>
    <w:bookmarkEnd w:id="57"/>
    <w:bookmarkStart w:id="58" w:name="crisis-escalation-boundary-workflow"/>
    <w:p>
      <w:pPr>
        <w:pStyle w:val="Heading3"/>
      </w:pPr>
      <w:r>
        <w:t xml:space="preserve">8 – Crisis Escalation Boundary Workflow</w:t>
      </w:r>
    </w:p>
    <w:p>
      <w:pPr>
        <w:pStyle w:val="FirstParagraph"/>
      </w:pPr>
      <w:r>
        <w:rPr>
          <w:b/>
          <w:bCs/>
        </w:rPr>
        <w:t xml:space="preserve">Trigger:</w:t>
      </w:r>
      <w:r>
        <w:t xml:space="preserve"> </w:t>
      </w:r>
      <w:r>
        <w:t xml:space="preserve">A support agent notices content suggesting self‑harm, harm to others, or other crisis situations.</w:t>
      </w:r>
    </w:p>
    <w:p>
      <w:pPr>
        <w:pStyle w:val="BodyText"/>
      </w:pPr>
      <w:r>
        <w:rPr>
          <w:b/>
          <w:bCs/>
        </w:rPr>
        <w:t xml:space="preserve">Owner:</w:t>
      </w:r>
      <w:r>
        <w:t xml:space="preserve"> </w:t>
      </w:r>
      <w:r>
        <w:t xml:space="preserve">Crisis Escalation Lead (Tier 2 specialist), with support from Tier 1.</w:t>
      </w:r>
    </w:p>
    <w:p>
      <w:pPr>
        <w:pStyle w:val="BodyText"/>
      </w:pPr>
      <w:r>
        <w:rPr>
          <w:b/>
          <w:bCs/>
        </w:rPr>
        <w:t xml:space="preserve">Steps:</w:t>
      </w:r>
      <w:r>
        <w:t xml:space="preserve"> </w:t>
      </w:r>
      <w:r>
        <w:t xml:space="preserve">1.</w:t>
      </w:r>
      <w:r>
        <w:t xml:space="preserve"> </w:t>
      </w:r>
      <w:r>
        <w:rPr>
          <w:b/>
          <w:bCs/>
        </w:rPr>
        <w:t xml:space="preserve">Identify crisis language:</w:t>
      </w:r>
      <w:r>
        <w:t xml:space="preserve"> </w:t>
      </w:r>
      <w:r>
        <w:t xml:space="preserve">monitor incoming messages for explicit mentions of self‑harm, suicidal ideation, violence, abuse, severe depression or distress.</w:t>
      </w:r>
      <w:r>
        <w:t xml:space="preserve"> </w:t>
      </w:r>
      <w:r>
        <w:t xml:space="preserve">2.</w:t>
      </w:r>
      <w:r>
        <w:t xml:space="preserve"> </w:t>
      </w:r>
      <w:r>
        <w:rPr>
          <w:b/>
          <w:bCs/>
        </w:rPr>
        <w:t xml:space="preserve">Respond empathetically and set boundaries:</w:t>
      </w:r>
      <w:r>
        <w:t xml:space="preserve"> </w:t>
      </w:r>
      <w:r>
        <w:t xml:space="preserve">immediately acknowledge the user’s feelings and express concern. Clarify that BecomingOS cannot provide crisis counselling or therapy but provide external resources. Do not promise monitoring or rescue.</w:t>
      </w:r>
      <w:r>
        <w:t xml:space="preserve"> </w:t>
      </w:r>
      <w:r>
        <w:t xml:space="preserve">3.</w:t>
      </w:r>
      <w:r>
        <w:t xml:space="preserve"> </w:t>
      </w:r>
      <w:r>
        <w:rPr>
          <w:b/>
          <w:bCs/>
        </w:rPr>
        <w:t xml:space="preserve">Provide emergency resources:</w:t>
      </w:r>
      <w:r>
        <w:t xml:space="preserve"> </w:t>
      </w:r>
      <w:r>
        <w:t xml:space="preserve">share contact details for local emergency services and crisis hotlines. For US users, refer them to call or text 988</w:t>
      </w:r>
      <w:hyperlink r:id="rId25">
        <w:r>
          <w:rPr>
            <w:rStyle w:val="Hyperlink"/>
          </w:rPr>
          <w:t xml:space="preserve">[4]</w:t>
        </w:r>
      </w:hyperlink>
      <w:r>
        <w:t xml:space="preserve">. For other regions, provide an up‑to‑date list of local crisis lines.</w:t>
      </w:r>
      <w:r>
        <w:t xml:space="preserve"> </w:t>
      </w:r>
      <w:r>
        <w:t xml:space="preserve">4.</w:t>
      </w:r>
      <w:r>
        <w:t xml:space="preserve"> </w:t>
      </w:r>
      <w:r>
        <w:rPr>
          <w:b/>
          <w:bCs/>
        </w:rPr>
        <w:t xml:space="preserve">Inform internal team:</w:t>
      </w:r>
      <w:r>
        <w:t xml:space="preserve"> </w:t>
      </w:r>
      <w:r>
        <w:t xml:space="preserve">notify the Crisis Escalation Lead and log the incident. Do</w:t>
      </w:r>
      <w:r>
        <w:t xml:space="preserve"> </w:t>
      </w:r>
      <w:r>
        <w:rPr>
          <w:b/>
          <w:bCs/>
        </w:rPr>
        <w:t xml:space="preserve">not</w:t>
      </w:r>
      <w:r>
        <w:t xml:space="preserve"> </w:t>
      </w:r>
      <w:r>
        <w:t xml:space="preserve">share the user’s sensitive personal reflections outside the minimum personnel necessary.</w:t>
      </w:r>
      <w:r>
        <w:t xml:space="preserve"> </w:t>
      </w:r>
      <w:r>
        <w:t xml:space="preserve">5.</w:t>
      </w:r>
      <w:r>
        <w:t xml:space="preserve"> </w:t>
      </w:r>
      <w:r>
        <w:rPr>
          <w:b/>
          <w:bCs/>
        </w:rPr>
        <w:t xml:space="preserve">Follow up:</w:t>
      </w:r>
      <w:r>
        <w:t xml:space="preserve"> </w:t>
      </w:r>
      <w:r>
        <w:t xml:space="preserve">if appropriate and within scope, check back with the user once to ensure they received the information. Do not engage in ongoing counselling.</w:t>
      </w:r>
    </w:p>
    <w:p>
      <w:pPr>
        <w:pStyle w:val="BodyText"/>
      </w:pPr>
      <w:r>
        <w:rPr>
          <w:b/>
          <w:bCs/>
        </w:rPr>
        <w:t xml:space="preserve">User‑facing copy (example):</w:t>
      </w:r>
    </w:p>
    <w:p>
      <w:pPr>
        <w:pStyle w:val="BlockText"/>
      </w:pPr>
      <w:r>
        <w:rPr>
          <w:i/>
          <w:iCs/>
        </w:rPr>
        <w:t xml:space="preserve">It sounds like you’re going through a very difficult time. While BecomingOS is an educational and reflective tool and cannot provide therapy or crisis intervention, help is available. If you’re in the US, you can call or text 988 for immediate assistance</w:t>
      </w:r>
      <w:hyperlink r:id="rId25">
        <w:r>
          <w:rPr>
            <w:rStyle w:val="Hyperlink"/>
            <w:i/>
            <w:iCs/>
          </w:rPr>
          <w:t xml:space="preserve">[4]</w:t>
        </w:r>
      </w:hyperlink>
      <w:r>
        <w:rPr>
          <w:i/>
          <w:iCs/>
        </w:rPr>
        <w:t xml:space="preserve">. If you’re outside the US, please contact your local emergency services or crisis hotline. If you feel unsafe, please seek help right away.</w:t>
      </w:r>
    </w:p>
    <w:p>
      <w:pPr>
        <w:pStyle w:val="FirstParagraph"/>
      </w:pPr>
      <w:r>
        <w:rPr>
          <w:b/>
          <w:bCs/>
        </w:rPr>
        <w:t xml:space="preserve">Internal notes:</w:t>
      </w:r>
      <w:r>
        <w:t xml:space="preserve"> </w:t>
      </w:r>
      <w:r>
        <w:t xml:space="preserve">Always respond with empathy and ensure the user knows that help is available. Avoid statements that could be interpreted as an ongoing duty of care. Document the communication and actions taken.</w:t>
      </w:r>
    </w:p>
    <w:p>
      <w:pPr>
        <w:pStyle w:val="BodyText"/>
      </w:pPr>
      <w:r>
        <w:rPr>
          <w:b/>
          <w:bCs/>
        </w:rPr>
        <w:t xml:space="preserve">Escalation path:</w:t>
      </w:r>
      <w:r>
        <w:t xml:space="preserve"> </w:t>
      </w:r>
      <w:r>
        <w:t xml:space="preserve">Tier 1 → Crisis Escalation Lead → DPO if the conversation includes sensitive personal data or requests for deletion.</w:t>
      </w:r>
    </w:p>
    <w:p>
      <w:pPr>
        <w:pStyle w:val="BodyText"/>
      </w:pPr>
      <w:r>
        <w:rPr>
          <w:b/>
          <w:bCs/>
        </w:rPr>
        <w:t xml:space="preserve">SLA target:</w:t>
      </w:r>
      <w:r>
        <w:t xml:space="preserve"> </w:t>
      </w:r>
      <w:r>
        <w:t xml:space="preserve">Immediate response (within minutes) during support hours. Provide resource information in the first reply.</w:t>
      </w:r>
    </w:p>
    <w:p>
      <w:pPr>
        <w:pStyle w:val="BodyText"/>
      </w:pPr>
      <w:r>
        <w:rPr>
          <w:b/>
          <w:bCs/>
        </w:rPr>
        <w:t xml:space="preserve">Required evidence/logs:</w:t>
      </w:r>
      <w:r>
        <w:t xml:space="preserve"> </w:t>
      </w:r>
      <w:r>
        <w:t xml:space="preserve">Copy of user conversation, resources provided, internal notifications.</w:t>
      </w:r>
    </w:p>
    <w:bookmarkEnd w:id="58"/>
    <w:bookmarkStart w:id="59" w:name="support-scripts"/>
    <w:p>
      <w:pPr>
        <w:pStyle w:val="Heading3"/>
      </w:pPr>
      <w:r>
        <w:t xml:space="preserve">9 – Support Scripts</w:t>
      </w:r>
    </w:p>
    <w:p>
      <w:pPr>
        <w:pStyle w:val="FirstParagraph"/>
      </w:pPr>
      <w:r>
        <w:t xml:space="preserve">Support agents should use consistent, empathetic language and be clear about boundaries. Below are sample scripts for common scenarios:</w:t>
      </w:r>
    </w:p>
    <w:p>
      <w:pPr>
        <w:pStyle w:val="Compact"/>
        <w:numPr>
          <w:ilvl w:val="0"/>
          <w:numId w:val="1002"/>
        </w:numPr>
      </w:pPr>
      <w:r>
        <w:rPr>
          <w:b/>
          <w:bCs/>
        </w:rPr>
        <w:t xml:space="preserve">General inquiry greeting:</w:t>
      </w:r>
    </w:p>
    <w:p>
      <w:pPr>
        <w:pStyle w:val="BlockText"/>
      </w:pPr>
      <w:r>
        <w:rPr>
          <w:i/>
          <w:iCs/>
        </w:rPr>
        <w:t xml:space="preserve">Hello [Name], thanks for reaching out. How can we assist you today? Please note that BecomingOS offers educational and reflective exercises and cannot provide medical, legal, financial or crisis advice.</w:t>
      </w:r>
    </w:p>
    <w:p>
      <w:pPr>
        <w:pStyle w:val="Compact"/>
        <w:numPr>
          <w:ilvl w:val="0"/>
          <w:numId w:val="1003"/>
        </w:numPr>
      </w:pPr>
      <w:r>
        <w:rPr>
          <w:b/>
          <w:bCs/>
        </w:rPr>
        <w:t xml:space="preserve">Account deletion confirmation:</w:t>
      </w:r>
    </w:p>
    <w:p>
      <w:pPr>
        <w:pStyle w:val="BlockText"/>
      </w:pPr>
      <w:r>
        <w:rPr>
          <w:i/>
          <w:iCs/>
        </w:rPr>
        <w:t xml:space="preserve">We understand you’d like to delete your account. To proceed, please reply from the email associated with your account or answer your security question. Once verified, we’ll permanently delete your data within one month and confirm when complete.</w:t>
      </w:r>
    </w:p>
    <w:p>
      <w:pPr>
        <w:pStyle w:val="Compact"/>
        <w:numPr>
          <w:ilvl w:val="0"/>
          <w:numId w:val="1004"/>
        </w:numPr>
      </w:pPr>
      <w:r>
        <w:rPr>
          <w:b/>
          <w:bCs/>
        </w:rPr>
        <w:t xml:space="preserve">Data export acknowledgment:</w:t>
      </w:r>
    </w:p>
    <w:p>
      <w:pPr>
        <w:pStyle w:val="BlockText"/>
      </w:pPr>
      <w:r>
        <w:rPr>
          <w:i/>
          <w:iCs/>
        </w:rPr>
        <w:t xml:space="preserve">We have received your request for a copy of your data. After verifying your identity, we will prepare and send it to you within one month. We appreciate your patience.</w:t>
      </w:r>
    </w:p>
    <w:p>
      <w:pPr>
        <w:pStyle w:val="Compact"/>
        <w:numPr>
          <w:ilvl w:val="0"/>
          <w:numId w:val="1005"/>
        </w:numPr>
      </w:pPr>
      <w:r>
        <w:rPr>
          <w:b/>
          <w:bCs/>
        </w:rPr>
        <w:t xml:space="preserve">Consent revocation confirmation:</w:t>
      </w:r>
    </w:p>
    <w:p>
      <w:pPr>
        <w:pStyle w:val="BlockText"/>
      </w:pPr>
      <w:r>
        <w:rPr>
          <w:i/>
          <w:iCs/>
        </w:rPr>
        <w:t xml:space="preserve">Your consent preferences have been updated. Your data will no longer be used for [purpose]. If you have further questions, let us know.</w:t>
      </w:r>
    </w:p>
    <w:p>
      <w:pPr>
        <w:numPr>
          <w:ilvl w:val="0"/>
          <w:numId w:val="1006"/>
        </w:numPr>
      </w:pPr>
      <w:r>
        <w:rPr>
          <w:b/>
          <w:bCs/>
        </w:rPr>
        <w:t xml:space="preserve">Crisis response:</w:t>
      </w:r>
      <w:r>
        <w:t xml:space="preserve"> </w:t>
      </w:r>
      <w:r>
        <w:t xml:space="preserve">(See Crisis Escalation Boundary Workflow for full script.)</w:t>
      </w:r>
    </w:p>
    <w:p>
      <w:pPr>
        <w:numPr>
          <w:ilvl w:val="0"/>
          <w:numId w:val="1006"/>
        </w:numPr>
      </w:pPr>
      <w:r>
        <w:rPr>
          <w:b/>
          <w:bCs/>
        </w:rPr>
        <w:t xml:space="preserve">Scope boundary response:</w:t>
      </w:r>
    </w:p>
    <w:p>
      <w:pPr>
        <w:pStyle w:val="BlockText"/>
      </w:pPr>
      <w:r>
        <w:rPr>
          <w:i/>
          <w:iCs/>
        </w:rPr>
        <w:t xml:space="preserve">I’m sorry, but I’m not able to provide advice on that topic. BecomingOS focuses on educational and reflective content and cannot offer therapy or professional advice.</w:t>
      </w:r>
    </w:p>
    <w:p>
      <w:pPr>
        <w:pStyle w:val="FirstParagraph"/>
      </w:pPr>
      <w:r>
        <w:t xml:space="preserve">Scripts should be adapted to the situation while maintaining clarity, empathy and compliance.</w:t>
      </w:r>
    </w:p>
    <w:bookmarkEnd w:id="59"/>
    <w:bookmarkStart w:id="60" w:name="incident-response-checklist"/>
    <w:p>
      <w:pPr>
        <w:pStyle w:val="Heading3"/>
      </w:pPr>
      <w:r>
        <w:t xml:space="preserve">10 – Incident Response Checklist</w:t>
      </w:r>
    </w:p>
    <w:p>
      <w:pPr>
        <w:pStyle w:val="FirstParagraph"/>
      </w:pPr>
      <w:r>
        <w:t xml:space="preserve">This checklist guides support and engineering teams during incident response:</w:t>
      </w:r>
    </w:p>
    <w:p>
      <w:pPr>
        <w:pStyle w:val="Compact"/>
        <w:numPr>
          <w:ilvl w:val="0"/>
          <w:numId w:val="1007"/>
        </w:numPr>
      </w:pPr>
      <w:r>
        <w:rPr>
          <w:b/>
          <w:bCs/>
        </w:rPr>
        <w:t xml:space="preserve">Detect:</w:t>
      </w:r>
      <w:r>
        <w:t xml:space="preserve"> </w:t>
      </w:r>
      <w:r>
        <w:t xml:space="preserve">Identify the incident via monitoring or user reports.</w:t>
      </w:r>
    </w:p>
    <w:p>
      <w:pPr>
        <w:pStyle w:val="Compact"/>
        <w:numPr>
          <w:ilvl w:val="0"/>
          <w:numId w:val="1007"/>
        </w:numPr>
      </w:pPr>
      <w:r>
        <w:rPr>
          <w:b/>
          <w:bCs/>
        </w:rPr>
        <w:t xml:space="preserve">Triage and classify:</w:t>
      </w:r>
      <w:r>
        <w:t xml:space="preserve"> </w:t>
      </w:r>
      <w:r>
        <w:t xml:space="preserve">Assign severity (SEV 1–5) and determine if it is an AI, privacy or security incident.</w:t>
      </w:r>
    </w:p>
    <w:p>
      <w:pPr>
        <w:pStyle w:val="Compact"/>
        <w:numPr>
          <w:ilvl w:val="0"/>
          <w:numId w:val="1007"/>
        </w:numPr>
      </w:pPr>
      <w:r>
        <w:rPr>
          <w:b/>
          <w:bCs/>
        </w:rPr>
        <w:t xml:space="preserve">Notify:</w:t>
      </w:r>
      <w:r>
        <w:t xml:space="preserve"> </w:t>
      </w:r>
      <w:r>
        <w:t xml:space="preserve">Alert the appropriate roles based on escalation matrix; inform leadership if severity ≥ 2.</w:t>
      </w:r>
    </w:p>
    <w:p>
      <w:pPr>
        <w:pStyle w:val="Compact"/>
        <w:numPr>
          <w:ilvl w:val="0"/>
          <w:numId w:val="1007"/>
        </w:numPr>
      </w:pPr>
      <w:r>
        <w:rPr>
          <w:b/>
          <w:bCs/>
        </w:rPr>
        <w:t xml:space="preserve">Contain:</w:t>
      </w:r>
      <w:r>
        <w:t xml:space="preserve"> </w:t>
      </w:r>
      <w:r>
        <w:t xml:space="preserve">Take immediate actions to prevent further harm (disable systems, revoke access, isolate AI models).</w:t>
      </w:r>
    </w:p>
    <w:p>
      <w:pPr>
        <w:pStyle w:val="Compact"/>
        <w:numPr>
          <w:ilvl w:val="0"/>
          <w:numId w:val="1007"/>
        </w:numPr>
      </w:pPr>
      <w:r>
        <w:rPr>
          <w:b/>
          <w:bCs/>
        </w:rPr>
        <w:t xml:space="preserve">Investigate:</w:t>
      </w:r>
      <w:r>
        <w:t xml:space="preserve"> </w:t>
      </w:r>
      <w:r>
        <w:t xml:space="preserve">Gather logs, reproduction steps, user impact and root cause.</w:t>
      </w:r>
    </w:p>
    <w:p>
      <w:pPr>
        <w:pStyle w:val="Compact"/>
        <w:numPr>
          <w:ilvl w:val="0"/>
          <w:numId w:val="1007"/>
        </w:numPr>
      </w:pPr>
      <w:r>
        <w:rPr>
          <w:b/>
          <w:bCs/>
        </w:rPr>
        <w:t xml:space="preserve">Remediate:</w:t>
      </w:r>
      <w:r>
        <w:t xml:space="preserve"> </w:t>
      </w:r>
      <w:r>
        <w:t xml:space="preserve">Apply fixes, restore services and update safeguards.</w:t>
      </w:r>
    </w:p>
    <w:p>
      <w:pPr>
        <w:pStyle w:val="Compact"/>
        <w:numPr>
          <w:ilvl w:val="0"/>
          <w:numId w:val="1007"/>
        </w:numPr>
      </w:pPr>
      <w:r>
        <w:rPr>
          <w:b/>
          <w:bCs/>
        </w:rPr>
        <w:t xml:space="preserve">Communicate:</w:t>
      </w:r>
      <w:r>
        <w:t xml:space="preserve"> </w:t>
      </w:r>
      <w:r>
        <w:t xml:space="preserve">Provide transparent updates to affected users and stakeholders (if required). For data breaches, coordinate with legal for regulatory notifications.</w:t>
      </w:r>
    </w:p>
    <w:p>
      <w:pPr>
        <w:pStyle w:val="Compact"/>
        <w:numPr>
          <w:ilvl w:val="0"/>
          <w:numId w:val="1007"/>
        </w:numPr>
      </w:pPr>
      <w:r>
        <w:rPr>
          <w:b/>
          <w:bCs/>
        </w:rPr>
        <w:t xml:space="preserve">Document:</w:t>
      </w:r>
      <w:r>
        <w:t xml:space="preserve"> </w:t>
      </w:r>
      <w:r>
        <w:t xml:space="preserve">Record the timeline, actions, outcomes, and lessons learned.</w:t>
      </w:r>
    </w:p>
    <w:p>
      <w:pPr>
        <w:pStyle w:val="Compact"/>
        <w:numPr>
          <w:ilvl w:val="0"/>
          <w:numId w:val="1007"/>
        </w:numPr>
      </w:pPr>
      <w:r>
        <w:rPr>
          <w:b/>
          <w:bCs/>
        </w:rPr>
        <w:t xml:space="preserve">Review:</w:t>
      </w:r>
      <w:r>
        <w:t xml:space="preserve"> </w:t>
      </w:r>
      <w:r>
        <w:t xml:space="preserve">Conduct a post‑mortem and update policies, training and knowledge base.</w:t>
      </w:r>
    </w:p>
    <w:bookmarkEnd w:id="60"/>
    <w:bookmarkStart w:id="62" w:name="support-training-plan"/>
    <w:p>
      <w:pPr>
        <w:pStyle w:val="Heading3"/>
      </w:pPr>
      <w:r>
        <w:t xml:space="preserve">11 – Support Training Plan</w:t>
      </w:r>
    </w:p>
    <w:p>
      <w:pPr>
        <w:pStyle w:val="FirstParagraph"/>
      </w:pPr>
      <w:r>
        <w:t xml:space="preserve">Support staff must be trained before they handle user interactions: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Training module</w:t>
            </w:r>
          </w:p>
        </w:tc>
        <w:tc>
          <w:tcPr/>
          <w:p>
            <w:pPr>
              <w:pStyle w:val="Compact"/>
            </w:pPr>
            <w:r>
              <w:t xml:space="preserve">Content</w:t>
            </w:r>
          </w:p>
        </w:tc>
        <w:tc>
          <w:tcPr/>
          <w:p>
            <w:pPr>
              <w:pStyle w:val="Compact"/>
            </w:pPr>
            <w:r>
              <w:t xml:space="preserve">Frequency</w:t>
            </w:r>
          </w:p>
        </w:tc>
      </w:tr>
      <w:tr>
        <w:tc>
          <w:tcPr/>
          <w:p>
            <w:pPr>
              <w:pStyle w:val="Compact"/>
            </w:pPr>
            <w:r>
              <w:rPr>
                <w:b/>
                <w:bCs/>
              </w:rPr>
              <w:t xml:space="preserve">Product onboarding</w:t>
            </w:r>
          </w:p>
        </w:tc>
        <w:tc>
          <w:tcPr/>
          <w:p>
            <w:pPr>
              <w:pStyle w:val="Compact"/>
            </w:pPr>
            <w:r>
              <w:t xml:space="preserve">Detailed overview of BecomingOS features, limitations and future roadmap. Includes hands‑on practice using the app.</w:t>
            </w:r>
          </w:p>
        </w:tc>
        <w:tc>
          <w:tcPr/>
          <w:p>
            <w:pPr>
              <w:pStyle w:val="Compact"/>
            </w:pPr>
            <w:r>
              <w:t xml:space="preserve">On hire; refresher every 6 months</w:t>
            </w:r>
          </w:p>
        </w:tc>
      </w:tr>
      <w:tr>
        <w:tc>
          <w:tcPr/>
          <w:p>
            <w:pPr>
              <w:pStyle w:val="Compact"/>
            </w:pPr>
            <w:r>
              <w:rPr>
                <w:b/>
                <w:bCs/>
              </w:rPr>
              <w:t xml:space="preserve">Privacy &amp; data protection</w:t>
            </w:r>
          </w:p>
        </w:tc>
        <w:tc>
          <w:tcPr/>
          <w:p>
            <w:pPr>
              <w:pStyle w:val="Compact"/>
            </w:pPr>
            <w:r>
              <w:t xml:space="preserve">GDPR/CCPA basics, data minimisation, identity verification, deletion/export workflows, audit trails</w:t>
            </w:r>
            <w:hyperlink r:id="rId21">
              <w:r>
                <w:rPr>
                  <w:rStyle w:val="Hyperlink"/>
                </w:rPr>
                <w:t xml:space="preserve">[1]</w:t>
              </w:r>
            </w:hyperlink>
            <w:hyperlink r:id="rId61">
              <w:r>
                <w:rPr>
                  <w:rStyle w:val="Hyperlink"/>
                </w:rPr>
                <w:t xml:space="preserve">[29]</w:t>
              </w:r>
            </w:hyperlink>
            <w:r>
              <w:t xml:space="preserve">.</w:t>
            </w:r>
          </w:p>
        </w:tc>
        <w:tc>
          <w:tcPr/>
          <w:p>
            <w:pPr>
              <w:pStyle w:val="Compact"/>
            </w:pPr>
            <w:r>
              <w:t xml:space="preserve">Quarterly</w:t>
            </w:r>
          </w:p>
        </w:tc>
      </w:tr>
      <w:tr>
        <w:tc>
          <w:tcPr/>
          <w:p>
            <w:pPr>
              <w:pStyle w:val="Compact"/>
            </w:pPr>
            <w:r>
              <w:rPr>
                <w:b/>
                <w:bCs/>
              </w:rPr>
              <w:t xml:space="preserve">Crisis response &amp; boundaries</w:t>
            </w:r>
          </w:p>
        </w:tc>
        <w:tc>
          <w:tcPr/>
          <w:p>
            <w:pPr>
              <w:pStyle w:val="Compact"/>
            </w:pPr>
            <w:r>
              <w:t xml:space="preserve">Recognising crisis signals, empathetic communication, crisis escalation workflow and scripts. Clear explanation of boundaries (no therapy).</w:t>
            </w:r>
          </w:p>
        </w:tc>
        <w:tc>
          <w:tcPr/>
          <w:p>
            <w:pPr>
              <w:pStyle w:val="Compact"/>
            </w:pPr>
            <w:r>
              <w:t xml:space="preserve">On hire and annually</w:t>
            </w:r>
          </w:p>
        </w:tc>
      </w:tr>
      <w:tr>
        <w:tc>
          <w:tcPr/>
          <w:p>
            <w:pPr>
              <w:pStyle w:val="Compact"/>
            </w:pPr>
            <w:r>
              <w:rPr>
                <w:b/>
                <w:bCs/>
              </w:rPr>
              <w:t xml:space="preserve">AI safety &amp; incident response</w:t>
            </w:r>
          </w:p>
        </w:tc>
        <w:tc>
          <w:tcPr/>
          <w:p>
            <w:pPr>
              <w:pStyle w:val="Compact"/>
            </w:pPr>
            <w:r>
              <w:t xml:space="preserve">How AI systems operate, potential harm scenarios, AI incident workflow and mitigation strategies</w:t>
            </w:r>
            <w:hyperlink r:id="rId50">
              <w:r>
                <w:rPr>
                  <w:rStyle w:val="Hyperlink"/>
                </w:rPr>
                <w:t xml:space="preserve">[30]</w:t>
              </w:r>
            </w:hyperlink>
            <w:hyperlink r:id="rId51">
              <w:r>
                <w:rPr>
                  <w:rStyle w:val="Hyperlink"/>
                </w:rPr>
                <w:t xml:space="preserve">[25]</w:t>
              </w:r>
            </w:hyperlink>
            <w:r>
              <w:t xml:space="preserve">.</w:t>
            </w:r>
          </w:p>
        </w:tc>
        <w:tc>
          <w:tcPr/>
          <w:p>
            <w:pPr>
              <w:pStyle w:val="Compact"/>
            </w:pPr>
            <w:r>
              <w:t xml:space="preserve">On hire; refresh every 6 months</w:t>
            </w:r>
          </w:p>
        </w:tc>
      </w:tr>
      <w:tr>
        <w:tc>
          <w:tcPr/>
          <w:p>
            <w:pPr>
              <w:pStyle w:val="Compact"/>
            </w:pPr>
            <w:r>
              <w:rPr>
                <w:b/>
                <w:bCs/>
              </w:rPr>
              <w:t xml:space="preserve">Security awareness</w:t>
            </w:r>
          </w:p>
        </w:tc>
        <w:tc>
          <w:tcPr/>
          <w:p>
            <w:pPr>
              <w:pStyle w:val="Compact"/>
            </w:pPr>
            <w:r>
              <w:t xml:space="preserve">Phishing, social engineering, secure communication, password hygiene.</w:t>
            </w:r>
          </w:p>
        </w:tc>
        <w:tc>
          <w:tcPr/>
          <w:p>
            <w:pPr>
              <w:pStyle w:val="Compact"/>
            </w:pPr>
            <w:r>
              <w:t xml:space="preserve">Semi‑annual</w:t>
            </w:r>
          </w:p>
        </w:tc>
      </w:tr>
      <w:tr>
        <w:tc>
          <w:tcPr/>
          <w:p>
            <w:pPr>
              <w:pStyle w:val="Compact"/>
            </w:pPr>
            <w:r>
              <w:rPr>
                <w:b/>
                <w:bCs/>
              </w:rPr>
              <w:t xml:space="preserve">Accessibility &amp; inclusion</w:t>
            </w:r>
          </w:p>
        </w:tc>
        <w:tc>
          <w:tcPr/>
          <w:p>
            <w:pPr>
              <w:pStyle w:val="Compact"/>
            </w:pPr>
            <w:r>
              <w:t xml:space="preserve">Writing inclusive language, recognising diverse user needs.</w:t>
            </w:r>
          </w:p>
        </w:tc>
        <w:tc>
          <w:tcPr/>
          <w:p>
            <w:pPr>
              <w:pStyle w:val="Compact"/>
            </w:pPr>
            <w:r>
              <w:t xml:space="preserve">Annually</w:t>
            </w:r>
          </w:p>
        </w:tc>
      </w:tr>
      <w:tr>
        <w:tc>
          <w:tcPr/>
          <w:p>
            <w:pPr>
              <w:pStyle w:val="Compact"/>
            </w:pPr>
            <w:r>
              <w:rPr>
                <w:b/>
                <w:bCs/>
              </w:rPr>
              <w:t xml:space="preserve">Tool proficiency</w:t>
            </w:r>
          </w:p>
        </w:tc>
        <w:tc>
          <w:tcPr/>
          <w:p>
            <w:pPr>
              <w:pStyle w:val="Compact"/>
            </w:pPr>
            <w:r>
              <w:t xml:space="preserve">Training on ticketing system, knowledge base, communication platforms, and secure file transfer.</w:t>
            </w:r>
          </w:p>
        </w:tc>
        <w:tc>
          <w:tcPr/>
          <w:p>
            <w:pPr>
              <w:pStyle w:val="Compact"/>
            </w:pPr>
            <w:r>
              <w:t xml:space="preserve">On hire</w:t>
            </w:r>
          </w:p>
        </w:tc>
      </w:tr>
    </w:tbl>
    <w:p>
      <w:pPr>
        <w:pStyle w:val="BodyText"/>
      </w:pPr>
      <w:r>
        <w:t xml:space="preserve">Training sessions should include assessments and role‑play scenarios to ensure understanding. Participation and pass marks should be logged.</w:t>
      </w:r>
    </w:p>
    <w:bookmarkEnd w:id="62"/>
    <w:bookmarkStart w:id="63" w:name="beta-support-plan"/>
    <w:p>
      <w:pPr>
        <w:pStyle w:val="Heading3"/>
      </w:pPr>
      <w:r>
        <w:t xml:space="preserve">12 – Beta Support Plan</w:t>
      </w:r>
    </w:p>
    <w:p>
      <w:pPr>
        <w:pStyle w:val="FirstParagraph"/>
      </w:pPr>
      <w:r>
        <w:t xml:space="preserve">Closed beta has a small, invited user base. Objectives are to gather feedback, identify bugs, and refine processes while ensuring user safety and privacy.</w:t>
      </w:r>
    </w:p>
    <w:p>
      <w:pPr>
        <w:pStyle w:val="Compact"/>
        <w:numPr>
          <w:ilvl w:val="0"/>
          <w:numId w:val="1008"/>
        </w:numPr>
      </w:pPr>
      <w:r>
        <w:rPr>
          <w:b/>
          <w:bCs/>
        </w:rPr>
        <w:t xml:space="preserve">Limited channels:</w:t>
      </w:r>
      <w:r>
        <w:t xml:space="preserve"> </w:t>
      </w:r>
      <w:r>
        <w:t xml:space="preserve">Support via email and in‑app messaging only. No phone support.</w:t>
      </w:r>
    </w:p>
    <w:p>
      <w:pPr>
        <w:pStyle w:val="Compact"/>
        <w:numPr>
          <w:ilvl w:val="0"/>
          <w:numId w:val="1008"/>
        </w:numPr>
      </w:pPr>
      <w:r>
        <w:rPr>
          <w:b/>
          <w:bCs/>
        </w:rPr>
        <w:t xml:space="preserve">Business hours:</w:t>
      </w:r>
      <w:r>
        <w:t xml:space="preserve"> </w:t>
      </w:r>
      <w:r>
        <w:t xml:space="preserve">Weekdays 9 am–5 pm Sydney time. Out‑of‑hours issues auto‑escalate if SEV 1/2.</w:t>
      </w:r>
    </w:p>
    <w:p>
      <w:pPr>
        <w:pStyle w:val="Compact"/>
        <w:numPr>
          <w:ilvl w:val="0"/>
          <w:numId w:val="1008"/>
        </w:numPr>
      </w:pPr>
      <w:r>
        <w:rPr>
          <w:b/>
          <w:bCs/>
        </w:rPr>
        <w:t xml:space="preserve">Feedback loop:</w:t>
      </w:r>
      <w:r>
        <w:t xml:space="preserve"> </w:t>
      </w:r>
      <w:r>
        <w:t xml:space="preserve">Encourage users to submit feedback via in‑app forms. Consolidate findings weekly and share with product and engineering.</w:t>
      </w:r>
    </w:p>
    <w:p>
      <w:pPr>
        <w:pStyle w:val="Compact"/>
        <w:numPr>
          <w:ilvl w:val="0"/>
          <w:numId w:val="1008"/>
        </w:numPr>
      </w:pPr>
      <w:r>
        <w:rPr>
          <w:b/>
          <w:bCs/>
        </w:rPr>
        <w:t xml:space="preserve">Manual processes:</w:t>
      </w:r>
      <w:r>
        <w:t xml:space="preserve"> </w:t>
      </w:r>
      <w:r>
        <w:t xml:space="preserve">Deletion/export requests handled manually by Tier 2. Incident response tested with tabletop exercises.</w:t>
      </w:r>
    </w:p>
    <w:p>
      <w:pPr>
        <w:pStyle w:val="Compact"/>
        <w:numPr>
          <w:ilvl w:val="0"/>
          <w:numId w:val="1008"/>
        </w:numPr>
      </w:pPr>
      <w:r>
        <w:rPr>
          <w:b/>
          <w:bCs/>
        </w:rPr>
        <w:t xml:space="preserve">Resource constraints:</w:t>
      </w:r>
      <w:r>
        <w:t xml:space="preserve"> </w:t>
      </w:r>
      <w:r>
        <w:t xml:space="preserve">Provide realistic SLAs (response within 24 hours) and set expectations. Prioritise severity and user safety.</w:t>
      </w:r>
    </w:p>
    <w:p>
      <w:pPr>
        <w:pStyle w:val="Compact"/>
        <w:numPr>
          <w:ilvl w:val="0"/>
          <w:numId w:val="1008"/>
        </w:numPr>
      </w:pPr>
      <w:r>
        <w:rPr>
          <w:b/>
          <w:bCs/>
        </w:rPr>
        <w:t xml:space="preserve">Testing of playbooks:</w:t>
      </w:r>
      <w:r>
        <w:t xml:space="preserve"> </w:t>
      </w:r>
      <w:r>
        <w:t xml:space="preserve">Use beta to refine workflows, scripts and escalation matrix. Collect metrics on response times, resolution rates and user satisfaction.</w:t>
      </w:r>
    </w:p>
    <w:bookmarkEnd w:id="63"/>
    <w:bookmarkStart w:id="64" w:name="production-support-plan"/>
    <w:p>
      <w:pPr>
        <w:pStyle w:val="Heading3"/>
      </w:pPr>
      <w:r>
        <w:t xml:space="preserve">13 – Production Support Plan</w:t>
      </w:r>
    </w:p>
    <w:p>
      <w:pPr>
        <w:pStyle w:val="FirstParagraph"/>
      </w:pPr>
      <w:r>
        <w:t xml:space="preserve">As BecomingOS moves to general availability, support must scale while maintaining compliance and safety.</w:t>
      </w:r>
    </w:p>
    <w:p>
      <w:pPr>
        <w:pStyle w:val="Compact"/>
        <w:numPr>
          <w:ilvl w:val="0"/>
          <w:numId w:val="1009"/>
        </w:numPr>
      </w:pPr>
      <w:r>
        <w:rPr>
          <w:b/>
          <w:bCs/>
        </w:rPr>
        <w:t xml:space="preserve">Expanded coverage:</w:t>
      </w:r>
      <w:r>
        <w:t xml:space="preserve"> </w:t>
      </w:r>
      <w:r>
        <w:t xml:space="preserve">Provide support seven days a week; implement on‑call rotations for SEV 1/2 incidents to ensure 24/7 coverage.</w:t>
      </w:r>
    </w:p>
    <w:p>
      <w:pPr>
        <w:pStyle w:val="Compact"/>
        <w:numPr>
          <w:ilvl w:val="0"/>
          <w:numId w:val="1009"/>
        </w:numPr>
      </w:pPr>
      <w:r>
        <w:rPr>
          <w:b/>
          <w:bCs/>
        </w:rPr>
        <w:t xml:space="preserve">Automated triage:</w:t>
      </w:r>
      <w:r>
        <w:t xml:space="preserve"> </w:t>
      </w:r>
      <w:r>
        <w:t xml:space="preserve">Use automated tools to classify tickets, flag crisis language and route to appropriate teams.</w:t>
      </w:r>
    </w:p>
    <w:p>
      <w:pPr>
        <w:pStyle w:val="Compact"/>
        <w:numPr>
          <w:ilvl w:val="0"/>
          <w:numId w:val="1009"/>
        </w:numPr>
      </w:pPr>
      <w:r>
        <w:rPr>
          <w:b/>
          <w:bCs/>
        </w:rPr>
        <w:t xml:space="preserve">Self‑serve knowledge base:</w:t>
      </w:r>
      <w:r>
        <w:t xml:space="preserve"> </w:t>
      </w:r>
      <w:r>
        <w:t xml:space="preserve">Offer robust articles and FAQs to reduce ticket volume. Regularly update based on user feedback.</w:t>
      </w:r>
    </w:p>
    <w:p>
      <w:pPr>
        <w:pStyle w:val="Compact"/>
        <w:numPr>
          <w:ilvl w:val="0"/>
          <w:numId w:val="1009"/>
        </w:numPr>
      </w:pPr>
      <w:r>
        <w:rPr>
          <w:b/>
          <w:bCs/>
        </w:rPr>
        <w:t xml:space="preserve">Metrics &amp; SLAs:</w:t>
      </w:r>
      <w:r>
        <w:t xml:space="preserve"> </w:t>
      </w:r>
      <w:r>
        <w:t xml:space="preserve">Track first response time, time to resolution, incident frequency, user satisfaction and compliance with deletion/export timelines. Publish quarterly reports.</w:t>
      </w:r>
    </w:p>
    <w:p>
      <w:pPr>
        <w:pStyle w:val="Compact"/>
        <w:numPr>
          <w:ilvl w:val="0"/>
          <w:numId w:val="1009"/>
        </w:numPr>
      </w:pPr>
      <w:r>
        <w:rPr>
          <w:b/>
          <w:bCs/>
        </w:rPr>
        <w:t xml:space="preserve">Continuous training:</w:t>
      </w:r>
      <w:r>
        <w:t xml:space="preserve"> </w:t>
      </w:r>
      <w:r>
        <w:t xml:space="preserve">Provide ongoing training and certification for support staff, especially as AI models and regulations evolve.</w:t>
      </w:r>
    </w:p>
    <w:p>
      <w:pPr>
        <w:pStyle w:val="Compact"/>
        <w:numPr>
          <w:ilvl w:val="0"/>
          <w:numId w:val="1009"/>
        </w:numPr>
      </w:pPr>
      <w:r>
        <w:rPr>
          <w:b/>
          <w:bCs/>
        </w:rPr>
        <w:t xml:space="preserve">Scalable infrastructure:</w:t>
      </w:r>
      <w:r>
        <w:t xml:space="preserve"> </w:t>
      </w:r>
      <w:r>
        <w:t xml:space="preserve">Implement monitoring and incident management tools integrated with the severity matrix and automated notifications.</w:t>
      </w:r>
    </w:p>
    <w:bookmarkEnd w:id="64"/>
    <w:bookmarkStart w:id="65" w:name="knowledge-base-outline"/>
    <w:p>
      <w:pPr>
        <w:pStyle w:val="Heading3"/>
      </w:pPr>
      <w:r>
        <w:t xml:space="preserve">14 – Knowledge Base Outline</w:t>
      </w:r>
    </w:p>
    <w:p>
      <w:pPr>
        <w:pStyle w:val="FirstParagraph"/>
      </w:pPr>
      <w:r>
        <w:t xml:space="preserve">To empower users and reduce support requests, the knowledge base should include:</w:t>
      </w:r>
    </w:p>
    <w:p>
      <w:pPr>
        <w:pStyle w:val="Compact"/>
        <w:numPr>
          <w:ilvl w:val="0"/>
          <w:numId w:val="1010"/>
        </w:numPr>
      </w:pPr>
      <w:r>
        <w:rPr>
          <w:b/>
          <w:bCs/>
        </w:rPr>
        <w:t xml:space="preserve">Getting Started:</w:t>
      </w:r>
      <w:r>
        <w:t xml:space="preserve"> </w:t>
      </w:r>
      <w:r>
        <w:t xml:space="preserve">account creation, onboarding guidance, navigation tutorials.</w:t>
      </w:r>
    </w:p>
    <w:p>
      <w:pPr>
        <w:pStyle w:val="Compact"/>
        <w:numPr>
          <w:ilvl w:val="0"/>
          <w:numId w:val="1010"/>
        </w:numPr>
      </w:pPr>
      <w:r>
        <w:rPr>
          <w:b/>
          <w:bCs/>
        </w:rPr>
        <w:t xml:space="preserve">Using BecomingOS:</w:t>
      </w:r>
      <w:r>
        <w:t xml:space="preserve"> </w:t>
      </w:r>
      <w:r>
        <w:t xml:space="preserve">how to access and interpret educational content, journaling features, reflection prompts.</w:t>
      </w:r>
    </w:p>
    <w:p>
      <w:pPr>
        <w:pStyle w:val="Compact"/>
        <w:numPr>
          <w:ilvl w:val="0"/>
          <w:numId w:val="1010"/>
        </w:numPr>
      </w:pPr>
      <w:r>
        <w:rPr>
          <w:b/>
          <w:bCs/>
        </w:rPr>
        <w:t xml:space="preserve">Account Management:</w:t>
      </w:r>
      <w:r>
        <w:t xml:space="preserve"> </w:t>
      </w:r>
      <w:r>
        <w:t xml:space="preserve">password resets, updating email, changing settings.</w:t>
      </w:r>
    </w:p>
    <w:p>
      <w:pPr>
        <w:pStyle w:val="Compact"/>
        <w:numPr>
          <w:ilvl w:val="0"/>
          <w:numId w:val="1010"/>
        </w:numPr>
      </w:pPr>
      <w:r>
        <w:rPr>
          <w:b/>
          <w:bCs/>
        </w:rPr>
        <w:t xml:space="preserve">Privacy &amp; Data:</w:t>
      </w:r>
      <w:r>
        <w:t xml:space="preserve"> </w:t>
      </w:r>
      <w:r>
        <w:t xml:space="preserve">explanation of data practices, how to delete your account, how to export data, consent management.</w:t>
      </w:r>
    </w:p>
    <w:p>
      <w:pPr>
        <w:pStyle w:val="Compact"/>
        <w:numPr>
          <w:ilvl w:val="0"/>
          <w:numId w:val="1010"/>
        </w:numPr>
      </w:pPr>
      <w:r>
        <w:rPr>
          <w:b/>
          <w:bCs/>
        </w:rPr>
        <w:t xml:space="preserve">Safety and Boundaries:</w:t>
      </w:r>
      <w:r>
        <w:t xml:space="preserve"> </w:t>
      </w:r>
      <w:r>
        <w:t xml:space="preserve">limitations of BecomingOS, no therapy disclaimer, crisis resources (with country‑specific links to crisis lines and emergency services), data usage disclosures.</w:t>
      </w:r>
    </w:p>
    <w:p>
      <w:pPr>
        <w:pStyle w:val="Compact"/>
        <w:numPr>
          <w:ilvl w:val="0"/>
          <w:numId w:val="1010"/>
        </w:numPr>
      </w:pPr>
      <w:r>
        <w:rPr>
          <w:b/>
          <w:bCs/>
        </w:rPr>
        <w:t xml:space="preserve">Troubleshooting:</w:t>
      </w:r>
      <w:r>
        <w:t xml:space="preserve"> </w:t>
      </w:r>
      <w:r>
        <w:t xml:space="preserve">common issues (e.g., login problems, syncing issues) and resolutions.</w:t>
      </w:r>
    </w:p>
    <w:p>
      <w:pPr>
        <w:pStyle w:val="Compact"/>
        <w:numPr>
          <w:ilvl w:val="0"/>
          <w:numId w:val="1010"/>
        </w:numPr>
      </w:pPr>
      <w:r>
        <w:rPr>
          <w:b/>
          <w:bCs/>
        </w:rPr>
        <w:t xml:space="preserve">Release Notes:</w:t>
      </w:r>
      <w:r>
        <w:t xml:space="preserve"> </w:t>
      </w:r>
      <w:r>
        <w:t xml:space="preserve">updates, new features, bug fixes.</w:t>
      </w:r>
    </w:p>
    <w:p>
      <w:pPr>
        <w:pStyle w:val="FirstParagraph"/>
      </w:pPr>
      <w:r>
        <w:t xml:space="preserve">Each article should be concise, searchable, and include step‑by‑step instructions and screenshots where helpful. Avoid long prose; instead, use headings, bullet points and short paragraphs.</w:t>
      </w:r>
    </w:p>
    <w:bookmarkEnd w:id="65"/>
    <w:bookmarkEnd w:id="66"/>
    <w:bookmarkStart w:id="67" w:name="conclusion"/>
    <w:p>
      <w:pPr>
        <w:pStyle w:val="Heading2"/>
      </w:pPr>
      <w:r>
        <w:t xml:space="preserve">Conclusion</w:t>
      </w:r>
    </w:p>
    <w:p>
      <w:pPr>
        <w:pStyle w:val="FirstParagraph"/>
      </w:pPr>
      <w:r>
        <w:t xml:space="preserve">This playbook establishes BecomingOS’s support and operations framework for both the closed beta and production launch. It covers workflows for user support, account deletion, data export, consent revocation, AI safety incidents, privacy and security incidents, crisis escalation boundaries, scripts, severity levels, incident response, training plans, and support expansion. By following these guidelines, BecomingOS can provide responsive, compliant and empathetic support while safeguarding users’ privacy and wellbeing.</w:t>
      </w:r>
    </w:p>
    <w:bookmarkEnd w:id="67"/>
    <w:bookmarkEnd w:id="68"/>
    <w:bookmarkEnd w:id="69"/>
    <w:p>
      <w:r>
        <w:pict>
          <v:rect style="width:0;height:1.5pt" o:hralign="center" o:hrstd="t" o:hr="t"/>
        </w:pict>
      </w:r>
    </w:p>
    <w:bookmarkStart w:id="74" w:name="citations"/>
    <w:p>
      <w:pPr>
        <w:pStyle w:val="FirstParagraph"/>
      </w:pPr>
      <w:hyperlink r:id="rId21">
        <w:r>
          <w:rPr>
            <w:rStyle w:val="Hyperlink"/>
          </w:rPr>
          <w:t xml:space="preserve">[1]</w:t>
        </w:r>
      </w:hyperlink>
      <w:r>
        <w:t xml:space="preserve"> </w:t>
      </w:r>
      <w:hyperlink r:id="rId38">
        <w:r>
          <w:rPr>
            <w:rStyle w:val="Hyperlink"/>
          </w:rPr>
          <w:t xml:space="preserve">[14]</w:t>
        </w:r>
      </w:hyperlink>
      <w:r>
        <w:t xml:space="preserve"> </w:t>
      </w:r>
      <w:hyperlink r:id="rId40">
        <w:r>
          <w:rPr>
            <w:rStyle w:val="Hyperlink"/>
          </w:rPr>
          <w:t xml:space="preserve">[16]</w:t>
        </w:r>
      </w:hyperlink>
      <w:r>
        <w:t xml:space="preserve"> </w:t>
      </w:r>
      <w:hyperlink r:id="rId41">
        <w:r>
          <w:rPr>
            <w:rStyle w:val="Hyperlink"/>
          </w:rPr>
          <w:t xml:space="preserve">[17]</w:t>
        </w:r>
      </w:hyperlink>
      <w:r>
        <w:t xml:space="preserve"> </w:t>
      </w:r>
      <w:r>
        <w:t xml:space="preserve">Best Practices for GDPR-Compliant Data Deletion</w:t>
      </w:r>
    </w:p>
    <w:p>
      <w:pPr>
        <w:pStyle w:val="BodyText"/>
      </w:pPr>
      <w:hyperlink r:id="rId70">
        <w:r>
          <w:rPr>
            <w:rStyle w:val="Hyperlink"/>
          </w:rPr>
          <w:t xml:space="preserve">https://www.reform.app/blog/best-practices-gdpr-compliant-data-deletion</w:t>
        </w:r>
      </w:hyperlink>
    </w:p>
    <w:p>
      <w:pPr>
        <w:pStyle w:val="BodyText"/>
      </w:pPr>
      <w:hyperlink r:id="rId23">
        <w:r>
          <w:rPr>
            <w:rStyle w:val="Hyperlink"/>
          </w:rPr>
          <w:t xml:space="preserve">[2]</w:t>
        </w:r>
      </w:hyperlink>
      <w:r>
        <w:t xml:space="preserve"> </w:t>
      </w:r>
      <w:hyperlink r:id="rId24">
        <w:r>
          <w:rPr>
            <w:rStyle w:val="Hyperlink"/>
          </w:rPr>
          <w:t xml:space="preserve">[3]</w:t>
        </w:r>
      </w:hyperlink>
      <w:r>
        <w:t xml:space="preserve"> </w:t>
      </w:r>
      <w:hyperlink r:id="rId35">
        <w:r>
          <w:rPr>
            <w:rStyle w:val="Hyperlink"/>
          </w:rPr>
          <w:t xml:space="preserve">[11]</w:t>
        </w:r>
      </w:hyperlink>
      <w:r>
        <w:t xml:space="preserve"> </w:t>
      </w:r>
      <w:hyperlink r:id="rId36">
        <w:r>
          <w:rPr>
            <w:rStyle w:val="Hyperlink"/>
          </w:rPr>
          <w:t xml:space="preserve">[12]</w:t>
        </w:r>
      </w:hyperlink>
      <w:r>
        <w:t xml:space="preserve"> </w:t>
      </w:r>
      <w:hyperlink r:id="rId37">
        <w:r>
          <w:rPr>
            <w:rStyle w:val="Hyperlink"/>
          </w:rPr>
          <w:t xml:space="preserve">[13]</w:t>
        </w:r>
      </w:hyperlink>
      <w:r>
        <w:t xml:space="preserve"> </w:t>
      </w:r>
      <w:hyperlink r:id="rId39">
        <w:r>
          <w:rPr>
            <w:rStyle w:val="Hyperlink"/>
          </w:rPr>
          <w:t xml:space="preserve">[15]</w:t>
        </w:r>
      </w:hyperlink>
      <w:r>
        <w:t xml:space="preserve"> </w:t>
      </w:r>
      <w:hyperlink r:id="rId43">
        <w:r>
          <w:rPr>
            <w:rStyle w:val="Hyperlink"/>
          </w:rPr>
          <w:t xml:space="preserve">[18]</w:t>
        </w:r>
      </w:hyperlink>
      <w:r>
        <w:t xml:space="preserve"> </w:t>
      </w:r>
      <w:hyperlink r:id="rId44">
        <w:r>
          <w:rPr>
            <w:rStyle w:val="Hyperlink"/>
          </w:rPr>
          <w:t xml:space="preserve">[19]</w:t>
        </w:r>
      </w:hyperlink>
      <w:r>
        <w:t xml:space="preserve"> </w:t>
      </w:r>
      <w:hyperlink r:id="rId45">
        <w:r>
          <w:rPr>
            <w:rStyle w:val="Hyperlink"/>
          </w:rPr>
          <w:t xml:space="preserve">[20]</w:t>
        </w:r>
      </w:hyperlink>
      <w:r>
        <w:t xml:space="preserve"> </w:t>
      </w:r>
      <w:hyperlink r:id="rId46">
        <w:r>
          <w:rPr>
            <w:rStyle w:val="Hyperlink"/>
          </w:rPr>
          <w:t xml:space="preserve">[21]</w:t>
        </w:r>
      </w:hyperlink>
      <w:r>
        <w:t xml:space="preserve"> </w:t>
      </w:r>
      <w:hyperlink r:id="rId47">
        <w:r>
          <w:rPr>
            <w:rStyle w:val="Hyperlink"/>
          </w:rPr>
          <w:t xml:space="preserve">[22]</w:t>
        </w:r>
      </w:hyperlink>
      <w:r>
        <w:t xml:space="preserve"> </w:t>
      </w:r>
      <w:hyperlink r:id="rId61">
        <w:r>
          <w:rPr>
            <w:rStyle w:val="Hyperlink"/>
          </w:rPr>
          <w:t xml:space="preserve">[29]</w:t>
        </w:r>
      </w:hyperlink>
      <w:r>
        <w:t xml:space="preserve"> </w:t>
      </w:r>
      <w:r>
        <w:t xml:space="preserve">Responding to a GDPR Data Subject Access Request (DSAR) - GetTerms</w:t>
      </w:r>
    </w:p>
    <w:p>
      <w:pPr>
        <w:pStyle w:val="BodyText"/>
      </w:pPr>
      <w:hyperlink r:id="rId61">
        <w:r>
          <w:rPr>
            <w:rStyle w:val="Hyperlink"/>
          </w:rPr>
          <w:t xml:space="preserve">https://getterms.io/blog/responding-to-a-gdpr-data-subject-access-request-dsar</w:t>
        </w:r>
      </w:hyperlink>
    </w:p>
    <w:p>
      <w:pPr>
        <w:pStyle w:val="BodyText"/>
      </w:pPr>
      <w:hyperlink r:id="rId25">
        <w:r>
          <w:rPr>
            <w:rStyle w:val="Hyperlink"/>
          </w:rPr>
          <w:t xml:space="preserve">[4]</w:t>
        </w:r>
      </w:hyperlink>
      <w:r>
        <w:t xml:space="preserve"> </w:t>
      </w:r>
      <w:r>
        <w:t xml:space="preserve">Responding to behavioral health crises | Mental Health America</w:t>
      </w:r>
    </w:p>
    <w:p>
      <w:pPr>
        <w:pStyle w:val="BodyText"/>
      </w:pPr>
      <w:hyperlink r:id="rId71">
        <w:r>
          <w:rPr>
            <w:rStyle w:val="Hyperlink"/>
          </w:rPr>
          <w:t xml:space="preserve">https://mhanational.org/position-statements/responding-to-behavioral-health-crises/</w:t>
        </w:r>
      </w:hyperlink>
    </w:p>
    <w:p>
      <w:pPr>
        <w:pStyle w:val="BodyText"/>
      </w:pPr>
      <w:hyperlink r:id="rId28">
        <w:r>
          <w:rPr>
            <w:rStyle w:val="Hyperlink"/>
          </w:rPr>
          <w:t xml:space="preserve">[5]</w:t>
        </w:r>
      </w:hyperlink>
      <w:r>
        <w:t xml:space="preserve"> </w:t>
      </w:r>
      <w:hyperlink r:id="rId28">
        <w:r>
          <w:rPr>
            <w:rStyle w:val="Hyperlink"/>
          </w:rPr>
          <w:t xml:space="preserve">[6]</w:t>
        </w:r>
      </w:hyperlink>
      <w:r>
        <w:t xml:space="preserve"> </w:t>
      </w:r>
      <w:hyperlink r:id="rId29">
        <w:r>
          <w:rPr>
            <w:rStyle w:val="Hyperlink"/>
          </w:rPr>
          <w:t xml:space="preserve">[7]</w:t>
        </w:r>
      </w:hyperlink>
      <w:r>
        <w:t xml:space="preserve"> </w:t>
      </w:r>
      <w:hyperlink r:id="rId30">
        <w:r>
          <w:rPr>
            <w:rStyle w:val="Hyperlink"/>
          </w:rPr>
          <w:t xml:space="preserve">[8]</w:t>
        </w:r>
      </w:hyperlink>
      <w:r>
        <w:t xml:space="preserve"> </w:t>
      </w:r>
      <w:hyperlink r:id="rId31">
        <w:r>
          <w:rPr>
            <w:rStyle w:val="Hyperlink"/>
          </w:rPr>
          <w:t xml:space="preserve">[9]</w:t>
        </w:r>
      </w:hyperlink>
      <w:r>
        <w:t xml:space="preserve"> </w:t>
      </w:r>
      <w:hyperlink r:id="rId32">
        <w:r>
          <w:rPr>
            <w:rStyle w:val="Hyperlink"/>
          </w:rPr>
          <w:t xml:space="preserve">[10]</w:t>
        </w:r>
      </w:hyperlink>
      <w:r>
        <w:t xml:space="preserve"> </w:t>
      </w:r>
      <w:hyperlink r:id="rId29">
        <w:r>
          <w:rPr>
            <w:rStyle w:val="Hyperlink"/>
          </w:rPr>
          <w:t xml:space="preserve">[23]</w:t>
        </w:r>
      </w:hyperlink>
      <w:r>
        <w:t xml:space="preserve"> </w:t>
      </w:r>
      <w:r>
        <w:t xml:space="preserve">Odown Blog | Incident Severity Levels: From SEV1 to SEV5 Classifications</w:t>
      </w:r>
    </w:p>
    <w:p>
      <w:pPr>
        <w:pStyle w:val="BodyText"/>
      </w:pPr>
      <w:hyperlink r:id="rId72">
        <w:r>
          <w:rPr>
            <w:rStyle w:val="Hyperlink"/>
          </w:rPr>
          <w:t xml:space="preserve">https://odown.com/blog/incident-severity-levels/</w:t>
        </w:r>
      </w:hyperlink>
    </w:p>
    <w:p>
      <w:pPr>
        <w:pStyle w:val="BodyText"/>
      </w:pPr>
      <w:hyperlink r:id="rId50">
        <w:r>
          <w:rPr>
            <w:rStyle w:val="Hyperlink"/>
          </w:rPr>
          <w:t xml:space="preserve">[24]</w:t>
        </w:r>
      </w:hyperlink>
      <w:r>
        <w:t xml:space="preserve"> </w:t>
      </w:r>
      <w:hyperlink r:id="rId51">
        <w:r>
          <w:rPr>
            <w:rStyle w:val="Hyperlink"/>
          </w:rPr>
          <w:t xml:space="preserve">[25]</w:t>
        </w:r>
      </w:hyperlink>
      <w:r>
        <w:t xml:space="preserve"> </w:t>
      </w:r>
      <w:hyperlink r:id="rId52">
        <w:r>
          <w:rPr>
            <w:rStyle w:val="Hyperlink"/>
          </w:rPr>
          <w:t xml:space="preserve">[26]</w:t>
        </w:r>
      </w:hyperlink>
      <w:r>
        <w:t xml:space="preserve"> </w:t>
      </w:r>
      <w:hyperlink r:id="rId53">
        <w:r>
          <w:rPr>
            <w:rStyle w:val="Hyperlink"/>
          </w:rPr>
          <w:t xml:space="preserve">[27]</w:t>
        </w:r>
      </w:hyperlink>
      <w:r>
        <w:t xml:space="preserve"> </w:t>
      </w:r>
      <w:hyperlink r:id="rId54">
        <w:r>
          <w:rPr>
            <w:rStyle w:val="Hyperlink"/>
          </w:rPr>
          <w:t xml:space="preserve">[28]</w:t>
        </w:r>
      </w:hyperlink>
      <w:r>
        <w:t xml:space="preserve"> </w:t>
      </w:r>
      <w:hyperlink r:id="rId50">
        <w:r>
          <w:rPr>
            <w:rStyle w:val="Hyperlink"/>
          </w:rPr>
          <w:t xml:space="preserve">[30]</w:t>
        </w:r>
      </w:hyperlink>
      <w:r>
        <w:t xml:space="preserve"> </w:t>
      </w:r>
      <w:r>
        <w:t xml:space="preserve">Got AI? Then Get an AI Incident Response Plan</w:t>
      </w:r>
    </w:p>
    <w:p>
      <w:pPr>
        <w:pStyle w:val="BodyText"/>
      </w:pPr>
      <w:hyperlink r:id="rId73">
        <w:r>
          <w:rPr>
            <w:rStyle w:val="Hyperlink"/>
          </w:rPr>
          <w:t xml:space="preserve">https://www.pivotpointsecurity.com/got-ai-then-get-an-ai-incident-response-plan/</w:t>
        </w:r>
      </w:hyperlink>
    </w:p>
    <w:bookmarkEnd w:id="7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1" Target="https://getterms.io/blog/responding-to-a-gdpr-data-subject-access-request-dsar" TargetMode="External" /><Relationship Type="http://schemas.openxmlformats.org/officeDocument/2006/relationships/hyperlink" Id="rId47" Target="https://getterms.io/blog/responding-to-a-gdpr-data-subject-access-request-dsar#:~:text=1,copy%20of%20your%20privacy%20policy" TargetMode="External" /><Relationship Type="http://schemas.openxmlformats.org/officeDocument/2006/relationships/hyperlink" Id="rId37" Target="https://getterms.io/blog/responding-to-a-gdpr-data-subject-access-request-dsar#:~:text=1,data%20sent%2C%20and%20the%20outcome" TargetMode="External" /><Relationship Type="http://schemas.openxmlformats.org/officeDocument/2006/relationships/hyperlink" Id="rId35" Target="https://getterms.io/blog/responding-to-a-gdpr-data-subject-access-request-dsar#:~:text=1,request%20the%20minimum%20information%20necessary" TargetMode="External" /><Relationship Type="http://schemas.openxmlformats.org/officeDocument/2006/relationships/hyperlink" Id="rId24" Target="https://getterms.io/blog/responding-to-a-gdpr-data-subject-access-request-dsar#:~:text=7,If%20you%20have%20the" TargetMode="External" /><Relationship Type="http://schemas.openxmlformats.org/officeDocument/2006/relationships/hyperlink" Id="rId39" Target="https://getterms.io/blog/responding-to-a-gdpr-data-subject-access-request-dsar#:~:text=7,this%20is%20required" TargetMode="External" /><Relationship Type="http://schemas.openxmlformats.org/officeDocument/2006/relationships/hyperlink" Id="rId23" Target="https://getterms.io/blog/responding-to-a-gdpr-data-subject-access-request-dsar#:~:text=Steps%20for%20responding%20to%20a,DSAR" TargetMode="External" /><Relationship Type="http://schemas.openxmlformats.org/officeDocument/2006/relationships/hyperlink" Id="rId46" Target="https://getterms.io/blog/responding-to-a-gdpr-data-subject-access-request-dsar#:~:text=The%20expectation%20of%20the%20GDPR,if%20challenged%20so%20be%20reasonable" TargetMode="External" /><Relationship Type="http://schemas.openxmlformats.org/officeDocument/2006/relationships/hyperlink" Id="rId36" Target="https://getterms.io/blog/responding-to-a-gdpr-data-subject-access-request-dsar#:~:text=What%20type%20of%20identification%20is,acceptable%20to%20ask%20for" TargetMode="External" /><Relationship Type="http://schemas.openxmlformats.org/officeDocument/2006/relationships/hyperlink" Id="rId43" Target="https://getterms.io/blog/responding-to-a-gdpr-data-subject-access-request-dsar#:~:text=You%E2%80%99ll%20need%20to%20respond%20to,month%20of%20receiving%20their%20original" TargetMode="External" /><Relationship Type="http://schemas.openxmlformats.org/officeDocument/2006/relationships/hyperlink" Id="rId45" Target="https://getterms.io/blog/responding-to-a-gdpr-data-subject-access-request-dsar#:~:text=right%20to%20deny%20a%20request,request%20is%20excessive%20or%20unfounded" TargetMode="External" /><Relationship Type="http://schemas.openxmlformats.org/officeDocument/2006/relationships/hyperlink" Id="rId44" Target="https://getterms.io/blog/responding-to-a-gdpr-data-subject-access-request-dsar#:~:text=that%E2%80%99s%20fine%20%E2%80%93%20proceed%20to,51%20We" TargetMode="External" /><Relationship Type="http://schemas.openxmlformats.org/officeDocument/2006/relationships/hyperlink" Id="rId71" Target="https://mhanational.org/position-statements/responding-to-behavioral-health-crises/" TargetMode="External" /><Relationship Type="http://schemas.openxmlformats.org/officeDocument/2006/relationships/hyperlink" Id="rId25" Target="https://mhanational.org/position-statements/responding-to-behavioral-health-crises/#:~:text=,39" TargetMode="External" /><Relationship Type="http://schemas.openxmlformats.org/officeDocument/2006/relationships/hyperlink" Id="rId72" Target="https://odown.com/blog/incident-severity-levels/" TargetMode="External" /><Relationship Type="http://schemas.openxmlformats.org/officeDocument/2006/relationships/hyperlink" Id="rId28" Target="https://odown.com/blog/incident-severity-levels/#:~:text=Severity%201%20" TargetMode="External" /><Relationship Type="http://schemas.openxmlformats.org/officeDocument/2006/relationships/hyperlink" Id="rId29" Target="https://odown.com/blog/incident-severity-levels/#:~:text=Severity%202%20" TargetMode="External" /><Relationship Type="http://schemas.openxmlformats.org/officeDocument/2006/relationships/hyperlink" Id="rId30" Target="https://odown.com/blog/incident-severity-levels/#:~:text=Severity%203%20" TargetMode="External" /><Relationship Type="http://schemas.openxmlformats.org/officeDocument/2006/relationships/hyperlink" Id="rId31" Target="https://odown.com/blog/incident-severity-levels/#:~:text=Severity%204%20" TargetMode="External" /><Relationship Type="http://schemas.openxmlformats.org/officeDocument/2006/relationships/hyperlink" Id="rId32" Target="https://odown.com/blog/incident-severity-levels/#:~:text=Severity%205%20" TargetMode="External" /><Relationship Type="http://schemas.openxmlformats.org/officeDocument/2006/relationships/hyperlink" Id="rId73" Target="https://www.pivotpointsecurity.com/got-ai-then-get-an-ai-incident-response-plan/" TargetMode="External" /><Relationship Type="http://schemas.openxmlformats.org/officeDocument/2006/relationships/hyperlink" Id="rId52" Target="https://www.pivotpointsecurity.com/got-ai-then-get-an-ai-incident-response-plan/#:~:text=%2A%20An%20up,cause%20data%20to%20prevent%20recurrence" TargetMode="External" /><Relationship Type="http://schemas.openxmlformats.org/officeDocument/2006/relationships/hyperlink" Id="rId51" Target="https://www.pivotpointsecurity.com/got-ai-then-get-an-ai-incident-response-plan/#:~:text=%2A%20An%20up,damage%2C%20and%20eliminate%20malicious%20intrusions" TargetMode="External" /><Relationship Type="http://schemas.openxmlformats.org/officeDocument/2006/relationships/hyperlink" Id="rId54" Target="https://www.pivotpointsecurity.com/got-ai-then-get-an-ai-incident-response-plan/#:~:text=,keep%20humans%20in%20the%20loop" TargetMode="External" /><Relationship Type="http://schemas.openxmlformats.org/officeDocument/2006/relationships/hyperlink" Id="rId50" Target="https://www.pivotpointsecurity.com/got-ai-then-get-an-ai-incident-response-plan/#:~:text=Key%20takeaways%20%E2%88%92" TargetMode="External" /><Relationship Type="http://schemas.openxmlformats.org/officeDocument/2006/relationships/hyperlink" Id="rId53" Target="https://www.pivotpointsecurity.com/got-ai-then-get-an-ai-incident-response-plan/#:~:text=Start%20your%20AI%20incident%20response,answering%20recommended%20questions%20like%20these" TargetMode="External" /><Relationship Type="http://schemas.openxmlformats.org/officeDocument/2006/relationships/hyperlink" Id="rId70" Target="https://www.reform.app/blog/best-practices-gdpr-compliant-data-deletion" TargetMode="External" /><Relationship Type="http://schemas.openxmlformats.org/officeDocument/2006/relationships/hyperlink" Id="rId41" Target="https://www.reform.app/blog/best-practices-gdpr-compliant-data-deletion#:~:text=,beyond%20use" TargetMode="External" /><Relationship Type="http://schemas.openxmlformats.org/officeDocument/2006/relationships/hyperlink" Id="rId40" Target="https://www.reform.app/blog/best-practices-gdpr-compliant-data-deletion#:~:text=,reduce%20errors%20and%20meet%20deadlines" TargetMode="External" /><Relationship Type="http://schemas.openxmlformats.org/officeDocument/2006/relationships/hyperlink" Id="rId21" Target="https://www.reform.app/blog/best-practices-gdpr-compliant-data-deletion#:~:text=If%20your%20business%20handles%20personal,and%20can%20damage%20customer%20trust" TargetMode="External" /><Relationship Type="http://schemas.openxmlformats.org/officeDocument/2006/relationships/hyperlink" Id="rId38" Target="https://www.reform.app/blog/best-practices-gdpr-compliant-data-deletion#:~:text=When%20You%20Must%20Delete%20Data" TargetMode="External" /></Relationships>
</file>

<file path=word/_rels/footnotes.xml.rels><?xml version="1.0" encoding="UTF-8"?><Relationships xmlns="http://schemas.openxmlformats.org/package/2006/relationships"><Relationship Type="http://schemas.openxmlformats.org/officeDocument/2006/relationships/hyperlink" Id="rId61" Target="https://getterms.io/blog/responding-to-a-gdpr-data-subject-access-request-dsar" TargetMode="External" /><Relationship Type="http://schemas.openxmlformats.org/officeDocument/2006/relationships/hyperlink" Id="rId47" Target="https://getterms.io/blog/responding-to-a-gdpr-data-subject-access-request-dsar#:~:text=1,copy%20of%20your%20privacy%20policy" TargetMode="External" /><Relationship Type="http://schemas.openxmlformats.org/officeDocument/2006/relationships/hyperlink" Id="rId37" Target="https://getterms.io/blog/responding-to-a-gdpr-data-subject-access-request-dsar#:~:text=1,data%20sent%2C%20and%20the%20outcome" TargetMode="External" /><Relationship Type="http://schemas.openxmlformats.org/officeDocument/2006/relationships/hyperlink" Id="rId35" Target="https://getterms.io/blog/responding-to-a-gdpr-data-subject-access-request-dsar#:~:text=1,request%20the%20minimum%20information%20necessary" TargetMode="External" /><Relationship Type="http://schemas.openxmlformats.org/officeDocument/2006/relationships/hyperlink" Id="rId24" Target="https://getterms.io/blog/responding-to-a-gdpr-data-subject-access-request-dsar#:~:text=7,If%20you%20have%20the" TargetMode="External" /><Relationship Type="http://schemas.openxmlformats.org/officeDocument/2006/relationships/hyperlink" Id="rId39" Target="https://getterms.io/blog/responding-to-a-gdpr-data-subject-access-request-dsar#:~:text=7,this%20is%20required" TargetMode="External" /><Relationship Type="http://schemas.openxmlformats.org/officeDocument/2006/relationships/hyperlink" Id="rId23" Target="https://getterms.io/blog/responding-to-a-gdpr-data-subject-access-request-dsar#:~:text=Steps%20for%20responding%20to%20a,DSAR" TargetMode="External" /><Relationship Type="http://schemas.openxmlformats.org/officeDocument/2006/relationships/hyperlink" Id="rId46" Target="https://getterms.io/blog/responding-to-a-gdpr-data-subject-access-request-dsar#:~:text=The%20expectation%20of%20the%20GDPR,if%20challenged%20so%20be%20reasonable" TargetMode="External" /><Relationship Type="http://schemas.openxmlformats.org/officeDocument/2006/relationships/hyperlink" Id="rId36" Target="https://getterms.io/blog/responding-to-a-gdpr-data-subject-access-request-dsar#:~:text=What%20type%20of%20identification%20is,acceptable%20to%20ask%20for" TargetMode="External" /><Relationship Type="http://schemas.openxmlformats.org/officeDocument/2006/relationships/hyperlink" Id="rId43" Target="https://getterms.io/blog/responding-to-a-gdpr-data-subject-access-request-dsar#:~:text=You%E2%80%99ll%20need%20to%20respond%20to,month%20of%20receiving%20their%20original" TargetMode="External" /><Relationship Type="http://schemas.openxmlformats.org/officeDocument/2006/relationships/hyperlink" Id="rId45" Target="https://getterms.io/blog/responding-to-a-gdpr-data-subject-access-request-dsar#:~:text=right%20to%20deny%20a%20request,request%20is%20excessive%20or%20unfounded" TargetMode="External" /><Relationship Type="http://schemas.openxmlformats.org/officeDocument/2006/relationships/hyperlink" Id="rId44" Target="https://getterms.io/blog/responding-to-a-gdpr-data-subject-access-request-dsar#:~:text=that%E2%80%99s%20fine%20%E2%80%93%20proceed%20to,51%20We" TargetMode="External" /><Relationship Type="http://schemas.openxmlformats.org/officeDocument/2006/relationships/hyperlink" Id="rId71" Target="https://mhanational.org/position-statements/responding-to-behavioral-health-crises/" TargetMode="External" /><Relationship Type="http://schemas.openxmlformats.org/officeDocument/2006/relationships/hyperlink" Id="rId25" Target="https://mhanational.org/position-statements/responding-to-behavioral-health-crises/#:~:text=,39" TargetMode="External" /><Relationship Type="http://schemas.openxmlformats.org/officeDocument/2006/relationships/hyperlink" Id="rId72" Target="https://odown.com/blog/incident-severity-levels/" TargetMode="External" /><Relationship Type="http://schemas.openxmlformats.org/officeDocument/2006/relationships/hyperlink" Id="rId28" Target="https://odown.com/blog/incident-severity-levels/#:~:text=Severity%201%20" TargetMode="External" /><Relationship Type="http://schemas.openxmlformats.org/officeDocument/2006/relationships/hyperlink" Id="rId29" Target="https://odown.com/blog/incident-severity-levels/#:~:text=Severity%202%20" TargetMode="External" /><Relationship Type="http://schemas.openxmlformats.org/officeDocument/2006/relationships/hyperlink" Id="rId30" Target="https://odown.com/blog/incident-severity-levels/#:~:text=Severity%203%20" TargetMode="External" /><Relationship Type="http://schemas.openxmlformats.org/officeDocument/2006/relationships/hyperlink" Id="rId31" Target="https://odown.com/blog/incident-severity-levels/#:~:text=Severity%204%20" TargetMode="External" /><Relationship Type="http://schemas.openxmlformats.org/officeDocument/2006/relationships/hyperlink" Id="rId32" Target="https://odown.com/blog/incident-severity-levels/#:~:text=Severity%205%20" TargetMode="External" /><Relationship Type="http://schemas.openxmlformats.org/officeDocument/2006/relationships/hyperlink" Id="rId73" Target="https://www.pivotpointsecurity.com/got-ai-then-get-an-ai-incident-response-plan/" TargetMode="External" /><Relationship Type="http://schemas.openxmlformats.org/officeDocument/2006/relationships/hyperlink" Id="rId52" Target="https://www.pivotpointsecurity.com/got-ai-then-get-an-ai-incident-response-plan/#:~:text=%2A%20An%20up,cause%20data%20to%20prevent%20recurrence" TargetMode="External" /><Relationship Type="http://schemas.openxmlformats.org/officeDocument/2006/relationships/hyperlink" Id="rId51" Target="https://www.pivotpointsecurity.com/got-ai-then-get-an-ai-incident-response-plan/#:~:text=%2A%20An%20up,damage%2C%20and%20eliminate%20malicious%20intrusions" TargetMode="External" /><Relationship Type="http://schemas.openxmlformats.org/officeDocument/2006/relationships/hyperlink" Id="rId54" Target="https://www.pivotpointsecurity.com/got-ai-then-get-an-ai-incident-response-plan/#:~:text=,keep%20humans%20in%20the%20loop" TargetMode="External" /><Relationship Type="http://schemas.openxmlformats.org/officeDocument/2006/relationships/hyperlink" Id="rId50" Target="https://www.pivotpointsecurity.com/got-ai-then-get-an-ai-incident-response-plan/#:~:text=Key%20takeaways%20%E2%88%92" TargetMode="External" /><Relationship Type="http://schemas.openxmlformats.org/officeDocument/2006/relationships/hyperlink" Id="rId53" Target="https://www.pivotpointsecurity.com/got-ai-then-get-an-ai-incident-response-plan/#:~:text=Start%20your%20AI%20incident%20response,answering%20recommended%20questions%20like%20these" TargetMode="External" /><Relationship Type="http://schemas.openxmlformats.org/officeDocument/2006/relationships/hyperlink" Id="rId70" Target="https://www.reform.app/blog/best-practices-gdpr-compliant-data-deletion" TargetMode="External" /><Relationship Type="http://schemas.openxmlformats.org/officeDocument/2006/relationships/hyperlink" Id="rId41" Target="https://www.reform.app/blog/best-practices-gdpr-compliant-data-deletion#:~:text=,beyond%20use" TargetMode="External" /><Relationship Type="http://schemas.openxmlformats.org/officeDocument/2006/relationships/hyperlink" Id="rId40" Target="https://www.reform.app/blog/best-practices-gdpr-compliant-data-deletion#:~:text=,reduce%20errors%20and%20meet%20deadlines" TargetMode="External" /><Relationship Type="http://schemas.openxmlformats.org/officeDocument/2006/relationships/hyperlink" Id="rId21" Target="https://www.reform.app/blog/best-practices-gdpr-compliant-data-deletion#:~:text=If%20your%20business%20handles%20personal,and%20can%20damage%20customer%20trust" TargetMode="External" /><Relationship Type="http://schemas.openxmlformats.org/officeDocument/2006/relationships/hyperlink" Id="rId38" Target="https://www.reform.app/blog/best-practices-gdpr-compliant-data-deletion#:~:text=When%20You%20Must%20Delete%20Dat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2026-05-16T09:19:31Z</dcterms:created>
  <dcterms:modified xsi:type="dcterms:W3CDTF">2026-05-16T09:19:31Z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