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becomingos-legal-claims-review-pack"/>
    <w:p>
      <w:pPr>
        <w:pStyle w:val="Heading1"/>
      </w:pPr>
      <w:r>
        <w:t xml:space="preserve">BecomingOS Legal Claims Review Pack</w:t>
      </w:r>
    </w:p>
    <w:bookmarkStart w:id="26" w:name="executive-summary"/>
    <w:p>
      <w:pPr>
        <w:pStyle w:val="Heading2"/>
      </w:pPr>
      <w:r>
        <w:t xml:space="preserve">Executive summary</w:t>
      </w:r>
    </w:p>
    <w:p>
      <w:pPr>
        <w:pStyle w:val="FirstParagraph"/>
      </w:pPr>
      <w:r>
        <w:rPr>
          <w:b/>
          <w:bCs/>
        </w:rPr>
        <w:t xml:space="preserve">Context and purpose</w:t>
      </w:r>
      <w:r>
        <w:t xml:space="preserve"> </w:t>
      </w:r>
      <w:r>
        <w:t xml:space="preserve">— BecomingOS is an educational and reflective tool that helps users notice patterns in their lives, articulate goals and values, and take small, aligned actions. It is not a medical or mental‑health service and does not provide diagnosis, treatment or crisis intervention. The purpose of this pack is to prepare product and marketing copy, claims, risks and questions for legal review. It summarises permissible and prohibited claims, proposes safer wording, and provides draft copy for in‑app and marketing materials.</w:t>
      </w:r>
    </w:p>
    <w:p>
      <w:pPr>
        <w:pStyle w:val="BodyText"/>
      </w:pPr>
      <w:r>
        <w:rPr>
          <w:b/>
          <w:bCs/>
        </w:rPr>
        <w:t xml:space="preserve">Regulatory backdrop</w:t>
      </w:r>
      <w:r>
        <w:t xml:space="preserve"> </w:t>
      </w:r>
      <w:r>
        <w:t xml:space="preserve">— Mental‑health and wellness apps are often scrutinised under medical‑device and healthcare regulations. The U.S. FDA notes that educational and wellness software functions are not regulated when they do not diagnose or treat disease and are intended only for general education or self‑management</w:t>
      </w:r>
      <w:hyperlink r:id="rId21">
        <w:r>
          <w:rPr>
            <w:rStyle w:val="Hyperlink"/>
          </w:rPr>
          <w:t xml:space="preserve">[1]</w:t>
        </w:r>
      </w:hyperlink>
      <w:r>
        <w:t xml:space="preserve">. Similarly, Australian guidance classifies non‑medical mental‑health tools as “consumer health products” excluded from therapeutic‑goods regulation when they do not provide medical treatment, advice or diagnosis</w:t>
      </w:r>
      <w:hyperlink r:id="rId22">
        <w:r>
          <w:rPr>
            <w:rStyle w:val="Hyperlink"/>
          </w:rPr>
          <w:t xml:space="preserve">[2]</w:t>
        </w:r>
      </w:hyperlink>
      <w:r>
        <w:t xml:space="preserve">. Disclaimers from mental‑health wellness products emphasise that they are not medical services, cannot replace licensed professionals, do not provide diagnosis or treatment, and cannot handle emergencies</w:t>
      </w:r>
      <w:hyperlink r:id="rId22">
        <w:r>
          <w:rPr>
            <w:rStyle w:val="Hyperlink"/>
          </w:rPr>
          <w:t xml:space="preserve">[2]</w:t>
        </w:r>
      </w:hyperlink>
      <w:r>
        <w:t xml:space="preserve">. They also urge users to consult physicians or mental‑health providers for personal health matters and direct users in crisis to emergency services or crisis hotlines</w:t>
      </w:r>
      <w:hyperlink r:id="rId23">
        <w:r>
          <w:rPr>
            <w:rStyle w:val="Hyperlink"/>
          </w:rPr>
          <w:t xml:space="preserve">[3]</w:t>
        </w:r>
      </w:hyperlink>
      <w:hyperlink r:id="rId24">
        <w:r>
          <w:rPr>
            <w:rStyle w:val="Hyperlink"/>
          </w:rPr>
          <w:t xml:space="preserve">[4]</w:t>
        </w:r>
      </w:hyperlink>
      <w:r>
        <w:t xml:space="preserve">.</w:t>
      </w:r>
    </w:p>
    <w:p>
      <w:pPr>
        <w:pStyle w:val="BodyText"/>
      </w:pPr>
      <w:r>
        <w:rPr>
          <w:b/>
          <w:bCs/>
        </w:rPr>
        <w:t xml:space="preserve">Safety boundaries</w:t>
      </w:r>
      <w:r>
        <w:t xml:space="preserve"> </w:t>
      </w:r>
      <w:r>
        <w:t xml:space="preserve">— These references set clear boundaries: the product must not claim to diagnose, treat or prevent mental‑health conditions; must not describe itself as therapy; must not imply it is an emergency or crisis service; must not guarantee outcomes; must not offer legal or financial advice; and must remind users that the AI cannot monitor or detect emergencies</w:t>
      </w:r>
      <w:hyperlink r:id="rId25">
        <w:r>
          <w:rPr>
            <w:rStyle w:val="Hyperlink"/>
          </w:rPr>
          <w:t xml:space="preserve">[5]</w:t>
        </w:r>
      </w:hyperlink>
      <w:r>
        <w:t xml:space="preserve">. BecomingOS should instead position itself as a supportive reflection tool and encourage users to seek professional help when needed.</w:t>
      </w:r>
    </w:p>
    <w:bookmarkEnd w:id="26"/>
    <w:bookmarkStart w:id="29" w:name="claims-inventory"/>
    <w:p>
      <w:pPr>
        <w:pStyle w:val="Heading2"/>
      </w:pPr>
      <w:r>
        <w:t xml:space="preserve">Claims inventory</w:t>
      </w:r>
    </w:p>
    <w:p>
      <w:pPr>
        <w:pStyle w:val="FirstParagraph"/>
      </w:pPr>
      <w:r>
        <w:t xml:space="preserve">The table below lists typical product/marketing statements (actual and anticipated) and categorises their risk level. "Allowed" means the claim appears consistent with the safety boundaries; "Risky" means the claim may be misinterpreted and needs modification; "Prohibited" means the claim violates the constraints (e.g., implies therapy, diagnosis or emergency support).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Claim statement</w:t>
            </w:r>
          </w:p>
        </w:tc>
        <w:tc>
          <w:tcPr/>
          <w:p>
            <w:pPr>
              <w:pStyle w:val="Compact"/>
            </w:pPr>
            <w:r>
              <w:t xml:space="preserve">Risk level</w:t>
            </w:r>
          </w:p>
        </w:tc>
        <w:tc>
          <w:tcPr/>
          <w:p>
            <w:pPr>
              <w:pStyle w:val="Compact"/>
            </w:pPr>
            <w:r>
              <w:t xml:space="preserve">Rationale / notes</w:t>
            </w:r>
          </w:p>
        </w:tc>
        <w:tc>
          <w:tcPr/>
          <w:p>
            <w:pPr>
              <w:pStyle w:val="Compact"/>
            </w:pPr>
            <w:r>
              <w:t xml:space="preserve">Recommended replacement</w:t>
            </w:r>
          </w:p>
        </w:tc>
      </w:tr>
      <w:tr>
        <w:tc>
          <w:tcPr/>
          <w:p>
            <w:pPr>
              <w:pStyle w:val="Compact"/>
            </w:pPr>
            <w:r>
              <w:t xml:space="preserve">1</w:t>
            </w:r>
          </w:p>
        </w:tc>
        <w:tc>
          <w:tcPr/>
          <w:p>
            <w:pPr>
              <w:pStyle w:val="Compact"/>
            </w:pPr>
            <w:r>
              <w:rPr>
                <w:i/>
                <w:iCs/>
              </w:rPr>
              <w:t xml:space="preserve">“BecomingOS helps you fix your life.”</w:t>
            </w:r>
          </w:p>
        </w:tc>
        <w:tc>
          <w:tcPr/>
          <w:p>
            <w:pPr>
              <w:pStyle w:val="Compact"/>
            </w:pPr>
            <w:r>
              <w:rPr>
                <w:b/>
                <w:bCs/>
              </w:rPr>
              <w:t xml:space="preserve">Prohibited</w:t>
            </w:r>
          </w:p>
        </w:tc>
        <w:tc>
          <w:tcPr/>
          <w:p>
            <w:pPr>
              <w:pStyle w:val="Compact"/>
            </w:pPr>
            <w:r>
              <w:t xml:space="preserve">Implies transformative or therapeutic effect; suggests it can fix all problems. There is no guarantee of outcomes and it should not sound like treatment or therapy.</w:t>
            </w:r>
          </w:p>
        </w:tc>
        <w:tc>
          <w:tcPr/>
          <w:p>
            <w:pPr>
              <w:pStyle w:val="Compact"/>
            </w:pPr>
            <w:r>
              <w:t xml:space="preserve">“BecomingOS helps you understand what matters and take small, aligned actions.”</w:t>
            </w:r>
          </w:p>
        </w:tc>
      </w:tr>
      <w:tr>
        <w:tc>
          <w:tcPr/>
          <w:p>
            <w:pPr>
              <w:pStyle w:val="Compact"/>
            </w:pPr>
            <w:r>
              <w:t xml:space="preserve">2</w:t>
            </w:r>
          </w:p>
        </w:tc>
        <w:tc>
          <w:tcPr/>
          <w:p>
            <w:pPr>
              <w:pStyle w:val="Compact"/>
            </w:pPr>
            <w:r>
              <w:rPr>
                <w:i/>
                <w:iCs/>
              </w:rPr>
              <w:t xml:space="preserve">“Our AI diagnoses your mental‑health state.”</w:t>
            </w:r>
          </w:p>
        </w:tc>
        <w:tc>
          <w:tcPr/>
          <w:p>
            <w:pPr>
              <w:pStyle w:val="Compact"/>
            </w:pPr>
            <w:r>
              <w:rPr>
                <w:b/>
                <w:bCs/>
              </w:rPr>
              <w:t xml:space="preserve">Prohibited</w:t>
            </w:r>
          </w:p>
        </w:tc>
        <w:tc>
          <w:tcPr/>
          <w:p>
            <w:pPr>
              <w:pStyle w:val="Compact"/>
            </w:pPr>
            <w:r>
              <w:t xml:space="preserve">Explicitly claims diagnosis, which is restricted. The product cannot provide medical or psychological diagnosis</w:t>
            </w:r>
            <w:hyperlink r:id="rId22">
              <w:r>
                <w:rPr>
                  <w:rStyle w:val="Hyperlink"/>
                </w:rPr>
                <w:t xml:space="preserve">[2]</w:t>
              </w:r>
            </w:hyperlink>
            <w:r>
              <w:t xml:space="preserve">.</w:t>
            </w:r>
          </w:p>
        </w:tc>
        <w:tc>
          <w:tcPr/>
          <w:p>
            <w:pPr>
              <w:pStyle w:val="Compact"/>
            </w:pPr>
            <w:r>
              <w:t xml:space="preserve">“Our AI summarises your reflections and drafts possible patterns for you to confirm.”</w:t>
            </w:r>
          </w:p>
        </w:tc>
      </w:tr>
      <w:tr>
        <w:tc>
          <w:tcPr/>
          <w:p>
            <w:pPr>
              <w:pStyle w:val="Compact"/>
            </w:pPr>
            <w:r>
              <w:t xml:space="preserve">3</w:t>
            </w:r>
          </w:p>
        </w:tc>
        <w:tc>
          <w:tcPr/>
          <w:p>
            <w:pPr>
              <w:pStyle w:val="Compact"/>
            </w:pPr>
            <w:r>
              <w:rPr>
                <w:i/>
                <w:iCs/>
              </w:rPr>
              <w:t xml:space="preserve">“Built‑in crisis detection to rescue you when things get bad.”</w:t>
            </w:r>
          </w:p>
        </w:tc>
        <w:tc>
          <w:tcPr/>
          <w:p>
            <w:pPr>
              <w:pStyle w:val="Compact"/>
            </w:pPr>
            <w:r>
              <w:rPr>
                <w:b/>
                <w:bCs/>
              </w:rPr>
              <w:t xml:space="preserve">Prohibited</w:t>
            </w:r>
          </w:p>
        </w:tc>
        <w:tc>
          <w:tcPr/>
          <w:p>
            <w:pPr>
              <w:pStyle w:val="Compact"/>
            </w:pPr>
            <w:r>
              <w:t xml:space="preserve">Suggests emergency monitoring or crisis intervention; not permitted</w:t>
            </w:r>
            <w:hyperlink r:id="rId25">
              <w:r>
                <w:rPr>
                  <w:rStyle w:val="Hyperlink"/>
                </w:rPr>
                <w:t xml:space="preserve">[5]</w:t>
              </w:r>
            </w:hyperlink>
            <w:r>
              <w:t xml:space="preserve">.</w:t>
            </w:r>
          </w:p>
        </w:tc>
        <w:tc>
          <w:tcPr/>
          <w:p>
            <w:pPr>
              <w:pStyle w:val="Compact"/>
            </w:pPr>
            <w:r>
              <w:t xml:space="preserve">“BecomingOS is not monitored, cannot detect crises, and cannot provide emergency assistance.”</w:t>
            </w:r>
          </w:p>
        </w:tc>
      </w:tr>
      <w:tr>
        <w:tc>
          <w:tcPr/>
          <w:p>
            <w:pPr>
              <w:pStyle w:val="Compact"/>
            </w:pPr>
            <w:r>
              <w:t xml:space="preserve">4</w:t>
            </w:r>
          </w:p>
        </w:tc>
        <w:tc>
          <w:tcPr/>
          <w:p>
            <w:pPr>
              <w:pStyle w:val="Compact"/>
            </w:pPr>
            <w:r>
              <w:rPr>
                <w:i/>
                <w:iCs/>
              </w:rPr>
              <w:t xml:space="preserve">“Personalised treatment plan tailored to you.”</w:t>
            </w:r>
          </w:p>
        </w:tc>
        <w:tc>
          <w:tcPr/>
          <w:p>
            <w:pPr>
              <w:pStyle w:val="Compact"/>
            </w:pPr>
            <w:r>
              <w:rPr>
                <w:b/>
                <w:bCs/>
              </w:rPr>
              <w:t xml:space="preserve">Prohibited</w:t>
            </w:r>
          </w:p>
        </w:tc>
        <w:tc>
          <w:tcPr/>
          <w:p>
            <w:pPr>
              <w:pStyle w:val="Compact"/>
            </w:pPr>
            <w:r>
              <w:t xml:space="preserve">Implies treatment and medical management</w:t>
            </w:r>
            <w:hyperlink r:id="rId22">
              <w:r>
                <w:rPr>
                  <w:rStyle w:val="Hyperlink"/>
                </w:rPr>
                <w:t xml:space="preserve">[2]</w:t>
              </w:r>
            </w:hyperlink>
            <w:r>
              <w:t xml:space="preserve">.</w:t>
            </w:r>
          </w:p>
        </w:tc>
        <w:tc>
          <w:tcPr/>
          <w:p>
            <w:pPr>
              <w:pStyle w:val="Compact"/>
            </w:pPr>
            <w:r>
              <w:t xml:space="preserve">“Personalised reflection and educational guidance to help you explore your goals.”</w:t>
            </w:r>
          </w:p>
        </w:tc>
      </w:tr>
      <w:tr>
        <w:tc>
          <w:tcPr/>
          <w:p>
            <w:pPr>
              <w:pStyle w:val="Compact"/>
            </w:pPr>
            <w:r>
              <w:t xml:space="preserve">5</w:t>
            </w:r>
          </w:p>
        </w:tc>
        <w:tc>
          <w:tcPr/>
          <w:p>
            <w:pPr>
              <w:pStyle w:val="Compact"/>
            </w:pPr>
            <w:r>
              <w:rPr>
                <w:i/>
                <w:iCs/>
              </w:rPr>
              <w:t xml:space="preserve">“A replacement for therapy.”</w:t>
            </w:r>
          </w:p>
        </w:tc>
        <w:tc>
          <w:tcPr/>
          <w:p>
            <w:pPr>
              <w:pStyle w:val="Compact"/>
            </w:pPr>
            <w:r>
              <w:rPr>
                <w:b/>
                <w:bCs/>
              </w:rPr>
              <w:t xml:space="preserve">Prohibited</w:t>
            </w:r>
          </w:p>
        </w:tc>
        <w:tc>
          <w:tcPr/>
          <w:p>
            <w:pPr>
              <w:pStyle w:val="Compact"/>
            </w:pPr>
            <w:r>
              <w:t xml:space="preserve">Directly claims to replace therapy; contradicts product boundaries.</w:t>
            </w:r>
          </w:p>
        </w:tc>
        <w:tc>
          <w:tcPr/>
          <w:p>
            <w:pPr>
              <w:pStyle w:val="Compact"/>
            </w:pPr>
            <w:r>
              <w:t xml:space="preserve">“Not a substitute for therapy or professional care.”</w:t>
            </w:r>
          </w:p>
        </w:tc>
      </w:tr>
      <w:tr>
        <w:tc>
          <w:tcPr/>
          <w:p>
            <w:pPr>
              <w:pStyle w:val="Compact"/>
            </w:pPr>
            <w:r>
              <w:t xml:space="preserve">6</w:t>
            </w:r>
          </w:p>
        </w:tc>
        <w:tc>
          <w:tcPr/>
          <w:p>
            <w:pPr>
              <w:pStyle w:val="Compact"/>
            </w:pPr>
            <w:r>
              <w:rPr>
                <w:i/>
                <w:iCs/>
              </w:rPr>
              <w:t xml:space="preserve">“Helps you improve your mental health and wellbeing.”</w:t>
            </w:r>
          </w:p>
        </w:tc>
        <w:tc>
          <w:tcPr/>
          <w:p>
            <w:pPr>
              <w:pStyle w:val="Compact"/>
            </w:pPr>
            <w:r>
              <w:rPr>
                <w:b/>
                <w:bCs/>
              </w:rPr>
              <w:t xml:space="preserve">Risky</w:t>
            </w:r>
          </w:p>
        </w:tc>
        <w:tc>
          <w:tcPr/>
          <w:p>
            <w:pPr>
              <w:pStyle w:val="Compact"/>
            </w:pPr>
            <w:r>
              <w:t xml:space="preserve">May imply therapeutic benefit. Allowed if framed as self‑reflection and education.</w:t>
            </w:r>
          </w:p>
        </w:tc>
        <w:tc>
          <w:tcPr/>
          <w:p>
            <w:pPr>
              <w:pStyle w:val="Compact"/>
            </w:pPr>
            <w:r>
              <w:t xml:space="preserve">“Helps you reflect on what matters to you and supports your wellbeing journey.”</w:t>
            </w:r>
          </w:p>
        </w:tc>
      </w:tr>
      <w:tr>
        <w:tc>
          <w:tcPr/>
          <w:p>
            <w:pPr>
              <w:pStyle w:val="Compact"/>
            </w:pPr>
            <w:r>
              <w:t xml:space="preserve">7</w:t>
            </w:r>
          </w:p>
        </w:tc>
        <w:tc>
          <w:tcPr/>
          <w:p>
            <w:pPr>
              <w:pStyle w:val="Compact"/>
            </w:pPr>
            <w:r>
              <w:rPr>
                <w:i/>
                <w:iCs/>
              </w:rPr>
              <w:t xml:space="preserve">“Supports mindfulness, reflection and self‑awareness.”</w:t>
            </w:r>
          </w:p>
        </w:tc>
        <w:tc>
          <w:tcPr/>
          <w:p>
            <w:pPr>
              <w:pStyle w:val="Compact"/>
            </w:pPr>
            <w:r>
              <w:rPr>
                <w:b/>
                <w:bCs/>
              </w:rPr>
              <w:t xml:space="preserve">Allowed</w:t>
            </w:r>
          </w:p>
        </w:tc>
        <w:tc>
          <w:tcPr/>
          <w:p>
            <w:pPr>
              <w:pStyle w:val="Compact"/>
            </w:pPr>
            <w:r>
              <w:t xml:space="preserve">Focuses on general wellness and self‑awareness, consistent with allowed educational/wellness functions</w:t>
            </w:r>
            <w:hyperlink r:id="rId27">
              <w:r>
                <w:rPr>
                  <w:rStyle w:val="Hyperlink"/>
                </w:rPr>
                <w:t xml:space="preserve">[6]</w:t>
              </w:r>
            </w:hyperlink>
            <w:r>
              <w:t xml:space="preserve">.</w:t>
            </w:r>
          </w:p>
        </w:tc>
        <w:tc>
          <w:tcPr/>
          <w:p>
            <w:pPr>
              <w:pStyle w:val="Compact"/>
            </w:pPr>
            <w:r>
              <w:t xml:space="preserve">No change needed.</w:t>
            </w:r>
          </w:p>
        </w:tc>
      </w:tr>
      <w:tr>
        <w:tc>
          <w:tcPr/>
          <w:p>
            <w:pPr>
              <w:pStyle w:val="Compact"/>
            </w:pPr>
            <w:r>
              <w:t xml:space="preserve">8</w:t>
            </w:r>
          </w:p>
        </w:tc>
        <w:tc>
          <w:tcPr/>
          <w:p>
            <w:pPr>
              <w:pStyle w:val="Compact"/>
            </w:pPr>
            <w:r>
              <w:rPr>
                <w:i/>
                <w:iCs/>
              </w:rPr>
              <w:t xml:space="preserve">“Guides you to make better life decisions.”</w:t>
            </w:r>
          </w:p>
        </w:tc>
        <w:tc>
          <w:tcPr/>
          <w:p>
            <w:pPr>
              <w:pStyle w:val="Compact"/>
            </w:pPr>
            <w:r>
              <w:rPr>
                <w:b/>
                <w:bCs/>
              </w:rPr>
              <w:t xml:space="preserve">Risky</w:t>
            </w:r>
          </w:p>
        </w:tc>
        <w:tc>
          <w:tcPr/>
          <w:p>
            <w:pPr>
              <w:pStyle w:val="Compact"/>
            </w:pPr>
            <w:r>
              <w:t xml:space="preserve">Could be interpreted as life‑coaching or high‑impact decision‑making. Allowed if repositioned as general educational support and emphasises user responsibility.</w:t>
            </w:r>
          </w:p>
        </w:tc>
        <w:tc>
          <w:tcPr/>
          <w:p>
            <w:pPr>
              <w:pStyle w:val="Compact"/>
            </w:pPr>
            <w:r>
              <w:t xml:space="preserve">“Provides educational tools to help you explore options; final decisions remain yours.”</w:t>
            </w:r>
          </w:p>
        </w:tc>
      </w:tr>
      <w:tr>
        <w:tc>
          <w:tcPr/>
          <w:p>
            <w:pPr>
              <w:pStyle w:val="Compact"/>
            </w:pPr>
            <w:r>
              <w:t xml:space="preserve">9</w:t>
            </w:r>
          </w:p>
        </w:tc>
        <w:tc>
          <w:tcPr/>
          <w:p>
            <w:pPr>
              <w:pStyle w:val="Compact"/>
            </w:pPr>
            <w:r>
              <w:rPr>
                <w:i/>
                <w:iCs/>
              </w:rPr>
              <w:t xml:space="preserve">“Tracks your mood and alerts you if something is wrong.”</w:t>
            </w:r>
          </w:p>
        </w:tc>
        <w:tc>
          <w:tcPr/>
          <w:p>
            <w:pPr>
              <w:pStyle w:val="Compact"/>
            </w:pPr>
            <w:r>
              <w:rPr>
                <w:b/>
                <w:bCs/>
              </w:rPr>
              <w:t xml:space="preserve">Prohibited</w:t>
            </w:r>
          </w:p>
        </w:tc>
        <w:tc>
          <w:tcPr/>
          <w:p>
            <w:pPr>
              <w:pStyle w:val="Compact"/>
            </w:pPr>
            <w:r>
              <w:t xml:space="preserve">Implies monitoring and detecting issues; may imply medical device functionality</w:t>
            </w:r>
            <w:hyperlink r:id="rId25">
              <w:r>
                <w:rPr>
                  <w:rStyle w:val="Hyperlink"/>
                </w:rPr>
                <w:t xml:space="preserve">[5]</w:t>
              </w:r>
            </w:hyperlink>
            <w:r>
              <w:t xml:space="preserve">.</w:t>
            </w:r>
          </w:p>
        </w:tc>
        <w:tc>
          <w:tcPr/>
          <w:p>
            <w:pPr>
              <w:pStyle w:val="Compact"/>
            </w:pPr>
            <w:r>
              <w:t xml:space="preserve">“Allows you to log your mood and reflect on patterns; it does not monitor or detect emergencies.”</w:t>
            </w:r>
          </w:p>
        </w:tc>
      </w:tr>
      <w:tr>
        <w:tc>
          <w:tcPr/>
          <w:p>
            <w:pPr>
              <w:pStyle w:val="Compact"/>
            </w:pPr>
            <w:r>
              <w:t xml:space="preserve">10</w:t>
            </w:r>
          </w:p>
        </w:tc>
        <w:tc>
          <w:tcPr/>
          <w:p>
            <w:pPr>
              <w:pStyle w:val="Compact"/>
            </w:pPr>
            <w:r>
              <w:rPr>
                <w:i/>
                <w:iCs/>
              </w:rPr>
              <w:t xml:space="preserve">“Anonymous and private; no humans read your entries.”</w:t>
            </w:r>
          </w:p>
        </w:tc>
        <w:tc>
          <w:tcPr/>
          <w:p>
            <w:pPr>
              <w:pStyle w:val="Compact"/>
            </w:pPr>
            <w:r>
              <w:rPr>
                <w:b/>
                <w:bCs/>
              </w:rPr>
              <w:t xml:space="preserve">Allowed</w:t>
            </w:r>
          </w:p>
        </w:tc>
        <w:tc>
          <w:tcPr/>
          <w:p>
            <w:pPr>
              <w:pStyle w:val="Compact"/>
            </w:pPr>
            <w:r>
              <w:t xml:space="preserve">Consistent with privacy statements and does not involve prohibited claims</w:t>
            </w:r>
            <w:hyperlink r:id="rId28">
              <w:r>
                <w:rPr>
                  <w:rStyle w:val="Hyperlink"/>
                </w:rPr>
                <w:t xml:space="preserve">[7]</w:t>
              </w:r>
            </w:hyperlink>
            <w:r>
              <w:t xml:space="preserve">.</w:t>
            </w:r>
          </w:p>
        </w:tc>
        <w:tc>
          <w:tcPr/>
          <w:p>
            <w:pPr>
              <w:pStyle w:val="Compact"/>
            </w:pPr>
            <w:r>
              <w:t xml:space="preserve">Confirm alignment with privacy policy.</w:t>
            </w:r>
          </w:p>
        </w:tc>
      </w:tr>
      <w:tr>
        <w:tc>
          <w:tcPr/>
          <w:p>
            <w:pPr>
              <w:pStyle w:val="Compact"/>
            </w:pPr>
            <w:r>
              <w:t xml:space="preserve">11</w:t>
            </w:r>
          </w:p>
        </w:tc>
        <w:tc>
          <w:tcPr/>
          <w:p>
            <w:pPr>
              <w:pStyle w:val="Compact"/>
            </w:pPr>
            <w:r>
              <w:rPr>
                <w:i/>
                <w:iCs/>
              </w:rPr>
              <w:t xml:space="preserve">“Evidence‑based CBT to treat anxiety and depression.”</w:t>
            </w:r>
          </w:p>
        </w:tc>
        <w:tc>
          <w:tcPr/>
          <w:p>
            <w:pPr>
              <w:pStyle w:val="Compact"/>
            </w:pPr>
            <w:r>
              <w:rPr>
                <w:b/>
                <w:bCs/>
              </w:rPr>
              <w:t xml:space="preserve">Prohibited</w:t>
            </w:r>
          </w:p>
        </w:tc>
        <w:tc>
          <w:tcPr/>
          <w:p>
            <w:pPr>
              <w:pStyle w:val="Compact"/>
            </w:pPr>
            <w:r>
              <w:t xml:space="preserve">Mentions cognitive‑behavioural therapy (CBT) and treatment; this crosses into therapy and may require professional involvement</w:t>
            </w:r>
            <w:hyperlink r:id="rId25">
              <w:r>
                <w:rPr>
                  <w:rStyle w:val="Hyperlink"/>
                </w:rPr>
                <w:t xml:space="preserve">[5]</w:t>
              </w:r>
            </w:hyperlink>
            <w:r>
              <w:t xml:space="preserve">.</w:t>
            </w:r>
          </w:p>
        </w:tc>
        <w:tc>
          <w:tcPr/>
          <w:p>
            <w:pPr>
              <w:pStyle w:val="Compact"/>
            </w:pPr>
            <w:r>
              <w:t xml:space="preserve">Remove therapy terms; highlight that content is inspired by wellbeing research without providing treatment.</w:t>
            </w:r>
          </w:p>
        </w:tc>
      </w:tr>
      <w:tr>
        <w:tc>
          <w:tcPr/>
          <w:p>
            <w:pPr>
              <w:pStyle w:val="Compact"/>
            </w:pPr>
            <w:r>
              <w:t xml:space="preserve">12</w:t>
            </w:r>
          </w:p>
        </w:tc>
        <w:tc>
          <w:tcPr/>
          <w:p>
            <w:pPr>
              <w:pStyle w:val="Compact"/>
            </w:pPr>
            <w:r>
              <w:rPr>
                <w:i/>
                <w:iCs/>
              </w:rPr>
              <w:t xml:space="preserve">“You can rely on our AI to provide personalised advice.”</w:t>
            </w:r>
          </w:p>
        </w:tc>
        <w:tc>
          <w:tcPr/>
          <w:p>
            <w:pPr>
              <w:pStyle w:val="Compact"/>
            </w:pPr>
            <w:r>
              <w:rPr>
                <w:b/>
                <w:bCs/>
              </w:rPr>
              <w:t xml:space="preserve">Risky</w:t>
            </w:r>
          </w:p>
        </w:tc>
        <w:tc>
          <w:tcPr/>
          <w:p>
            <w:pPr>
              <w:pStyle w:val="Compact"/>
            </w:pPr>
            <w:r>
              <w:t xml:space="preserve">Suggests reliance and may be construed as professional advice.</w:t>
            </w:r>
          </w:p>
        </w:tc>
        <w:tc>
          <w:tcPr/>
          <w:p>
            <w:pPr>
              <w:pStyle w:val="Compact"/>
            </w:pPr>
            <w:r>
              <w:t xml:space="preserve">“Our AI drafts suggestions for your consideration; you remain responsible for decisions.”</w:t>
            </w:r>
          </w:p>
        </w:tc>
      </w:tr>
      <w:tr>
        <w:tc>
          <w:tcPr/>
          <w:p>
            <w:pPr>
              <w:pStyle w:val="Compact"/>
            </w:pPr>
            <w:r>
              <w:t xml:space="preserve">13</w:t>
            </w:r>
          </w:p>
        </w:tc>
        <w:tc>
          <w:tcPr/>
          <w:p>
            <w:pPr>
              <w:pStyle w:val="Compact"/>
            </w:pPr>
            <w:r>
              <w:rPr>
                <w:i/>
                <w:iCs/>
              </w:rPr>
              <w:t xml:space="preserve">“Real‑time support anytime, anywhere.”</w:t>
            </w:r>
          </w:p>
        </w:tc>
        <w:tc>
          <w:tcPr/>
          <w:p>
            <w:pPr>
              <w:pStyle w:val="Compact"/>
            </w:pPr>
            <w:r>
              <w:rPr>
                <w:b/>
                <w:bCs/>
              </w:rPr>
              <w:t xml:space="preserve">Risky</w:t>
            </w:r>
          </w:p>
        </w:tc>
        <w:tc>
          <w:tcPr/>
          <w:p>
            <w:pPr>
              <w:pStyle w:val="Compact"/>
            </w:pPr>
            <w:r>
              <w:t xml:space="preserve">Could imply crisis support or emergency availability. Avoid using “support” in a way that suggests counselling.</w:t>
            </w:r>
          </w:p>
        </w:tc>
        <w:tc>
          <w:tcPr/>
          <w:p>
            <w:pPr>
              <w:pStyle w:val="Compact"/>
            </w:pPr>
            <w:r>
              <w:t xml:space="preserve">“You can use BecomingOS at your convenience, but it is not monitored and cannot provide emergency assistance.”</w:t>
            </w:r>
          </w:p>
        </w:tc>
      </w:tr>
      <w:tr>
        <w:tc>
          <w:tcPr/>
          <w:p>
            <w:pPr>
              <w:pStyle w:val="Compact"/>
            </w:pPr>
            <w:r>
              <w:t xml:space="preserve">14</w:t>
            </w:r>
          </w:p>
        </w:tc>
        <w:tc>
          <w:tcPr/>
          <w:p>
            <w:pPr>
              <w:pStyle w:val="Compact"/>
            </w:pPr>
            <w:r>
              <w:rPr>
                <w:i/>
                <w:iCs/>
              </w:rPr>
              <w:t xml:space="preserve">“Helps you set goals, monitor progress and celebrate wins.”</w:t>
            </w:r>
          </w:p>
        </w:tc>
        <w:tc>
          <w:tcPr/>
          <w:p>
            <w:pPr>
              <w:pStyle w:val="Compact"/>
            </w:pPr>
            <w:r>
              <w:rPr>
                <w:b/>
                <w:bCs/>
              </w:rPr>
              <w:t xml:space="preserve">Allowed</w:t>
            </w:r>
          </w:p>
        </w:tc>
        <w:tc>
          <w:tcPr/>
          <w:p>
            <w:pPr>
              <w:pStyle w:val="Compact"/>
            </w:pPr>
            <w:r>
              <w:t xml:space="preserve">Describes goal‑setting and reflection; does not claim therapy or diagnosis.</w:t>
            </w:r>
          </w:p>
        </w:tc>
        <w:tc>
          <w:tcPr/>
          <w:p>
            <w:pPr>
              <w:pStyle w:val="Compact"/>
            </w:pPr>
            <w:r>
              <w:t xml:space="preserve">No change needed.</w:t>
            </w:r>
          </w:p>
        </w:tc>
      </w:tr>
      <w:tr>
        <w:tc>
          <w:tcPr/>
          <w:p>
            <w:pPr>
              <w:pStyle w:val="Compact"/>
            </w:pPr>
            <w:r>
              <w:t xml:space="preserve">15</w:t>
            </w:r>
          </w:p>
        </w:tc>
        <w:tc>
          <w:tcPr/>
          <w:p>
            <w:pPr>
              <w:pStyle w:val="Compact"/>
            </w:pPr>
            <w:r>
              <w:rPr>
                <w:i/>
                <w:iCs/>
              </w:rPr>
              <w:t xml:space="preserve">“Offers legal or financial advice on life decisions.”</w:t>
            </w:r>
          </w:p>
        </w:tc>
        <w:tc>
          <w:tcPr/>
          <w:p>
            <w:pPr>
              <w:pStyle w:val="Compact"/>
            </w:pPr>
            <w:r>
              <w:rPr>
                <w:b/>
                <w:bCs/>
              </w:rPr>
              <w:t xml:space="preserve">Prohibited</w:t>
            </w:r>
          </w:p>
        </w:tc>
        <w:tc>
          <w:tcPr/>
          <w:p>
            <w:pPr>
              <w:pStyle w:val="Compact"/>
            </w:pPr>
            <w:r>
              <w:t xml:space="preserve">The tool is not a legal or financial advisor; high‑impact decisions must not be influenced by AI.</w:t>
            </w:r>
          </w:p>
        </w:tc>
        <w:tc>
          <w:tcPr/>
          <w:p>
            <w:pPr>
              <w:pStyle w:val="Compact"/>
            </w:pPr>
            <w:r>
              <w:t xml:space="preserve">“We do not provide legal or financial advice. For such matters, please consult professionals.”</w:t>
            </w:r>
          </w:p>
        </w:tc>
      </w:tr>
    </w:tbl>
    <w:bookmarkEnd w:id="29"/>
    <w:bookmarkStart w:id="31" w:name="prohibited-claims-list-avoid-in-all-copy"/>
    <w:p>
      <w:pPr>
        <w:pStyle w:val="Heading2"/>
      </w:pPr>
      <w:r>
        <w:t xml:space="preserve">Prohibited claims list (avoid in all copy)</w:t>
      </w:r>
    </w:p>
    <w:p>
      <w:pPr>
        <w:pStyle w:val="Compact"/>
        <w:numPr>
          <w:ilvl w:val="0"/>
          <w:numId w:val="1001"/>
        </w:numPr>
      </w:pPr>
      <w:r>
        <w:rPr>
          <w:b/>
          <w:bCs/>
        </w:rPr>
        <w:t xml:space="preserve">Therapy or counselling</w:t>
      </w:r>
      <w:r>
        <w:t xml:space="preserve"> </w:t>
      </w:r>
      <w:r>
        <w:t xml:space="preserve">— Avoid describing the product as “therapy,” “counselling,” or implying a therapist relationship.</w:t>
      </w:r>
    </w:p>
    <w:p>
      <w:pPr>
        <w:pStyle w:val="Compact"/>
        <w:numPr>
          <w:ilvl w:val="0"/>
          <w:numId w:val="1001"/>
        </w:numPr>
      </w:pPr>
      <w:r>
        <w:rPr>
          <w:b/>
          <w:bCs/>
        </w:rPr>
        <w:t xml:space="preserve">Medical or mental‑health diagnosis</w:t>
      </w:r>
      <w:r>
        <w:t xml:space="preserve"> </w:t>
      </w:r>
      <w:r>
        <w:t xml:space="preserve">— Do not claim the AI can diagnose conditions or assess mental health</w:t>
      </w:r>
      <w:hyperlink r:id="rId22">
        <w:r>
          <w:rPr>
            <w:rStyle w:val="Hyperlink"/>
          </w:rPr>
          <w:t xml:space="preserve">[2]</w:t>
        </w:r>
      </w:hyperlink>
      <w:r>
        <w:t xml:space="preserve">.</w:t>
      </w:r>
    </w:p>
    <w:p>
      <w:pPr>
        <w:pStyle w:val="Compact"/>
        <w:numPr>
          <w:ilvl w:val="0"/>
          <w:numId w:val="1001"/>
        </w:numPr>
      </w:pPr>
      <w:r>
        <w:rPr>
          <w:b/>
          <w:bCs/>
        </w:rPr>
        <w:t xml:space="preserve">Treatment or cure</w:t>
      </w:r>
      <w:r>
        <w:t xml:space="preserve"> </w:t>
      </w:r>
      <w:r>
        <w:t xml:space="preserve">— Do not imply the product treats, cures, mitigates, or prevents mental‑health or physical conditions</w:t>
      </w:r>
      <w:hyperlink r:id="rId22">
        <w:r>
          <w:rPr>
            <w:rStyle w:val="Hyperlink"/>
          </w:rPr>
          <w:t xml:space="preserve">[2]</w:t>
        </w:r>
      </w:hyperlink>
      <w:r>
        <w:t xml:space="preserve">.</w:t>
      </w:r>
    </w:p>
    <w:p>
      <w:pPr>
        <w:pStyle w:val="Compact"/>
        <w:numPr>
          <w:ilvl w:val="0"/>
          <w:numId w:val="1001"/>
        </w:numPr>
      </w:pPr>
      <w:r>
        <w:rPr>
          <w:b/>
          <w:bCs/>
        </w:rPr>
        <w:t xml:space="preserve">Emergency or crisis monitoring</w:t>
      </w:r>
      <w:r>
        <w:t xml:space="preserve"> </w:t>
      </w:r>
      <w:r>
        <w:t xml:space="preserve">— Do not suggest that the AI detects crises, prevents self‑harm or suicide, or connects users with emergency services</w:t>
      </w:r>
      <w:hyperlink r:id="rId25">
        <w:r>
          <w:rPr>
            <w:rStyle w:val="Hyperlink"/>
          </w:rPr>
          <w:t xml:space="preserve">[5]</w:t>
        </w:r>
      </w:hyperlink>
      <w:r>
        <w:t xml:space="preserve">.</w:t>
      </w:r>
    </w:p>
    <w:p>
      <w:pPr>
        <w:pStyle w:val="Compact"/>
        <w:numPr>
          <w:ilvl w:val="0"/>
          <w:numId w:val="1001"/>
        </w:numPr>
      </w:pPr>
      <w:r>
        <w:rPr>
          <w:b/>
          <w:bCs/>
        </w:rPr>
        <w:t xml:space="preserve">Guarantees of outcomes</w:t>
      </w:r>
      <w:r>
        <w:t xml:space="preserve"> </w:t>
      </w:r>
      <w:r>
        <w:t xml:space="preserve">— Avoid promises to fix problems or guarantee behaviour change.</w:t>
      </w:r>
    </w:p>
    <w:p>
      <w:pPr>
        <w:pStyle w:val="Compact"/>
        <w:numPr>
          <w:ilvl w:val="0"/>
          <w:numId w:val="1001"/>
        </w:numPr>
      </w:pPr>
      <w:r>
        <w:rPr>
          <w:b/>
          <w:bCs/>
        </w:rPr>
        <w:t xml:space="preserve">Replacement for professionals</w:t>
      </w:r>
      <w:r>
        <w:t xml:space="preserve"> </w:t>
      </w:r>
      <w:r>
        <w:t xml:space="preserve">— Never claim the product is a substitute for therapy, licensed mental‑health providers, or legal/financial professionals</w:t>
      </w:r>
      <w:hyperlink r:id="rId30">
        <w:r>
          <w:rPr>
            <w:rStyle w:val="Hyperlink"/>
          </w:rPr>
          <w:t xml:space="preserve">[8]</w:t>
        </w:r>
      </w:hyperlink>
      <w:r>
        <w:t xml:space="preserve">.</w:t>
      </w:r>
    </w:p>
    <w:p>
      <w:pPr>
        <w:pStyle w:val="Compact"/>
        <w:numPr>
          <w:ilvl w:val="0"/>
          <w:numId w:val="1001"/>
        </w:numPr>
      </w:pPr>
      <w:r>
        <w:rPr>
          <w:b/>
          <w:bCs/>
        </w:rPr>
        <w:t xml:space="preserve">High‑impact decision guidance</w:t>
      </w:r>
      <w:r>
        <w:t xml:space="preserve"> </w:t>
      </w:r>
      <w:r>
        <w:t xml:space="preserve">— Avoid claims that the tool makes decisions about health, legal, employment, or financial matters.</w:t>
      </w:r>
    </w:p>
    <w:p>
      <w:pPr>
        <w:pStyle w:val="Compact"/>
        <w:numPr>
          <w:ilvl w:val="0"/>
          <w:numId w:val="1001"/>
        </w:numPr>
      </w:pPr>
      <w:r>
        <w:rPr>
          <w:b/>
          <w:bCs/>
        </w:rPr>
        <w:t xml:space="preserve">Monitoring user safety or well‑being</w:t>
      </w:r>
      <w:r>
        <w:t xml:space="preserve"> </w:t>
      </w:r>
      <w:r>
        <w:t xml:space="preserve">— Do not say the AI monitors user safety or ensures well‑being</w:t>
      </w:r>
      <w:hyperlink r:id="rId25">
        <w:r>
          <w:rPr>
            <w:rStyle w:val="Hyperlink"/>
          </w:rPr>
          <w:t xml:space="preserve">[5]</w:t>
        </w:r>
      </w:hyperlink>
      <w:r>
        <w:t xml:space="preserve">.</w:t>
      </w:r>
    </w:p>
    <w:p>
      <w:pPr>
        <w:pStyle w:val="Compact"/>
        <w:numPr>
          <w:ilvl w:val="0"/>
          <w:numId w:val="1001"/>
        </w:numPr>
      </w:pPr>
      <w:r>
        <w:rPr>
          <w:b/>
          <w:bCs/>
        </w:rPr>
        <w:t xml:space="preserve">Emergency support</w:t>
      </w:r>
      <w:r>
        <w:t xml:space="preserve"> </w:t>
      </w:r>
      <w:r>
        <w:t xml:space="preserve">— Avoid phrases like “crisis support,” “rescue,” or “emergency hotline” inside the product; refer out to external services</w:t>
      </w:r>
      <w:hyperlink r:id="rId23">
        <w:r>
          <w:rPr>
            <w:rStyle w:val="Hyperlink"/>
          </w:rPr>
          <w:t xml:space="preserve">[3]</w:t>
        </w:r>
      </w:hyperlink>
      <w:r>
        <w:t xml:space="preserve">.</w:t>
      </w:r>
    </w:p>
    <w:p>
      <w:pPr>
        <w:pStyle w:val="Compact"/>
        <w:numPr>
          <w:ilvl w:val="0"/>
          <w:numId w:val="1001"/>
        </w:numPr>
      </w:pPr>
      <w:r>
        <w:rPr>
          <w:b/>
          <w:bCs/>
        </w:rPr>
        <w:t xml:space="preserve">Regulated device</w:t>
      </w:r>
      <w:r>
        <w:t xml:space="preserve"> </w:t>
      </w:r>
      <w:r>
        <w:t xml:space="preserve">— Do not imply regulatory approvals (FDA/TGA) or that the product is a medical device.</w:t>
      </w:r>
    </w:p>
    <w:bookmarkEnd w:id="31"/>
    <w:bookmarkStart w:id="33" w:name="safer-approved-wording-list"/>
    <w:p>
      <w:pPr>
        <w:pStyle w:val="Heading2"/>
      </w:pPr>
      <w:r>
        <w:t xml:space="preserve">Safer approved wording list</w:t>
      </w:r>
    </w:p>
    <w:p>
      <w:pPr>
        <w:pStyle w:val="FirstParagraph"/>
      </w:pPr>
      <w:r>
        <w:t xml:space="preserve">These phrases align with allowed general wellness and educational functions and avoid implying diagnosis, treatment, or emergency support:</w:t>
      </w:r>
    </w:p>
    <w:p>
      <w:pPr>
        <w:pStyle w:val="Compact"/>
        <w:numPr>
          <w:ilvl w:val="0"/>
          <w:numId w:val="1002"/>
        </w:numPr>
      </w:pPr>
      <w:r>
        <w:rPr>
          <w:b/>
          <w:bCs/>
        </w:rPr>
        <w:t xml:space="preserve">Reflection and awareness</w:t>
      </w:r>
      <w:r>
        <w:t xml:space="preserve"> </w:t>
      </w:r>
      <w:r>
        <w:t xml:space="preserve">— “Supports mindfulness, reflection and self‑awareness”</w:t>
      </w:r>
      <w:hyperlink r:id="rId27">
        <w:r>
          <w:rPr>
            <w:rStyle w:val="Hyperlink"/>
          </w:rPr>
          <w:t xml:space="preserve">[6]</w:t>
        </w:r>
      </w:hyperlink>
      <w:r>
        <w:t xml:space="preserve">.</w:t>
      </w:r>
    </w:p>
    <w:p>
      <w:pPr>
        <w:pStyle w:val="Compact"/>
        <w:numPr>
          <w:ilvl w:val="0"/>
          <w:numId w:val="1002"/>
        </w:numPr>
      </w:pPr>
      <w:r>
        <w:rPr>
          <w:b/>
          <w:bCs/>
        </w:rPr>
        <w:t xml:space="preserve">Educational guidance</w:t>
      </w:r>
      <w:r>
        <w:t xml:space="preserve"> </w:t>
      </w:r>
      <w:r>
        <w:t xml:space="preserve">— “Provides educational tools to help you explore your values and goals.”</w:t>
      </w:r>
    </w:p>
    <w:p>
      <w:pPr>
        <w:pStyle w:val="Compact"/>
        <w:numPr>
          <w:ilvl w:val="0"/>
          <w:numId w:val="1002"/>
        </w:numPr>
      </w:pPr>
      <w:r>
        <w:rPr>
          <w:b/>
          <w:bCs/>
        </w:rPr>
        <w:t xml:space="preserve">Snapshot or summary</w:t>
      </w:r>
      <w:r>
        <w:t xml:space="preserve"> </w:t>
      </w:r>
      <w:r>
        <w:t xml:space="preserve">— “Generates snapshots of your inputs to help you notice patterns over time.”</w:t>
      </w:r>
    </w:p>
    <w:p>
      <w:pPr>
        <w:pStyle w:val="Compact"/>
        <w:numPr>
          <w:ilvl w:val="0"/>
          <w:numId w:val="1002"/>
        </w:numPr>
      </w:pPr>
      <w:r>
        <w:rPr>
          <w:b/>
          <w:bCs/>
        </w:rPr>
        <w:t xml:space="preserve">Draft patterns</w:t>
      </w:r>
      <w:r>
        <w:t xml:space="preserve"> </w:t>
      </w:r>
      <w:r>
        <w:t xml:space="preserve">— “AI drafts possible patterns for you to confirm; you remain in control.”</w:t>
      </w:r>
    </w:p>
    <w:p>
      <w:pPr>
        <w:pStyle w:val="Compact"/>
        <w:numPr>
          <w:ilvl w:val="0"/>
          <w:numId w:val="1002"/>
        </w:numPr>
      </w:pPr>
      <w:r>
        <w:rPr>
          <w:b/>
          <w:bCs/>
        </w:rPr>
        <w:t xml:space="preserve">Self‑directed action</w:t>
      </w:r>
      <w:r>
        <w:t xml:space="preserve"> </w:t>
      </w:r>
      <w:r>
        <w:t xml:space="preserve">— “Encourages small, aligned actions based on what matters to you.”</w:t>
      </w:r>
    </w:p>
    <w:p>
      <w:pPr>
        <w:pStyle w:val="Compact"/>
        <w:numPr>
          <w:ilvl w:val="0"/>
          <w:numId w:val="1002"/>
        </w:numPr>
      </w:pPr>
      <w:r>
        <w:rPr>
          <w:b/>
          <w:bCs/>
        </w:rPr>
        <w:t xml:space="preserve">User responsibility</w:t>
      </w:r>
      <w:r>
        <w:t xml:space="preserve"> </w:t>
      </w:r>
      <w:r>
        <w:t xml:space="preserve">— “You are responsible for your own wellbeing decisions”</w:t>
      </w:r>
      <w:hyperlink r:id="rId32">
        <w:r>
          <w:rPr>
            <w:rStyle w:val="Hyperlink"/>
          </w:rPr>
          <w:t xml:space="preserve">[9]</w:t>
        </w:r>
      </w:hyperlink>
      <w:r>
        <w:t xml:space="preserve"> </w:t>
      </w:r>
      <w:r>
        <w:t xml:space="preserve">and should seek professional care when needed.</w:t>
      </w:r>
    </w:p>
    <w:p>
      <w:pPr>
        <w:pStyle w:val="Compact"/>
        <w:numPr>
          <w:ilvl w:val="0"/>
          <w:numId w:val="1002"/>
        </w:numPr>
      </w:pPr>
      <w:r>
        <w:rPr>
          <w:b/>
          <w:bCs/>
        </w:rPr>
        <w:t xml:space="preserve">Non‑clinical and non‑emergency</w:t>
      </w:r>
      <w:r>
        <w:t xml:space="preserve"> </w:t>
      </w:r>
      <w:r>
        <w:t xml:space="preserve">— “BecomingOS is a non‑clinical tool for self‑reflection; it is not monitored and cannot provide emergency assistance”</w:t>
      </w:r>
      <w:hyperlink r:id="rId23">
        <w:r>
          <w:rPr>
            <w:rStyle w:val="Hyperlink"/>
          </w:rPr>
          <w:t xml:space="preserve">[3]</w:t>
        </w:r>
      </w:hyperlink>
      <w:r>
        <w:t xml:space="preserve">.</w:t>
      </w:r>
    </w:p>
    <w:bookmarkEnd w:id="33"/>
    <w:bookmarkStart w:id="35" w:name="risky-wording-replacement-table"/>
    <w:p>
      <w:pPr>
        <w:pStyle w:val="Heading2"/>
      </w:pPr>
      <w:r>
        <w:t xml:space="preserve">Risky wording replacement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Risky term/phrase</w:t>
            </w:r>
          </w:p>
        </w:tc>
        <w:tc>
          <w:tcPr/>
          <w:p>
            <w:pPr>
              <w:pStyle w:val="Compact"/>
            </w:pPr>
            <w:r>
              <w:t xml:space="preserve">Safer replacement</w:t>
            </w:r>
          </w:p>
        </w:tc>
        <w:tc>
          <w:tcPr/>
          <w:p>
            <w:pPr>
              <w:pStyle w:val="Compact"/>
            </w:pPr>
            <w:r>
              <w:t xml:space="preserve">Rationale</w:t>
            </w:r>
          </w:p>
        </w:tc>
      </w:tr>
      <w:tr>
        <w:tc>
          <w:tcPr/>
          <w:p>
            <w:pPr>
              <w:pStyle w:val="Compact"/>
            </w:pPr>
            <w:r>
              <w:t xml:space="preserve">“diagnosis”</w:t>
            </w:r>
          </w:p>
        </w:tc>
        <w:tc>
          <w:tcPr/>
          <w:p>
            <w:pPr>
              <w:pStyle w:val="Compact"/>
            </w:pPr>
            <w:r>
              <w:t xml:space="preserve">“reflection”, “assessment”, “snapshot”, “summary”</w:t>
            </w:r>
          </w:p>
        </w:tc>
        <w:tc>
          <w:tcPr/>
          <w:p>
            <w:pPr>
              <w:pStyle w:val="Compact"/>
            </w:pPr>
            <w:r>
              <w:t xml:space="preserve">Avoids implying medical diagnosis</w:t>
            </w:r>
            <w:hyperlink r:id="rId22">
              <w:r>
                <w:rPr>
                  <w:rStyle w:val="Hyperlink"/>
                </w:rPr>
                <w:t xml:space="preserve">[2]</w:t>
              </w:r>
            </w:hyperlink>
            <w:r>
              <w:t xml:space="preserve">.</w:t>
            </w:r>
          </w:p>
        </w:tc>
      </w:tr>
      <w:tr>
        <w:tc>
          <w:tcPr/>
          <w:p>
            <w:pPr>
              <w:pStyle w:val="Compact"/>
            </w:pPr>
            <w:r>
              <w:t xml:space="preserve">“treatment”</w:t>
            </w:r>
          </w:p>
        </w:tc>
        <w:tc>
          <w:tcPr/>
          <w:p>
            <w:pPr>
              <w:pStyle w:val="Compact"/>
            </w:pPr>
            <w:r>
              <w:t xml:space="preserve">“supportive reflection”, “educational guidance”</w:t>
            </w:r>
          </w:p>
        </w:tc>
        <w:tc>
          <w:tcPr/>
          <w:p>
            <w:pPr>
              <w:pStyle w:val="Compact"/>
            </w:pPr>
            <w:r>
              <w:t xml:space="preserve">Removes therapeutic connotation</w:t>
            </w:r>
            <w:hyperlink r:id="rId22">
              <w:r>
                <w:rPr>
                  <w:rStyle w:val="Hyperlink"/>
                </w:rPr>
                <w:t xml:space="preserve">[2]</w:t>
              </w:r>
            </w:hyperlink>
            <w:r>
              <w:t xml:space="preserve">.</w:t>
            </w:r>
          </w:p>
        </w:tc>
      </w:tr>
      <w:tr>
        <w:tc>
          <w:tcPr/>
          <w:p>
            <w:pPr>
              <w:pStyle w:val="Compact"/>
            </w:pPr>
            <w:r>
              <w:t xml:space="preserve">“therapy”</w:t>
            </w:r>
          </w:p>
        </w:tc>
        <w:tc>
          <w:tcPr/>
          <w:p>
            <w:pPr>
              <w:pStyle w:val="Compact"/>
            </w:pPr>
            <w:r>
              <w:t xml:space="preserve">“non‑clinical self‑reflection”</w:t>
            </w:r>
          </w:p>
        </w:tc>
        <w:tc>
          <w:tcPr/>
          <w:p>
            <w:pPr>
              <w:pStyle w:val="Compact"/>
            </w:pPr>
            <w:r>
              <w:t xml:space="preserve">Avoids therapy claims and clarifies purpose.</w:t>
            </w:r>
          </w:p>
        </w:tc>
      </w:tr>
      <w:tr>
        <w:tc>
          <w:tcPr/>
          <w:p>
            <w:pPr>
              <w:pStyle w:val="Compact"/>
            </w:pPr>
            <w:r>
              <w:t xml:space="preserve">“fix your life”</w:t>
            </w:r>
          </w:p>
        </w:tc>
        <w:tc>
          <w:tcPr/>
          <w:p>
            <w:pPr>
              <w:pStyle w:val="Compact"/>
            </w:pPr>
            <w:r>
              <w:t xml:space="preserve">“understand what matters and take small aligned actions”</w:t>
            </w:r>
          </w:p>
        </w:tc>
        <w:tc>
          <w:tcPr/>
          <w:p>
            <w:pPr>
              <w:pStyle w:val="Compact"/>
            </w:pPr>
            <w:r>
              <w:t xml:space="preserve">Prevents guarantee of outcome; emphasises user action.</w:t>
            </w:r>
          </w:p>
        </w:tc>
      </w:tr>
      <w:tr>
        <w:tc>
          <w:tcPr/>
          <w:p>
            <w:pPr>
              <w:pStyle w:val="Compact"/>
            </w:pPr>
            <w:r>
              <w:t xml:space="preserve">“AI knows you”</w:t>
            </w:r>
          </w:p>
        </w:tc>
        <w:tc>
          <w:tcPr/>
          <w:p>
            <w:pPr>
              <w:pStyle w:val="Compact"/>
            </w:pPr>
            <w:r>
              <w:t xml:space="preserve">“AI drafts possible patterns for you to confirm”</w:t>
            </w:r>
          </w:p>
        </w:tc>
        <w:tc>
          <w:tcPr/>
          <w:p>
            <w:pPr>
              <w:pStyle w:val="Compact"/>
            </w:pPr>
            <w:r>
              <w:t xml:space="preserve">Reflects that AI cannot know or diagnose; user remains in control.</w:t>
            </w:r>
          </w:p>
        </w:tc>
      </w:tr>
      <w:tr>
        <w:tc>
          <w:tcPr/>
          <w:p>
            <w:pPr>
              <w:pStyle w:val="Compact"/>
            </w:pPr>
            <w:r>
              <w:t xml:space="preserve">“crisis support”</w:t>
            </w:r>
          </w:p>
        </w:tc>
        <w:tc>
          <w:tcPr/>
          <w:p>
            <w:pPr>
              <w:pStyle w:val="Compact"/>
            </w:pPr>
            <w:r>
              <w:t xml:space="preserve">“not monitored and not emergency support”</w:t>
            </w:r>
          </w:p>
        </w:tc>
        <w:tc>
          <w:tcPr/>
          <w:p>
            <w:pPr>
              <w:pStyle w:val="Compact"/>
            </w:pPr>
            <w:r>
              <w:t xml:space="preserve">Clarifies absence of emergency assistance</w:t>
            </w:r>
            <w:hyperlink r:id="rId23">
              <w:r>
                <w:rPr>
                  <w:rStyle w:val="Hyperlink"/>
                </w:rPr>
                <w:t xml:space="preserve">[3]</w:t>
              </w:r>
            </w:hyperlink>
            <w:r>
              <w:t xml:space="preserve">.</w:t>
            </w:r>
          </w:p>
        </w:tc>
      </w:tr>
      <w:tr>
        <w:tc>
          <w:tcPr/>
          <w:p>
            <w:pPr>
              <w:pStyle w:val="Compact"/>
            </w:pPr>
            <w:r>
              <w:t xml:space="preserve">“real‑time monitoring”</w:t>
            </w:r>
          </w:p>
        </w:tc>
        <w:tc>
          <w:tcPr/>
          <w:p>
            <w:pPr>
              <w:pStyle w:val="Compact"/>
            </w:pPr>
            <w:r>
              <w:t xml:space="preserve">“self‑logging and reflection; not monitored”</w:t>
            </w:r>
          </w:p>
        </w:tc>
        <w:tc>
          <w:tcPr/>
          <w:p>
            <w:pPr>
              <w:pStyle w:val="Compact"/>
            </w:pPr>
            <w:r>
              <w:t xml:space="preserve">Removes implication of live safety monitoring</w:t>
            </w:r>
            <w:hyperlink r:id="rId34">
              <w:r>
                <w:rPr>
                  <w:rStyle w:val="Hyperlink"/>
                </w:rPr>
                <w:t xml:space="preserve">[10]</w:t>
              </w:r>
            </w:hyperlink>
            <w:r>
              <w:t xml:space="preserve">.</w:t>
            </w:r>
          </w:p>
        </w:tc>
      </w:tr>
      <w:tr>
        <w:tc>
          <w:tcPr/>
          <w:p>
            <w:pPr>
              <w:pStyle w:val="Compact"/>
            </w:pPr>
            <w:r>
              <w:t xml:space="preserve">“personalised advice”</w:t>
            </w:r>
          </w:p>
        </w:tc>
        <w:tc>
          <w:tcPr/>
          <w:p>
            <w:pPr>
              <w:pStyle w:val="Compact"/>
            </w:pPr>
            <w:r>
              <w:t xml:space="preserve">“draft suggestions for your consideration”</w:t>
            </w:r>
          </w:p>
        </w:tc>
        <w:tc>
          <w:tcPr/>
          <w:p>
            <w:pPr>
              <w:pStyle w:val="Compact"/>
            </w:pPr>
            <w:r>
              <w:t xml:space="preserve">Emphasises suggestions rather than definitive advice.</w:t>
            </w:r>
          </w:p>
        </w:tc>
      </w:tr>
      <w:tr>
        <w:tc>
          <w:tcPr/>
          <w:p>
            <w:pPr>
              <w:pStyle w:val="Compact"/>
            </w:pPr>
            <w:r>
              <w:t xml:space="preserve">“guaranteed results”</w:t>
            </w:r>
          </w:p>
        </w:tc>
        <w:tc>
          <w:tcPr/>
          <w:p>
            <w:pPr>
              <w:pStyle w:val="Compact"/>
            </w:pPr>
            <w:r>
              <w:t xml:space="preserve">“individual experiences vary”</w:t>
            </w:r>
          </w:p>
        </w:tc>
        <w:tc>
          <w:tcPr/>
          <w:p>
            <w:pPr>
              <w:pStyle w:val="Compact"/>
            </w:pPr>
            <w:r>
              <w:t xml:space="preserve">Avoids promising outcomes.</w:t>
            </w:r>
          </w:p>
        </w:tc>
      </w:tr>
    </w:tbl>
    <w:bookmarkEnd w:id="35"/>
    <w:bookmarkStart w:id="36" w:name="product-boundary-statement"/>
    <w:p>
      <w:pPr>
        <w:pStyle w:val="Heading2"/>
      </w:pPr>
      <w:r>
        <w:t xml:space="preserve">Product boundary statement</w:t>
      </w:r>
    </w:p>
    <w:p>
      <w:pPr>
        <w:pStyle w:val="FirstParagraph"/>
      </w:pPr>
      <w:r>
        <w:t xml:space="preserve">BecomingOS is an</w:t>
      </w:r>
      <w:r>
        <w:t xml:space="preserve"> </w:t>
      </w:r>
      <w:r>
        <w:rPr>
          <w:b/>
          <w:bCs/>
        </w:rPr>
        <w:t xml:space="preserve">educational and reflective</w:t>
      </w:r>
      <w:r>
        <w:t xml:space="preserve"> </w:t>
      </w:r>
      <w:r>
        <w:t xml:space="preserve">tool designed to encourage mindfulness, self‑awareness and alignment with personal values. It offers journaling prompts, goal‑tracking and AI‑generated summaries to help users notice patterns and explore options.</w:t>
      </w:r>
      <w:r>
        <w:t xml:space="preserve"> </w:t>
      </w:r>
      <w:r>
        <w:rPr>
          <w:b/>
          <w:bCs/>
        </w:rPr>
        <w:t xml:space="preserve">It does not provide medical advice, psychological diagnosis, therapy or treatment</w:t>
      </w:r>
      <w:hyperlink r:id="rId22">
        <w:r>
          <w:rPr>
            <w:rStyle w:val="Hyperlink"/>
          </w:rPr>
          <w:t xml:space="preserve">[2]</w:t>
        </w:r>
      </w:hyperlink>
      <w:r>
        <w:t xml:space="preserve">. BecomingOS is</w:t>
      </w:r>
      <w:r>
        <w:t xml:space="preserve"> </w:t>
      </w:r>
      <w:r>
        <w:rPr>
          <w:b/>
          <w:bCs/>
        </w:rPr>
        <w:t xml:space="preserve">not monitored</w:t>
      </w:r>
      <w:r>
        <w:t xml:space="preserve"> </w:t>
      </w:r>
      <w:r>
        <w:t xml:space="preserve">and</w:t>
      </w:r>
      <w:r>
        <w:t xml:space="preserve"> </w:t>
      </w:r>
      <w:r>
        <w:rPr>
          <w:b/>
          <w:bCs/>
        </w:rPr>
        <w:t xml:space="preserve">cannot detect emergencies or crises</w:t>
      </w:r>
      <w:hyperlink r:id="rId25">
        <w:r>
          <w:rPr>
            <w:rStyle w:val="Hyperlink"/>
          </w:rPr>
          <w:t xml:space="preserve">[5]</w:t>
        </w:r>
      </w:hyperlink>
      <w:r>
        <w:t xml:space="preserve">; it does</w:t>
      </w:r>
      <w:r>
        <w:t xml:space="preserve"> </w:t>
      </w:r>
      <w:r>
        <w:rPr>
          <w:b/>
          <w:bCs/>
        </w:rPr>
        <w:t xml:space="preserve">not replace</w:t>
      </w:r>
      <w:r>
        <w:t xml:space="preserve"> </w:t>
      </w:r>
      <w:r>
        <w:t xml:space="preserve">professional mental‑health care, legal advice, financial advice or other regulated services</w:t>
      </w:r>
      <w:hyperlink r:id="rId30">
        <w:r>
          <w:rPr>
            <w:rStyle w:val="Hyperlink"/>
          </w:rPr>
          <w:t xml:space="preserve">[8]</w:t>
        </w:r>
      </w:hyperlink>
      <w:r>
        <w:t xml:space="preserve">. Users remain responsible for their own choices and should seek help from licensed professionals for any medical, mental‑health or legal concerns. The product does not guarantee outcomes and results differ among individuals.</w:t>
      </w:r>
    </w:p>
    <w:bookmarkEnd w:id="36"/>
    <w:bookmarkStart w:id="37" w:name="draft-inapp-disclaimer-copy"/>
    <w:p>
      <w:pPr>
        <w:pStyle w:val="Heading2"/>
      </w:pPr>
      <w:r>
        <w:t xml:space="preserve">Draft in‑app disclaimer copy</w:t>
      </w:r>
    </w:p>
    <w:p>
      <w:pPr>
        <w:pStyle w:val="BlockText"/>
      </w:pPr>
      <w:r>
        <w:rPr>
          <w:b/>
          <w:bCs/>
        </w:rPr>
        <w:t xml:space="preserve">Disclaimer</w:t>
      </w:r>
      <w:r>
        <w:t xml:space="preserve"> </w:t>
      </w:r>
      <w:r>
        <w:t xml:space="preserve">– BecomingOS is a non‑clinical tool for self‑reflection and education. It does</w:t>
      </w:r>
      <w:r>
        <w:t xml:space="preserve"> </w:t>
      </w:r>
      <w:r>
        <w:rPr>
          <w:b/>
          <w:bCs/>
        </w:rPr>
        <w:t xml:space="preserve">not</w:t>
      </w:r>
      <w:r>
        <w:t xml:space="preserve"> </w:t>
      </w:r>
      <w:r>
        <w:t xml:space="preserve">provide medical, psychological or psychiatric advice; it does</w:t>
      </w:r>
      <w:r>
        <w:t xml:space="preserve"> </w:t>
      </w:r>
      <w:r>
        <w:rPr>
          <w:b/>
          <w:bCs/>
        </w:rPr>
        <w:t xml:space="preserve">not</w:t>
      </w:r>
      <w:r>
        <w:t xml:space="preserve"> </w:t>
      </w:r>
      <w:r>
        <w:t xml:space="preserve">diagnose, treat, cure, or prevent any condition</w:t>
      </w:r>
      <w:hyperlink r:id="rId22">
        <w:r>
          <w:rPr>
            <w:rStyle w:val="Hyperlink"/>
          </w:rPr>
          <w:t xml:space="preserve">[2]</w:t>
        </w:r>
      </w:hyperlink>
      <w:r>
        <w:t xml:space="preserve">. The AI cannot monitor your safety, detect emergencies or provide crisis support</w:t>
      </w:r>
      <w:hyperlink r:id="rId25">
        <w:r>
          <w:rPr>
            <w:rStyle w:val="Hyperlink"/>
          </w:rPr>
          <w:t xml:space="preserve">[5]</w:t>
        </w:r>
      </w:hyperlink>
      <w:r>
        <w:t xml:space="preserve">. Any reflections or suggestions generated by the AI are general in nature and are intended to help you notice patterns and clarify your values; they should not be relied upon as professional advice. Always seek advice from a licensed physician, mental‑health provider, lawyer or financial professional for questions about your health, safety, legal or financial matters. If you are in distress, experiencing thoughts of self‑harm, or facing an emergency, immediately contact your local emergency services or a crisis hotline (e.g., Lifeline Australia 13 11 14)</w:t>
      </w:r>
      <w:hyperlink r:id="rId23">
        <w:r>
          <w:rPr>
            <w:rStyle w:val="Hyperlink"/>
          </w:rPr>
          <w:t xml:space="preserve">[3]</w:t>
        </w:r>
      </w:hyperlink>
      <w:r>
        <w:t xml:space="preserve">.</w:t>
      </w:r>
    </w:p>
    <w:p>
      <w:pPr>
        <w:pStyle w:val="FirstParagraph"/>
      </w:pPr>
      <w:r>
        <w:t xml:space="preserve">Before using BecomingOS you must read and accept this disclaimer.</w:t>
      </w:r>
    </w:p>
    <w:bookmarkEnd w:id="37"/>
    <w:bookmarkStart w:id="38" w:name="Xeb6d898f63e4d643ed781774d545ee44376bbf2"/>
    <w:p>
      <w:pPr>
        <w:pStyle w:val="Heading2"/>
      </w:pPr>
      <w:r>
        <w:t xml:space="preserve">Draft marketing disclaimer copy (website and promotional materials)</w:t>
      </w:r>
    </w:p>
    <w:p>
      <w:pPr>
        <w:pStyle w:val="BlockText"/>
      </w:pPr>
      <w:r>
        <w:rPr>
          <w:b/>
          <w:bCs/>
        </w:rPr>
        <w:t xml:space="preserve">Marketing disclaimer</w:t>
      </w:r>
      <w:r>
        <w:t xml:space="preserve"> </w:t>
      </w:r>
      <w:r>
        <w:t xml:space="preserve">– BecomingOS is an educational and reflective product that encourages mindfulness and helps you notice patterns in your life. It is</w:t>
      </w:r>
      <w:r>
        <w:t xml:space="preserve"> </w:t>
      </w:r>
      <w:r>
        <w:rPr>
          <w:b/>
          <w:bCs/>
        </w:rPr>
        <w:t xml:space="preserve">not a medical or mental‑health service</w:t>
      </w:r>
      <w:r>
        <w:t xml:space="preserve"> </w:t>
      </w:r>
      <w:r>
        <w:t xml:space="preserve">and does not replace therapy or professional advice</w:t>
      </w:r>
      <w:hyperlink r:id="rId30">
        <w:r>
          <w:rPr>
            <w:rStyle w:val="Hyperlink"/>
          </w:rPr>
          <w:t xml:space="preserve">[8]</w:t>
        </w:r>
      </w:hyperlink>
      <w:r>
        <w:t xml:space="preserve">. BecomingOS does not diagnose or treat any condition and is not monitored for emergencies</w:t>
      </w:r>
      <w:hyperlink r:id="rId25">
        <w:r>
          <w:rPr>
            <w:rStyle w:val="Hyperlink"/>
          </w:rPr>
          <w:t xml:space="preserve">[5]</w:t>
        </w:r>
      </w:hyperlink>
      <w:r>
        <w:t xml:space="preserve">. Individual experiences vary and no specific outcome is guaranteed. For medical or mental‑health concerns or legal or financial decisions, consult qualified professionals. If you are experiencing distress or crisis, contact emergency services or a crisis hotline.</w:t>
      </w:r>
    </w:p>
    <w:bookmarkEnd w:id="38"/>
    <w:bookmarkStart w:id="39" w:name="crisisemergency-boundary-copy"/>
    <w:p>
      <w:pPr>
        <w:pStyle w:val="Heading2"/>
      </w:pPr>
      <w:r>
        <w:t xml:space="preserve">Crisis/emergency boundary copy</w:t>
      </w:r>
    </w:p>
    <w:p>
      <w:pPr>
        <w:pStyle w:val="BlockText"/>
      </w:pPr>
      <w:r>
        <w:rPr>
          <w:b/>
          <w:bCs/>
        </w:rPr>
        <w:t xml:space="preserve">Crisis and emergency notice</w:t>
      </w:r>
      <w:r>
        <w:t xml:space="preserve"> </w:t>
      </w:r>
      <w:r>
        <w:t xml:space="preserve">– BecomingOS cannot respond to crisis situations and is not monitored in real time</w:t>
      </w:r>
      <w:hyperlink r:id="rId23">
        <w:r>
          <w:rPr>
            <w:rStyle w:val="Hyperlink"/>
          </w:rPr>
          <w:t xml:space="preserve">[3]</w:t>
        </w:r>
      </w:hyperlink>
      <w:hyperlink r:id="rId25">
        <w:r>
          <w:rPr>
            <w:rStyle w:val="Hyperlink"/>
          </w:rPr>
          <w:t xml:space="preserve">[5]</w:t>
        </w:r>
      </w:hyperlink>
      <w:r>
        <w:t xml:space="preserve">. If you have thoughts of self‑harm, suicide, or harming others, or if you are in severe emotional distress, immediately stop using the app and contact emergency services or a crisis hotline. In Australia call</w:t>
      </w:r>
      <w:r>
        <w:t xml:space="preserve"> </w:t>
      </w:r>
      <w:r>
        <w:rPr>
          <w:b/>
          <w:bCs/>
        </w:rPr>
        <w:t xml:space="preserve">000</w:t>
      </w:r>
      <w:r>
        <w:t xml:space="preserve"> </w:t>
      </w:r>
      <w:r>
        <w:t xml:space="preserve">for emergencies, or Lifeline at</w:t>
      </w:r>
      <w:r>
        <w:t xml:space="preserve"> </w:t>
      </w:r>
      <w:r>
        <w:rPr>
          <w:b/>
          <w:bCs/>
        </w:rPr>
        <w:t xml:space="preserve">13 11 14</w:t>
      </w:r>
      <w:r>
        <w:t xml:space="preserve">, or Beyond Blue at</w:t>
      </w:r>
      <w:r>
        <w:t xml:space="preserve"> </w:t>
      </w:r>
      <w:r>
        <w:rPr>
          <w:b/>
          <w:bCs/>
        </w:rPr>
        <w:t xml:space="preserve">1300 22 4636</w:t>
      </w:r>
      <w:hyperlink r:id="rId23">
        <w:r>
          <w:rPr>
            <w:rStyle w:val="Hyperlink"/>
          </w:rPr>
          <w:t xml:space="preserve">[3]</w:t>
        </w:r>
      </w:hyperlink>
      <w:r>
        <w:t xml:space="preserve">. If you are outside Australia, please consult your local emergency numbers. BecomingOS cannot monitor your safety or alert anyone on your behalf</w:t>
      </w:r>
      <w:hyperlink r:id="rId25">
        <w:r>
          <w:rPr>
            <w:rStyle w:val="Hyperlink"/>
          </w:rPr>
          <w:t xml:space="preserve">[5]</w:t>
        </w:r>
      </w:hyperlink>
      <w:r>
        <w:t xml:space="preserve">.</w:t>
      </w:r>
    </w:p>
    <w:bookmarkEnd w:id="39"/>
    <w:bookmarkStart w:id="42" w:name="ai-limitation-copy"/>
    <w:p>
      <w:pPr>
        <w:pStyle w:val="Heading2"/>
      </w:pPr>
      <w:r>
        <w:t xml:space="preserve">AI limitation copy</w:t>
      </w:r>
    </w:p>
    <w:p>
      <w:pPr>
        <w:pStyle w:val="BlockText"/>
      </w:pPr>
      <w:r>
        <w:rPr>
          <w:b/>
          <w:bCs/>
        </w:rPr>
        <w:t xml:space="preserve">Limitations of the AI assistant</w:t>
      </w:r>
      <w:r>
        <w:t xml:space="preserve"> </w:t>
      </w:r>
      <w:r>
        <w:t xml:space="preserve">– The AI in BecomingOS is an automated system that generates reflections and suggestions based on your inputs. It is not monitored by humans and cannot understand or accurately interpret emotions or the severity of your situation</w:t>
      </w:r>
      <w:hyperlink r:id="rId34">
        <w:r>
          <w:rPr>
            <w:rStyle w:val="Hyperlink"/>
          </w:rPr>
          <w:t xml:space="preserve">[10]</w:t>
        </w:r>
      </w:hyperlink>
      <w:r>
        <w:t xml:space="preserve">. The AI cannot provide medical or mental‑health advice, diagnosis or treatment, cannot detect emergencies, and cannot contact emergency services</w:t>
      </w:r>
      <w:hyperlink r:id="rId25">
        <w:r>
          <w:rPr>
            <w:rStyle w:val="Hyperlink"/>
          </w:rPr>
          <w:t xml:space="preserve">[5]</w:t>
        </w:r>
      </w:hyperlink>
      <w:r>
        <w:t xml:space="preserve">. AI responses may be incomplete or inappropriate, and you are responsible for how you interpret and act upon them</w:t>
      </w:r>
      <w:hyperlink r:id="rId40">
        <w:r>
          <w:rPr>
            <w:rStyle w:val="Hyperlink"/>
          </w:rPr>
          <w:t xml:space="preserve">[11]</w:t>
        </w:r>
      </w:hyperlink>
      <w:r>
        <w:t xml:space="preserve">. Treat all responses as general wellness input and verify important information with qualified professionals</w:t>
      </w:r>
      <w:hyperlink r:id="rId41">
        <w:r>
          <w:rPr>
            <w:rStyle w:val="Hyperlink"/>
          </w:rPr>
          <w:t xml:space="preserve">[12]</w:t>
        </w:r>
      </w:hyperlink>
      <w:r>
        <w:t xml:space="preserve">.</w:t>
      </w:r>
    </w:p>
    <w:bookmarkEnd w:id="42"/>
    <w:bookmarkStart w:id="43" w:name="user-confirmation-copy"/>
    <w:p>
      <w:pPr>
        <w:pStyle w:val="Heading2"/>
      </w:pPr>
      <w:r>
        <w:t xml:space="preserve">User confirmation copy</w:t>
      </w:r>
    </w:p>
    <w:p>
      <w:pPr>
        <w:pStyle w:val="BlockText"/>
      </w:pPr>
      <w:r>
        <w:rPr>
          <w:b/>
          <w:bCs/>
        </w:rPr>
        <w:t xml:space="preserve">User acknowledgment</w:t>
      </w:r>
      <w:r>
        <w:t xml:space="preserve"> </w:t>
      </w:r>
      <w:r>
        <w:t xml:space="preserve">– By continuing to use BecomingOS you confirm that you have read and understood the</w:t>
      </w:r>
      <w:r>
        <w:t xml:space="preserve"> </w:t>
      </w:r>
      <w:r>
        <w:rPr>
          <w:b/>
          <w:bCs/>
        </w:rPr>
        <w:t xml:space="preserve">Disclaimer</w:t>
      </w:r>
      <w:r>
        <w:t xml:space="preserve">,</w:t>
      </w:r>
      <w:r>
        <w:t xml:space="preserve"> </w:t>
      </w:r>
      <w:r>
        <w:rPr>
          <w:b/>
          <w:bCs/>
        </w:rPr>
        <w:t xml:space="preserve">Crisis Notice</w:t>
      </w:r>
      <w:r>
        <w:t xml:space="preserve"> </w:t>
      </w:r>
      <w:r>
        <w:t xml:space="preserve">and</w:t>
      </w:r>
      <w:r>
        <w:t xml:space="preserve"> </w:t>
      </w:r>
      <w:r>
        <w:rPr>
          <w:b/>
          <w:bCs/>
        </w:rPr>
        <w:t xml:space="preserve">AI limitations</w:t>
      </w:r>
      <w:r>
        <w:t xml:space="preserve">. You understand that the app is for educational and reflective purposes only, that it is not monitored, and that it cannot provide medical, psychological, legal, financial, or emergency services</w:t>
      </w:r>
      <w:hyperlink r:id="rId22">
        <w:r>
          <w:rPr>
            <w:rStyle w:val="Hyperlink"/>
          </w:rPr>
          <w:t xml:space="preserve">[2]</w:t>
        </w:r>
      </w:hyperlink>
      <w:hyperlink r:id="rId25">
        <w:r>
          <w:rPr>
            <w:rStyle w:val="Hyperlink"/>
          </w:rPr>
          <w:t xml:space="preserve">[5]</w:t>
        </w:r>
      </w:hyperlink>
      <w:r>
        <w:t xml:space="preserve">. You agree to seek professional help for any health, mental‑health, legal or financial concerns and to contact emergency services or crisis hotlines if you are in distress.</w:t>
      </w:r>
    </w:p>
    <w:bookmarkEnd w:id="43"/>
    <w:bookmarkStart w:id="44" w:name="askai-refusal-copy"/>
    <w:p>
      <w:pPr>
        <w:pStyle w:val="Heading2"/>
      </w:pPr>
      <w:r>
        <w:t xml:space="preserve">Ask‑AI refusal copy</w:t>
      </w:r>
    </w:p>
    <w:p>
      <w:pPr>
        <w:pStyle w:val="BlockText"/>
      </w:pPr>
      <w:r>
        <w:rPr>
          <w:b/>
          <w:bCs/>
        </w:rPr>
        <w:t xml:space="preserve">Refusal notice</w:t>
      </w:r>
      <w:r>
        <w:t xml:space="preserve"> </w:t>
      </w:r>
      <w:r>
        <w:t xml:space="preserve">– The AI assistant is designed to support self‑reflection and general wellbeing. It will</w:t>
      </w:r>
      <w:r>
        <w:t xml:space="preserve"> </w:t>
      </w:r>
      <w:r>
        <w:rPr>
          <w:b/>
          <w:bCs/>
        </w:rPr>
        <w:t xml:space="preserve">not</w:t>
      </w:r>
      <w:r>
        <w:t xml:space="preserve"> </w:t>
      </w:r>
      <w:r>
        <w:t xml:space="preserve">answer questions that seek diagnosis, treatment, therapy, legal advice, financial advice, or emergency assistance</w:t>
      </w:r>
      <w:hyperlink r:id="rId22">
        <w:r>
          <w:rPr>
            <w:rStyle w:val="Hyperlink"/>
          </w:rPr>
          <w:t xml:space="preserve">[2]</w:t>
        </w:r>
      </w:hyperlink>
      <w:r>
        <w:t xml:space="preserve">. If your question relates to a medical, mental‑health, legal or financial matter, please consult a qualified professional. If you are in a crisis or emergency, contact your local emergency services or crisis hotline immediately</w:t>
      </w:r>
      <w:hyperlink r:id="rId25">
        <w:r>
          <w:rPr>
            <w:rStyle w:val="Hyperlink"/>
          </w:rPr>
          <w:t xml:space="preserve">[5]</w:t>
        </w:r>
      </w:hyperlink>
      <w:r>
        <w:t xml:space="preserve">.</w:t>
      </w:r>
    </w:p>
    <w:bookmarkEnd w:id="44"/>
    <w:bookmarkStart w:id="45" w:name="legal-review-checklist"/>
    <w:p>
      <w:pPr>
        <w:pStyle w:val="Heading2"/>
      </w:pPr>
      <w:r>
        <w:t xml:space="preserve">Legal review checklist</w:t>
      </w:r>
    </w:p>
    <w:p>
      <w:pPr>
        <w:pStyle w:val="Compact"/>
        <w:numPr>
          <w:ilvl w:val="0"/>
          <w:numId w:val="1003"/>
        </w:numPr>
      </w:pPr>
      <w:r>
        <w:rPr>
          <w:b/>
          <w:bCs/>
        </w:rPr>
        <w:t xml:space="preserve">Review of all marketing copy</w:t>
      </w:r>
      <w:r>
        <w:t xml:space="preserve"> </w:t>
      </w:r>
      <w:r>
        <w:t xml:space="preserve">– Ensure that advertising, website, app store descriptions, press releases and promotional material do not make prohibited claims (therapy, diagnosis, treatment, emergency support, guarantees) and that they include the marketing disclaimer.</w:t>
      </w:r>
    </w:p>
    <w:p>
      <w:pPr>
        <w:pStyle w:val="Compact"/>
        <w:numPr>
          <w:ilvl w:val="0"/>
          <w:numId w:val="1003"/>
        </w:numPr>
      </w:pPr>
      <w:r>
        <w:rPr>
          <w:b/>
          <w:bCs/>
        </w:rPr>
        <w:t xml:space="preserve">Review of in‑app onboarding</w:t>
      </w:r>
      <w:r>
        <w:t xml:space="preserve"> </w:t>
      </w:r>
      <w:r>
        <w:t xml:space="preserve">– Verify that the disclaimer, crisis/emergency notice, AI limitation copy and user confirmation appear clearly and require explicit acceptance before use.</w:t>
      </w:r>
    </w:p>
    <w:p>
      <w:pPr>
        <w:pStyle w:val="Compact"/>
        <w:numPr>
          <w:ilvl w:val="0"/>
          <w:numId w:val="1003"/>
        </w:numPr>
      </w:pPr>
      <w:r>
        <w:rPr>
          <w:b/>
          <w:bCs/>
        </w:rPr>
        <w:t xml:space="preserve">Consent and data privacy</w:t>
      </w:r>
      <w:r>
        <w:t xml:space="preserve"> </w:t>
      </w:r>
      <w:r>
        <w:t xml:space="preserve">– Confirm that consent language complies with Australian Privacy Principles and other relevant privacy regulations; confirm that no sensitive personal data are collected beyond user journaling inputs and that data are de‑identified where appropriate</w:t>
      </w:r>
      <w:hyperlink r:id="rId28">
        <w:r>
          <w:rPr>
            <w:rStyle w:val="Hyperlink"/>
          </w:rPr>
          <w:t xml:space="preserve">[13]</w:t>
        </w:r>
      </w:hyperlink>
      <w:r>
        <w:t xml:space="preserve">.</w:t>
      </w:r>
    </w:p>
    <w:p>
      <w:pPr>
        <w:pStyle w:val="Compact"/>
        <w:numPr>
          <w:ilvl w:val="0"/>
          <w:numId w:val="1003"/>
        </w:numPr>
      </w:pPr>
      <w:r>
        <w:rPr>
          <w:b/>
          <w:bCs/>
        </w:rPr>
        <w:t xml:space="preserve">Jurisdiction‑specific crisis guidance</w:t>
      </w:r>
      <w:r>
        <w:t xml:space="preserve"> </w:t>
      </w:r>
      <w:r>
        <w:t xml:space="preserve">– Ensure crisis instructions reference correct local emergency numbers for the jurisdictions where the product is offered (e.g., 000, 13 11 14 in Australia; 911/988 in the U.S.)</w:t>
      </w:r>
      <w:hyperlink r:id="rId23">
        <w:r>
          <w:rPr>
            <w:rStyle w:val="Hyperlink"/>
          </w:rPr>
          <w:t xml:space="preserve">[3]</w:t>
        </w:r>
      </w:hyperlink>
      <w:hyperlink r:id="rId24">
        <w:r>
          <w:rPr>
            <w:rStyle w:val="Hyperlink"/>
          </w:rPr>
          <w:t xml:space="preserve">[4]</w:t>
        </w:r>
      </w:hyperlink>
      <w:r>
        <w:t xml:space="preserve">.</w:t>
      </w:r>
    </w:p>
    <w:p>
      <w:pPr>
        <w:pStyle w:val="Compact"/>
        <w:numPr>
          <w:ilvl w:val="0"/>
          <w:numId w:val="1003"/>
        </w:numPr>
      </w:pPr>
      <w:r>
        <w:rPr>
          <w:b/>
          <w:bCs/>
        </w:rPr>
        <w:t xml:space="preserve">Review of user analytics and AI outputs</w:t>
      </w:r>
      <w:r>
        <w:t xml:space="preserve"> </w:t>
      </w:r>
      <w:r>
        <w:t xml:space="preserve">– Verify that analytics or AI suggestions are not positioned as medical advice and that there are no algorithmic risk predictions or monitoring features.</w:t>
      </w:r>
    </w:p>
    <w:p>
      <w:pPr>
        <w:pStyle w:val="Compact"/>
        <w:numPr>
          <w:ilvl w:val="0"/>
          <w:numId w:val="1003"/>
        </w:numPr>
      </w:pPr>
      <w:r>
        <w:rPr>
          <w:b/>
          <w:bCs/>
        </w:rPr>
        <w:t xml:space="preserve">Review of high‑impact decision scenarios</w:t>
      </w:r>
      <w:r>
        <w:t xml:space="preserve"> </w:t>
      </w:r>
      <w:r>
        <w:t xml:space="preserve">– Confirm that the product does not make decisions or recommendations affecting employment, housing, credit, or other high‑impact areas; ensure appropriate refusal copy is in place.</w:t>
      </w:r>
    </w:p>
    <w:p>
      <w:pPr>
        <w:pStyle w:val="Compact"/>
        <w:numPr>
          <w:ilvl w:val="0"/>
          <w:numId w:val="1003"/>
        </w:numPr>
      </w:pPr>
      <w:r>
        <w:rPr>
          <w:b/>
          <w:bCs/>
        </w:rPr>
        <w:t xml:space="preserve">Review of third‑party content and research</w:t>
      </w:r>
      <w:r>
        <w:t xml:space="preserve"> </w:t>
      </w:r>
      <w:r>
        <w:t xml:space="preserve">– Ensure any evidence‑based statements are supported by citations and clearly described as educational, not treatment; confirm compliance with copyright for any included content.</w:t>
      </w:r>
    </w:p>
    <w:p>
      <w:pPr>
        <w:pStyle w:val="Compact"/>
        <w:numPr>
          <w:ilvl w:val="0"/>
          <w:numId w:val="1003"/>
        </w:numPr>
      </w:pPr>
      <w:r>
        <w:rPr>
          <w:b/>
          <w:bCs/>
        </w:rPr>
        <w:t xml:space="preserve">Legal classification confirmation</w:t>
      </w:r>
      <w:r>
        <w:t xml:space="preserve"> </w:t>
      </w:r>
      <w:r>
        <w:t xml:space="preserve">– Confirm that the product falls under general wellness or consumer health product categories and is not regulated as a medical device under relevant laws (e.g., TGA excluded goods</w:t>
      </w:r>
      <w:hyperlink r:id="rId22">
        <w:r>
          <w:rPr>
            <w:rStyle w:val="Hyperlink"/>
          </w:rPr>
          <w:t xml:space="preserve">[2]</w:t>
        </w:r>
      </w:hyperlink>
      <w:r>
        <w:t xml:space="preserve">, FDA wellness guidance</w:t>
      </w:r>
      <w:hyperlink r:id="rId21">
        <w:r>
          <w:rPr>
            <w:rStyle w:val="Hyperlink"/>
          </w:rPr>
          <w:t xml:space="preserve">[1]</w:t>
        </w:r>
      </w:hyperlink>
      <w:r>
        <w:t xml:space="preserve">).</w:t>
      </w:r>
    </w:p>
    <w:p>
      <w:pPr>
        <w:pStyle w:val="Compact"/>
        <w:numPr>
          <w:ilvl w:val="0"/>
          <w:numId w:val="1003"/>
        </w:numPr>
      </w:pPr>
      <w:r>
        <w:rPr>
          <w:b/>
          <w:bCs/>
        </w:rPr>
        <w:t xml:space="preserve">International distribution</w:t>
      </w:r>
      <w:r>
        <w:t xml:space="preserve"> </w:t>
      </w:r>
      <w:r>
        <w:t xml:space="preserve">– If marketing outside Australia, consult local regulations and update crisis hotlines and regulatory references accordingly.</w:t>
      </w:r>
    </w:p>
    <w:p>
      <w:pPr>
        <w:pStyle w:val="Compact"/>
        <w:numPr>
          <w:ilvl w:val="0"/>
          <w:numId w:val="1003"/>
        </w:numPr>
      </w:pPr>
      <w:r>
        <w:rPr>
          <w:b/>
          <w:bCs/>
        </w:rPr>
        <w:t xml:space="preserve">Ongoing monitoring</w:t>
      </w:r>
      <w:r>
        <w:t xml:space="preserve"> </w:t>
      </w:r>
      <w:r>
        <w:t xml:space="preserve">– Establish a process for regular legal review as features change or new jurisdictions are added; track regulatory updates (e.g., changes to AI regulation, digital health laws).</w:t>
      </w:r>
    </w:p>
    <w:bookmarkEnd w:id="45"/>
    <w:bookmarkStart w:id="46" w:name="open-legal-questions"/>
    <w:p>
      <w:pPr>
        <w:pStyle w:val="Heading2"/>
      </w:pPr>
      <w:r>
        <w:t xml:space="preserve">Open legal questions</w:t>
      </w:r>
    </w:p>
    <w:p>
      <w:pPr>
        <w:pStyle w:val="Compact"/>
        <w:numPr>
          <w:ilvl w:val="0"/>
          <w:numId w:val="1004"/>
        </w:numPr>
      </w:pPr>
      <w:r>
        <w:rPr>
          <w:b/>
          <w:bCs/>
        </w:rPr>
        <w:t xml:space="preserve">Classification under various jurisdictions</w:t>
      </w:r>
      <w:r>
        <w:t xml:space="preserve"> </w:t>
      </w:r>
      <w:r>
        <w:t xml:space="preserve">– Is BecomingOS definitively excluded from regulation under the Therapeutic Goods Act in Australia and equivalent regimes elsewhere? Legal counsel should confirm that the features (journaling, reflection, pattern summaries) do not trigger medical‑device regulation</w:t>
      </w:r>
      <w:hyperlink r:id="rId22">
        <w:r>
          <w:rPr>
            <w:rStyle w:val="Hyperlink"/>
          </w:rPr>
          <w:t xml:space="preserve">[2]</w:t>
        </w:r>
      </w:hyperlink>
      <w:r>
        <w:t xml:space="preserve"> </w:t>
      </w:r>
      <w:r>
        <w:t xml:space="preserve">and should advise on any borderline features.</w:t>
      </w:r>
    </w:p>
    <w:p>
      <w:pPr>
        <w:pStyle w:val="Compact"/>
        <w:numPr>
          <w:ilvl w:val="0"/>
          <w:numId w:val="1004"/>
        </w:numPr>
      </w:pPr>
      <w:r>
        <w:rPr>
          <w:b/>
          <w:bCs/>
        </w:rPr>
        <w:t xml:space="preserve">Use of wellbeing research</w:t>
      </w:r>
      <w:r>
        <w:t xml:space="preserve"> </w:t>
      </w:r>
      <w:r>
        <w:t xml:space="preserve">– If the product references concepts derived from cognitive‑behavioural therapy or other therapeutic approaches, how can we frame them as educational without implying treatment? What level of citation or qualifying language is required?</w:t>
      </w:r>
    </w:p>
    <w:p>
      <w:pPr>
        <w:pStyle w:val="Compact"/>
        <w:numPr>
          <w:ilvl w:val="0"/>
          <w:numId w:val="1004"/>
        </w:numPr>
      </w:pPr>
      <w:r>
        <w:rPr>
          <w:b/>
          <w:bCs/>
        </w:rPr>
        <w:t xml:space="preserve">User age and consent</w:t>
      </w:r>
      <w:r>
        <w:t xml:space="preserve"> </w:t>
      </w:r>
      <w:r>
        <w:t xml:space="preserve">– What are the legal obligations regarding minors using the app (e.g., parental consent, additional disclosures)?</w:t>
      </w:r>
    </w:p>
    <w:p>
      <w:pPr>
        <w:pStyle w:val="Compact"/>
        <w:numPr>
          <w:ilvl w:val="0"/>
          <w:numId w:val="1004"/>
        </w:numPr>
      </w:pPr>
      <w:r>
        <w:rPr>
          <w:b/>
          <w:bCs/>
        </w:rPr>
        <w:t xml:space="preserve">Data retention and deletion</w:t>
      </w:r>
      <w:r>
        <w:t xml:space="preserve"> </w:t>
      </w:r>
      <w:r>
        <w:t xml:space="preserve">– How long can we store user reflections and AI summaries? Should we implement default deletion after a period to reduce risk?</w:t>
      </w:r>
    </w:p>
    <w:p>
      <w:pPr>
        <w:pStyle w:val="Compact"/>
        <w:numPr>
          <w:ilvl w:val="0"/>
          <w:numId w:val="1004"/>
        </w:numPr>
      </w:pPr>
      <w:r>
        <w:rPr>
          <w:b/>
          <w:bCs/>
        </w:rPr>
        <w:t xml:space="preserve">Cross‑border data transfers</w:t>
      </w:r>
      <w:r>
        <w:t xml:space="preserve"> </w:t>
      </w:r>
      <w:r>
        <w:t xml:space="preserve">– If user data are processed or stored in multiple countries, what legal requirements apply (e.g., GDPR, CCPA) and what disclosures are needed?</w:t>
      </w:r>
    </w:p>
    <w:p>
      <w:pPr>
        <w:pStyle w:val="Compact"/>
        <w:numPr>
          <w:ilvl w:val="0"/>
          <w:numId w:val="1004"/>
        </w:numPr>
      </w:pPr>
      <w:r>
        <w:rPr>
          <w:b/>
          <w:bCs/>
        </w:rPr>
        <w:t xml:space="preserve">Liability limitations</w:t>
      </w:r>
      <w:r>
        <w:t xml:space="preserve"> </w:t>
      </w:r>
      <w:r>
        <w:t xml:space="preserve">– Are the liability limitations and disclaimer language sufficient under Australian consumer law? Should additional indemnities or warnings be included?</w:t>
      </w:r>
    </w:p>
    <w:p>
      <w:pPr>
        <w:pStyle w:val="Compact"/>
        <w:numPr>
          <w:ilvl w:val="0"/>
          <w:numId w:val="1004"/>
        </w:numPr>
      </w:pPr>
      <w:r>
        <w:rPr>
          <w:b/>
          <w:bCs/>
        </w:rPr>
        <w:t xml:space="preserve">Use of AI models</w:t>
      </w:r>
      <w:r>
        <w:t xml:space="preserve"> </w:t>
      </w:r>
      <w:r>
        <w:t xml:space="preserve">– Are there any emerging regulatory requirements specific to AI‑generated wellness tools that we need to anticipate, such as mandatory transparency or algorithmic impact assessments?</w:t>
      </w:r>
    </w:p>
    <w:p>
      <w:pPr>
        <w:pStyle w:val="Compact"/>
        <w:numPr>
          <w:ilvl w:val="0"/>
          <w:numId w:val="1004"/>
        </w:numPr>
      </w:pPr>
      <w:r>
        <w:rPr>
          <w:b/>
          <w:bCs/>
        </w:rPr>
        <w:t xml:space="preserve">Accessibility and discrimination</w:t>
      </w:r>
      <w:r>
        <w:t xml:space="preserve"> </w:t>
      </w:r>
      <w:r>
        <w:t xml:space="preserve">– How do we ensure that the product’s language and AI outputs do not inadvertently discriminate or provide unsuitable guidance for users with disabilities or specific cultural backgrounds?</w:t>
      </w:r>
    </w:p>
    <w:p>
      <w:r>
        <w:pict>
          <v:rect style="width:0;height:1.5pt" o:hralign="center" o:hrstd="t" o:hr="t"/>
        </w:pict>
      </w:r>
    </w:p>
    <w:p>
      <w:pPr>
        <w:pStyle w:val="FirstParagraph"/>
      </w:pPr>
      <w:r>
        <w:rPr>
          <w:i/>
          <w:iCs/>
        </w:rPr>
        <w:t xml:space="preserve">Prepared by the Legal Claims Review Preparation Agent on 16 May 2026 (Australia/Sydney). This document summarises public guidance and does not constitute legal advice.</w:t>
      </w:r>
    </w:p>
    <w:bookmarkEnd w:id="46"/>
    <w:bookmarkEnd w:id="47"/>
    <w:bookmarkEnd w:id="48"/>
    <w:p>
      <w:r>
        <w:pict>
          <v:rect style="width:0;height:1.5pt" o:hralign="center" o:hrstd="t" o:hr="t"/>
        </w:pict>
      </w:r>
    </w:p>
    <w:bookmarkStart w:id="52" w:name="citations"/>
    <w:p>
      <w:pPr>
        <w:pStyle w:val="FirstParagraph"/>
      </w:pPr>
      <w:hyperlink r:id="rId21">
        <w:r>
          <w:rPr>
            <w:rStyle w:val="Hyperlink"/>
          </w:rPr>
          <w:t xml:space="preserve">[1]</w:t>
        </w:r>
      </w:hyperlink>
      <w:r>
        <w:t xml:space="preserve"> </w:t>
      </w:r>
      <w:r>
        <w:t xml:space="preserve">Examples of Software Functions That Are NOT Medical Devices | FDA</w:t>
      </w:r>
    </w:p>
    <w:p>
      <w:pPr>
        <w:pStyle w:val="BodyText"/>
      </w:pPr>
      <w:hyperlink r:id="rId49">
        <w:r>
          <w:rPr>
            <w:rStyle w:val="Hyperlink"/>
          </w:rPr>
          <w:t xml:space="preserve">https://www.fda.gov/medical-devices/device-software-functions-including-mobile-medical-applications/examples-software-functions-are-not-medical-devices</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30">
        <w:r>
          <w:rPr>
            <w:rStyle w:val="Hyperlink"/>
          </w:rPr>
          <w:t xml:space="preserve">[8]</w:t>
        </w:r>
      </w:hyperlink>
      <w:r>
        <w:t xml:space="preserve"> </w:t>
      </w:r>
      <w:hyperlink r:id="rId32">
        <w:r>
          <w:rPr>
            <w:rStyle w:val="Hyperlink"/>
          </w:rPr>
          <w:t xml:space="preserve">[9]</w:t>
        </w:r>
      </w:hyperlink>
      <w:r>
        <w:t xml:space="preserve"> </w:t>
      </w:r>
      <w:hyperlink r:id="rId28">
        <w:r>
          <w:rPr>
            <w:rStyle w:val="Hyperlink"/>
          </w:rPr>
          <w:t xml:space="preserve">[13]</w:t>
        </w:r>
      </w:hyperlink>
      <w:r>
        <w:t xml:space="preserve"> </w:t>
      </w:r>
      <w:r>
        <w:t xml:space="preserve">Disclaimers | Kalmi AI</w:t>
      </w:r>
    </w:p>
    <w:p>
      <w:pPr>
        <w:pStyle w:val="BodyText"/>
      </w:pPr>
      <w:hyperlink r:id="rId50">
        <w:r>
          <w:rPr>
            <w:rStyle w:val="Hyperlink"/>
          </w:rPr>
          <w:t xml:space="preserve">https://www.kalmi.com.au/disclaimers</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34">
        <w:r>
          <w:rPr>
            <w:rStyle w:val="Hyperlink"/>
          </w:rPr>
          <w:t xml:space="preserve">[10]</w:t>
        </w:r>
      </w:hyperlink>
      <w:r>
        <w:t xml:space="preserve"> </w:t>
      </w:r>
      <w:hyperlink r:id="rId40">
        <w:r>
          <w:rPr>
            <w:rStyle w:val="Hyperlink"/>
          </w:rPr>
          <w:t xml:space="preserve">[11]</w:t>
        </w:r>
      </w:hyperlink>
      <w:r>
        <w:t xml:space="preserve"> </w:t>
      </w:r>
      <w:hyperlink r:id="rId41">
        <w:r>
          <w:rPr>
            <w:rStyle w:val="Hyperlink"/>
          </w:rPr>
          <w:t xml:space="preserve">[12]</w:t>
        </w:r>
      </w:hyperlink>
      <w:r>
        <w:t xml:space="preserve"> </w:t>
      </w:r>
      <w:r>
        <w:t xml:space="preserve">AI Disclaimer - Rae</w:t>
      </w:r>
    </w:p>
    <w:p>
      <w:pPr>
        <w:pStyle w:val="BodyText"/>
      </w:pPr>
      <w:hyperlink r:id="rId51">
        <w:r>
          <w:rPr>
            <w:rStyle w:val="Hyperlink"/>
          </w:rPr>
          <w:t xml:space="preserve">https://www.rae.chat/disclaimer</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www.fda.gov/medical-devices/device-software-functions-including-mobile-medical-applications/examples-software-functions-are-not-medical-devices" TargetMode="External" /><Relationship Type="http://schemas.openxmlformats.org/officeDocument/2006/relationships/hyperlink" Id="rId21" Target="https://www.fda.gov/medical-devices/device-software-functions-including-mobile-medical-applications/examples-software-functions-are-not-medical-devices#:~:text=This%20list%20provides%20examples%20of,to%20be%20a%20medical%20device" TargetMode="External" /><Relationship Type="http://schemas.openxmlformats.org/officeDocument/2006/relationships/hyperlink" Id="rId50" Target="https://www.kalmi.com.au/disclaimers" TargetMode="External" /><Relationship Type="http://schemas.openxmlformats.org/officeDocument/2006/relationships/hyperlink" Id="rId30" Target="https://www.kalmi.com.au/disclaimers#:~:text=,diagnosis%2C%20or%20treatment" TargetMode="External" /><Relationship Type="http://schemas.openxmlformats.org/officeDocument/2006/relationships/hyperlink" Id="rId28" Target="https://www.kalmi.com.au/disclaimers#:~:text=2" TargetMode="External" /><Relationship Type="http://schemas.openxmlformats.org/officeDocument/2006/relationships/hyperlink" Id="rId32" Target="https://www.kalmi.com.au/disclaimers#:~:text=3" TargetMode="External" /><Relationship Type="http://schemas.openxmlformats.org/officeDocument/2006/relationships/hyperlink" Id="rId23" Target="https://www.kalmi.com.au/disclaimers#:~:text=4" TargetMode="External" /><Relationship Type="http://schemas.openxmlformats.org/officeDocument/2006/relationships/hyperlink" Id="rId22" Target="https://www.kalmi.com.au/disclaimers#:~:text=Kalmi%20AI%20products%20are%20classified,Excluded%20Goods%29%20Determination%202018" TargetMode="External" /><Relationship Type="http://schemas.openxmlformats.org/officeDocument/2006/relationships/hyperlink" Id="rId27" Target="https://www.kalmi.com.au/disclaimers#:~:text=Kalmi%20is%20an%20artificial%20intelligence,awareness" TargetMode="External" /><Relationship Type="http://schemas.openxmlformats.org/officeDocument/2006/relationships/hyperlink" Id="rId51" Target="https://www.rae.chat/disclaimer" TargetMode="External" /><Relationship Type="http://schemas.openxmlformats.org/officeDocument/2006/relationships/hyperlink" Id="rId34" Target="https://www.rae.chat/disclaimer#:~:text=,to%20generate%20responses" TargetMode="External" /><Relationship Type="http://schemas.openxmlformats.org/officeDocument/2006/relationships/hyperlink" Id="rId24" Target="https://www.rae.chat/disclaimer#:~:text=If%20you%20are%20experiencing%20thoughts,kind%20of%20mental%20health%20emergency" TargetMode="External" /><Relationship Type="http://schemas.openxmlformats.org/officeDocument/2006/relationships/hyperlink" Id="rId40" Target="https://www.rae.chat/disclaimer#:~:text=The%20AI%20may%3A" TargetMode="External" /><Relationship Type="http://schemas.openxmlformats.org/officeDocument/2006/relationships/hyperlink" Id="rId25" Target="https://www.rae.chat/disclaimer#:~:text=The%20AI%20system%20CANNOT%3A" TargetMode="External" /><Relationship Type="http://schemas.openxmlformats.org/officeDocument/2006/relationships/hyperlink" Id="rId41" Target="https://www.rae.chat/disclaimer#:~:text=Users%20MUST%3A" TargetMode="External" /></Relationships>
</file>

<file path=word/_rels/footnotes.xml.rels><?xml version="1.0" encoding="UTF-8"?><Relationships xmlns="http://schemas.openxmlformats.org/package/2006/relationships"><Relationship Type="http://schemas.openxmlformats.org/officeDocument/2006/relationships/hyperlink" Id="rId49" Target="https://www.fda.gov/medical-devices/device-software-functions-including-mobile-medical-applications/examples-software-functions-are-not-medical-devices" TargetMode="External" /><Relationship Type="http://schemas.openxmlformats.org/officeDocument/2006/relationships/hyperlink" Id="rId21" Target="https://www.fda.gov/medical-devices/device-software-functions-including-mobile-medical-applications/examples-software-functions-are-not-medical-devices#:~:text=This%20list%20provides%20examples%20of,to%20be%20a%20medical%20device" TargetMode="External" /><Relationship Type="http://schemas.openxmlformats.org/officeDocument/2006/relationships/hyperlink" Id="rId50" Target="https://www.kalmi.com.au/disclaimers" TargetMode="External" /><Relationship Type="http://schemas.openxmlformats.org/officeDocument/2006/relationships/hyperlink" Id="rId30" Target="https://www.kalmi.com.au/disclaimers#:~:text=,diagnosis%2C%20or%20treatment" TargetMode="External" /><Relationship Type="http://schemas.openxmlformats.org/officeDocument/2006/relationships/hyperlink" Id="rId28" Target="https://www.kalmi.com.au/disclaimers#:~:text=2" TargetMode="External" /><Relationship Type="http://schemas.openxmlformats.org/officeDocument/2006/relationships/hyperlink" Id="rId32" Target="https://www.kalmi.com.au/disclaimers#:~:text=3" TargetMode="External" /><Relationship Type="http://schemas.openxmlformats.org/officeDocument/2006/relationships/hyperlink" Id="rId23" Target="https://www.kalmi.com.au/disclaimers#:~:text=4" TargetMode="External" /><Relationship Type="http://schemas.openxmlformats.org/officeDocument/2006/relationships/hyperlink" Id="rId22" Target="https://www.kalmi.com.au/disclaimers#:~:text=Kalmi%20AI%20products%20are%20classified,Excluded%20Goods%29%20Determination%202018" TargetMode="External" /><Relationship Type="http://schemas.openxmlformats.org/officeDocument/2006/relationships/hyperlink" Id="rId27" Target="https://www.kalmi.com.au/disclaimers#:~:text=Kalmi%20is%20an%20artificial%20intelligence,awareness" TargetMode="External" /><Relationship Type="http://schemas.openxmlformats.org/officeDocument/2006/relationships/hyperlink" Id="rId51" Target="https://www.rae.chat/disclaimer" TargetMode="External" /><Relationship Type="http://schemas.openxmlformats.org/officeDocument/2006/relationships/hyperlink" Id="rId34" Target="https://www.rae.chat/disclaimer#:~:text=,to%20generate%20responses" TargetMode="External" /><Relationship Type="http://schemas.openxmlformats.org/officeDocument/2006/relationships/hyperlink" Id="rId24" Target="https://www.rae.chat/disclaimer#:~:text=If%20you%20are%20experiencing%20thoughts,kind%20of%20mental%20health%20emergency" TargetMode="External" /><Relationship Type="http://schemas.openxmlformats.org/officeDocument/2006/relationships/hyperlink" Id="rId40" Target="https://www.rae.chat/disclaimer#:~:text=The%20AI%20may%3A" TargetMode="External" /><Relationship Type="http://schemas.openxmlformats.org/officeDocument/2006/relationships/hyperlink" Id="rId25" Target="https://www.rae.chat/disclaimer#:~:text=The%20AI%20system%20CANNOT%3A" TargetMode="External" /><Relationship Type="http://schemas.openxmlformats.org/officeDocument/2006/relationships/hyperlink" Id="rId41" Target="https://www.rae.chat/disclaimer#:~:text=Users%20MUST%3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2026-05-16T08:44:56Z</dcterms:created>
  <dcterms:modified xsi:type="dcterms:W3CDTF">2026-05-16T08:44:56Z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