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982df48827f14a89cce9dcf4e6b5b96b52309dc"/>
    <w:p>
      <w:pPr>
        <w:pStyle w:val="Heading1"/>
      </w:pPr>
      <w:r>
        <w:t xml:space="preserve">BecomingOS Non‑Functional Requirements (NFR) Document</w:t>
      </w:r>
    </w:p>
    <w:bookmarkStart w:id="21" w:name="product-assumptions"/>
    <w:p>
      <w:pPr>
        <w:pStyle w:val="Heading2"/>
      </w:pPr>
      <w:r>
        <w:t xml:space="preserve">Product assumptions</w:t>
      </w:r>
    </w:p>
    <w:p>
      <w:pPr>
        <w:pStyle w:val="FirstParagraph"/>
      </w:pPr>
      <w:r>
        <w:t xml:space="preserve">The following assumptions underpin the non‑functional requirements for the BecomingOS product. They should be revisited as the product strategy evolves.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Assumption</w:t>
            </w:r>
          </w:p>
        </w:tc>
        <w:tc>
          <w:tcPr/>
          <w:p>
            <w:pPr>
              <w:pStyle w:val="Compact"/>
            </w:pPr>
            <w:r>
              <w:t xml:space="preserve">Notes</w:t>
            </w:r>
          </w:p>
        </w:tc>
      </w:tr>
      <w:tr>
        <w:tc>
          <w:tcPr/>
          <w:p>
            <w:pPr>
              <w:pStyle w:val="Compact"/>
            </w:pPr>
            <w:r>
              <w:rPr>
                <w:b/>
                <w:bCs/>
              </w:rPr>
              <w:t xml:space="preserve">Launch geography</w:t>
            </w:r>
          </w:p>
        </w:tc>
        <w:tc>
          <w:tcPr/>
          <w:p>
            <w:pPr>
              <w:pStyle w:val="Compact"/>
            </w:pPr>
            <w:r>
              <w:t xml:space="preserve">Initial launch is in Australia and New Zealand, with plans to expand globally. If expansion includes the EU or US, data residency and compliance requirements may need revision.</w:t>
            </w:r>
          </w:p>
        </w:tc>
      </w:tr>
      <w:tr>
        <w:tc>
          <w:tcPr/>
          <w:p>
            <w:pPr>
              <w:pStyle w:val="Compact"/>
            </w:pPr>
            <w:r>
              <w:rPr>
                <w:b/>
                <w:bCs/>
              </w:rPr>
              <w:t xml:space="preserve">Target platforms</w:t>
            </w:r>
          </w:p>
        </w:tc>
        <w:tc>
          <w:tcPr/>
          <w:p>
            <w:pPr>
              <w:pStyle w:val="Compact"/>
            </w:pPr>
            <w:r>
              <w:t xml:space="preserve">Browser‑based web application and native mobile apps (iOS/Android). Internal tooling includes an API and admin dashboard.</w:t>
            </w:r>
          </w:p>
        </w:tc>
      </w:tr>
      <w:tr>
        <w:tc>
          <w:tcPr/>
          <w:p>
            <w:pPr>
              <w:pStyle w:val="Compact"/>
            </w:pPr>
            <w:r>
              <w:rPr>
                <w:b/>
                <w:bCs/>
              </w:rPr>
              <w:t xml:space="preserve">Expected users</w:t>
            </w:r>
          </w:p>
        </w:tc>
        <w:tc>
          <w:tcPr/>
          <w:p>
            <w:pPr>
              <w:pStyle w:val="Compact"/>
            </w:pPr>
            <w:r>
              <w:t xml:space="preserve">Early stages target &lt;100 internal testers, expanding to a closed beta (&lt;500 users), then to an MVP (~5,000 users) and production (&gt;10,000 users). The user base includes consumers and enterprise team members.</w:t>
            </w:r>
          </w:p>
        </w:tc>
      </w:tr>
      <w:tr>
        <w:tc>
          <w:tcPr/>
          <w:p>
            <w:pPr>
              <w:pStyle w:val="Compact"/>
            </w:pPr>
            <w:r>
              <w:rPr>
                <w:b/>
                <w:bCs/>
              </w:rPr>
              <w:t xml:space="preserve">Expected active users</w:t>
            </w:r>
          </w:p>
        </w:tc>
        <w:tc>
          <w:tcPr/>
          <w:p>
            <w:pPr>
              <w:pStyle w:val="Compact"/>
            </w:pPr>
            <w:r>
              <w:rPr>
                <w:b/>
                <w:bCs/>
              </w:rPr>
              <w:t xml:space="preserve">Prototype</w:t>
            </w:r>
            <w:r>
              <w:t xml:space="preserve">: ≤200 daily active users (DAUs).</w:t>
            </w:r>
            <w:r>
              <w:t xml:space="preserve"> </w:t>
            </w:r>
            <w:r>
              <w:rPr>
                <w:b/>
                <w:bCs/>
              </w:rPr>
              <w:t xml:space="preserve">MVP</w:t>
            </w:r>
            <w:r>
              <w:t xml:space="preserve">: up to 1 k DAUs.</w:t>
            </w:r>
            <w:r>
              <w:t xml:space="preserve"> </w:t>
            </w:r>
            <w:r>
              <w:rPr>
                <w:b/>
                <w:bCs/>
              </w:rPr>
              <w:t xml:space="preserve">Closed beta</w:t>
            </w:r>
            <w:r>
              <w:t xml:space="preserve">: up to 5 k DAUs.</w:t>
            </w:r>
            <w:r>
              <w:t xml:space="preserve"> </w:t>
            </w:r>
            <w:r>
              <w:rPr>
                <w:b/>
                <w:bCs/>
              </w:rPr>
              <w:t xml:space="preserve">Production</w:t>
            </w:r>
            <w:r>
              <w:t xml:space="preserve">: scaling up to 50 k DAUs. Assumptions drive capacity planning and scalability targets.</w:t>
            </w:r>
          </w:p>
        </w:tc>
      </w:tr>
      <w:tr>
        <w:tc>
          <w:tcPr/>
          <w:p>
            <w:pPr>
              <w:pStyle w:val="Compact"/>
            </w:pPr>
            <w:r>
              <w:rPr>
                <w:b/>
                <w:bCs/>
              </w:rPr>
              <w:t xml:space="preserve">Data sensitivity</w:t>
            </w:r>
          </w:p>
        </w:tc>
        <w:tc>
          <w:tcPr/>
          <w:p>
            <w:pPr>
              <w:pStyle w:val="Compact"/>
            </w:pPr>
            <w:r>
              <w:t xml:space="preserve">Application may store personally identifiable information (PII), user preferences, messages and vector embeddings. PII is considered sensitive, requiring strict data‑minimisation, encryption and access controls.</w:t>
            </w:r>
          </w:p>
        </w:tc>
      </w:tr>
      <w:tr>
        <w:tc>
          <w:tcPr/>
          <w:p>
            <w:pPr>
              <w:pStyle w:val="Compact"/>
            </w:pPr>
            <w:r>
              <w:rPr>
                <w:b/>
                <w:bCs/>
              </w:rPr>
              <w:t xml:space="preserve">AI usage assumptions</w:t>
            </w:r>
          </w:p>
        </w:tc>
        <w:tc>
          <w:tcPr/>
          <w:p>
            <w:pPr>
              <w:pStyle w:val="Compact"/>
            </w:pPr>
            <w:r>
              <w:t xml:space="preserve">The product uses large‑language‑model (LLM) services to summarise and extract information. These services process user data and must meet privacy and safety requirements. AI responses are not used for high‑impact decisions such as credit or hiring.</w:t>
            </w:r>
          </w:p>
        </w:tc>
      </w:tr>
    </w:tbl>
    <w:bookmarkEnd w:id="21"/>
    <w:bookmarkStart w:id="48" w:name="nfr-table"/>
    <w:p>
      <w:pPr>
        <w:pStyle w:val="Heading2"/>
      </w:pPr>
      <w:r>
        <w:t xml:space="preserve">NFR table</w:t>
      </w:r>
    </w:p>
    <w:p>
      <w:pPr>
        <w:pStyle w:val="FirstParagraph"/>
      </w:pPr>
      <w:r>
        <w:t xml:space="preserve">Each requirement is labelled</w:t>
      </w:r>
      <w:r>
        <w:t xml:space="preserve"> </w:t>
      </w:r>
      <w:r>
        <w:rPr>
          <w:b/>
          <w:bCs/>
        </w:rPr>
        <w:t xml:space="preserve">NFR‑xx</w:t>
      </w:r>
      <w:r>
        <w:t xml:space="preserve"> </w:t>
      </w:r>
      <w:r>
        <w:t xml:space="preserve">and includes the priority (P0 = mandatory for prototype; P1 = mandatory for MVP; P2 = mandatory for closed beta; P3 = mandatory for production). Measurement and acceptance criteria are specified so that compliance can be objectively validated. Owners are suggested roles and can be adjusted.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Req ID</w:t>
            </w:r>
          </w:p>
        </w:tc>
        <w:tc>
          <w:tcPr/>
          <w:p>
            <w:pPr>
              <w:pStyle w:val="Compact"/>
            </w:pPr>
            <w:r>
              <w:t xml:space="preserve">Requirement statement</w:t>
            </w:r>
          </w:p>
        </w:tc>
        <w:tc>
          <w:tcPr/>
          <w:p>
            <w:pPr>
              <w:pStyle w:val="Compact"/>
            </w:pPr>
            <w:r>
              <w:t xml:space="preserve">Priority</w:t>
            </w:r>
          </w:p>
        </w:tc>
        <w:tc>
          <w:tcPr/>
          <w:p>
            <w:pPr>
              <w:pStyle w:val="Compact"/>
            </w:pPr>
            <w:r>
              <w:t xml:space="preserve">Measurement method</w:t>
            </w:r>
          </w:p>
        </w:tc>
        <w:tc>
          <w:tcPr/>
          <w:p>
            <w:pPr>
              <w:pStyle w:val="Compact"/>
            </w:pPr>
            <w:r>
              <w:t xml:space="preserve">Acceptance criteria</w:t>
            </w:r>
          </w:p>
        </w:tc>
        <w:tc>
          <w:tcPr/>
          <w:p>
            <w:pPr>
              <w:pStyle w:val="Compact"/>
            </w:pPr>
            <w:r>
              <w:t xml:space="preserve">Owner</w:t>
            </w:r>
          </w:p>
        </w:tc>
        <w:tc>
          <w:tcPr/>
          <w:p>
            <w:pPr>
              <w:pStyle w:val="Compact"/>
            </w:pPr>
            <w:r>
              <w:t xml:space="preserve">Stage required by</w:t>
            </w:r>
          </w:p>
        </w:tc>
      </w:tr>
      <w:tr>
        <w:tc>
          <w:tcPr/>
          <w:p>
            <w:pPr>
              <w:pStyle w:val="Compact"/>
            </w:pPr>
            <w:r>
              <w:rPr>
                <w:b/>
                <w:bCs/>
              </w:rPr>
              <w:t xml:space="preserve">NFR‑01</w:t>
            </w:r>
          </w:p>
        </w:tc>
        <w:tc>
          <w:tcPr/>
          <w:p>
            <w:pPr>
              <w:pStyle w:val="Compact"/>
            </w:pPr>
            <w:r>
              <w:rPr>
                <w:b/>
                <w:bCs/>
              </w:rPr>
              <w:t xml:space="preserve">Page load performance:</w:t>
            </w:r>
            <w:r>
              <w:t xml:space="preserve"> </w:t>
            </w:r>
            <w:r>
              <w:t xml:space="preserve">Web pages should load quickly to provide a responsive experience. For user‑facing pages (e.g., home, dashboard), the</w:t>
            </w:r>
            <w:r>
              <w:t xml:space="preserve"> </w:t>
            </w:r>
            <w:r>
              <w:rPr>
                <w:b/>
                <w:bCs/>
              </w:rPr>
              <w:t xml:space="preserve">p95</w:t>
            </w:r>
            <w:r>
              <w:t xml:space="preserve"> </w:t>
            </w:r>
            <w:r>
              <w:t xml:space="preserve">page load time must be ≤2 s and</w:t>
            </w:r>
            <w:r>
              <w:t xml:space="preserve"> </w:t>
            </w:r>
            <w:r>
              <w:rPr>
                <w:b/>
                <w:bCs/>
              </w:rPr>
              <w:t xml:space="preserve">p99</w:t>
            </w:r>
            <w:r>
              <w:t xml:space="preserve"> </w:t>
            </w:r>
            <w:r>
              <w:t xml:space="preserve">≤3 s, aligning with performance benchmarks for SaaS and mobile dashboards</w:t>
            </w:r>
            <w:hyperlink r:id="rId22">
              <w:r>
                <w:rPr>
                  <w:rStyle w:val="Hyperlink"/>
                </w:rPr>
                <w:t xml:space="preserve">[1]</w:t>
              </w:r>
            </w:hyperlink>
            <w:r>
              <w:t xml:space="preserve">.</w:t>
            </w:r>
          </w:p>
        </w:tc>
        <w:tc>
          <w:tcPr/>
          <w:p>
            <w:pPr>
              <w:pStyle w:val="Compact"/>
            </w:pPr>
            <w:r>
              <w:t xml:space="preserve">P0</w:t>
            </w:r>
          </w:p>
        </w:tc>
        <w:tc>
          <w:tcPr/>
          <w:p>
            <w:pPr>
              <w:pStyle w:val="Compact"/>
            </w:pPr>
            <w:r>
              <w:t xml:space="preserve">Instrument front‑end telemetry to record page load times and compute p95/p99 during peak hours.</w:t>
            </w:r>
          </w:p>
        </w:tc>
        <w:tc>
          <w:tcPr/>
          <w:p>
            <w:pPr>
              <w:pStyle w:val="Compact"/>
            </w:pPr>
            <w:r>
              <w:t xml:space="preserve">During load tests and live monitoring, 95 % of page loads complete within 2 seconds and 99 % within 3 seconds.</w:t>
            </w:r>
          </w:p>
        </w:tc>
        <w:tc>
          <w:tcPr/>
          <w:p>
            <w:pPr>
              <w:pStyle w:val="Compact"/>
            </w:pPr>
            <w:r>
              <w:t xml:space="preserve">Engineering (Performance)</w:t>
            </w:r>
          </w:p>
        </w:tc>
        <w:tc>
          <w:tcPr/>
          <w:p>
            <w:pPr>
              <w:pStyle w:val="Compact"/>
            </w:pPr>
            <w:r>
              <w:t xml:space="preserve">Prototype</w:t>
            </w:r>
          </w:p>
        </w:tc>
      </w:tr>
      <w:tr>
        <w:tc>
          <w:tcPr/>
          <w:p>
            <w:pPr>
              <w:pStyle w:val="Compact"/>
            </w:pPr>
            <w:r>
              <w:rPr>
                <w:b/>
                <w:bCs/>
              </w:rPr>
              <w:t xml:space="preserve">NFR‑02</w:t>
            </w:r>
          </w:p>
        </w:tc>
        <w:tc>
          <w:tcPr/>
          <w:p>
            <w:pPr>
              <w:pStyle w:val="Compact"/>
            </w:pPr>
            <w:r>
              <w:rPr>
                <w:b/>
                <w:bCs/>
              </w:rPr>
              <w:t xml:space="preserve">API latency:</w:t>
            </w:r>
            <w:r>
              <w:t xml:space="preserve"> </w:t>
            </w:r>
            <w:r>
              <w:t xml:space="preserve">Internal and public APIs must respond promptly. For read APIs, the</w:t>
            </w:r>
            <w:r>
              <w:t xml:space="preserve"> </w:t>
            </w:r>
            <w:r>
              <w:rPr>
                <w:b/>
                <w:bCs/>
              </w:rPr>
              <w:t xml:space="preserve">p95</w:t>
            </w:r>
            <w:r>
              <w:t xml:space="preserve"> </w:t>
            </w:r>
            <w:r>
              <w:t xml:space="preserve">latency should be &lt;400 ms and</w:t>
            </w:r>
            <w:r>
              <w:t xml:space="preserve"> </w:t>
            </w:r>
            <w:r>
              <w:rPr>
                <w:b/>
                <w:bCs/>
              </w:rPr>
              <w:t xml:space="preserve">p99</w:t>
            </w:r>
            <w:r>
              <w:t xml:space="preserve"> </w:t>
            </w:r>
            <w:r>
              <w:t xml:space="preserve">&lt;500 ms (e.g., add‑to‑cart benchmarks</w:t>
            </w:r>
            <w:hyperlink r:id="rId22">
              <w:r>
                <w:rPr>
                  <w:rStyle w:val="Hyperlink"/>
                </w:rPr>
                <w:t xml:space="preserve">[1]</w:t>
              </w:r>
            </w:hyperlink>
            <w:r>
              <w:t xml:space="preserve">). For write or transactional APIs, p95 &lt;600 ms.</w:t>
            </w:r>
          </w:p>
        </w:tc>
        <w:tc>
          <w:tcPr/>
          <w:p>
            <w:pPr>
              <w:pStyle w:val="Compact"/>
            </w:pPr>
            <w:r>
              <w:t xml:space="preserve">P0</w:t>
            </w:r>
          </w:p>
        </w:tc>
        <w:tc>
          <w:tcPr/>
          <w:p>
            <w:pPr>
              <w:pStyle w:val="Compact"/>
            </w:pPr>
            <w:r>
              <w:t xml:space="preserve">Monitor API latency using application performance monitoring (APM) tools and compute percentile metrics.</w:t>
            </w:r>
          </w:p>
        </w:tc>
        <w:tc>
          <w:tcPr/>
          <w:p>
            <w:pPr>
              <w:pStyle w:val="Compact"/>
            </w:pPr>
            <w:r>
              <w:t xml:space="preserve">API endpoints meet the latency thresholds under normal and peak load (≤4× peak DAUs).</w:t>
            </w:r>
          </w:p>
        </w:tc>
        <w:tc>
          <w:tcPr/>
          <w:p>
            <w:pPr>
              <w:pStyle w:val="Compact"/>
            </w:pPr>
            <w:r>
              <w:t xml:space="preserve">Engineering (Backend)</w:t>
            </w:r>
          </w:p>
        </w:tc>
        <w:tc>
          <w:tcPr/>
          <w:p>
            <w:pPr>
              <w:pStyle w:val="Compact"/>
            </w:pPr>
            <w:r>
              <w:t xml:space="preserve">Prototype</w:t>
            </w:r>
          </w:p>
        </w:tc>
      </w:tr>
      <w:tr>
        <w:tc>
          <w:tcPr/>
          <w:p>
            <w:pPr>
              <w:pStyle w:val="Compact"/>
            </w:pPr>
            <w:r>
              <w:rPr>
                <w:b/>
                <w:bCs/>
              </w:rPr>
              <w:t xml:space="preserve">NFR‑03</w:t>
            </w:r>
          </w:p>
        </w:tc>
        <w:tc>
          <w:tcPr/>
          <w:p>
            <w:pPr>
              <w:pStyle w:val="Compact"/>
            </w:pPr>
            <w:r>
              <w:rPr>
                <w:b/>
                <w:bCs/>
              </w:rPr>
              <w:t xml:space="preserve">AI response latency:</w:t>
            </w:r>
            <w:r>
              <w:t xml:space="preserve"> </w:t>
            </w:r>
            <w:r>
              <w:t xml:space="preserve">Calls to LLMs must return user‑visible responses within</w:t>
            </w:r>
            <w:r>
              <w:t xml:space="preserve"> </w:t>
            </w:r>
            <w:r>
              <w:rPr>
                <w:b/>
                <w:bCs/>
              </w:rPr>
              <w:t xml:space="preserve">2 s</w:t>
            </w:r>
            <w:r>
              <w:t xml:space="preserve"> </w:t>
            </w:r>
            <w:r>
              <w:t xml:space="preserve">for simple prompts and</w:t>
            </w:r>
            <w:r>
              <w:t xml:space="preserve"> </w:t>
            </w:r>
            <w:r>
              <w:rPr>
                <w:b/>
                <w:bCs/>
              </w:rPr>
              <w:t xml:space="preserve">5 s</w:t>
            </w:r>
            <w:r>
              <w:t xml:space="preserve"> </w:t>
            </w:r>
            <w:r>
              <w:t xml:space="preserve">for complex summarisation.</w:t>
            </w:r>
          </w:p>
        </w:tc>
        <w:tc>
          <w:tcPr/>
          <w:p>
            <w:pPr>
              <w:pStyle w:val="Compact"/>
            </w:pPr>
            <w:r>
              <w:t xml:space="preserve">P1</w:t>
            </w:r>
          </w:p>
        </w:tc>
        <w:tc>
          <w:tcPr/>
          <w:p>
            <w:pPr>
              <w:pStyle w:val="Compact"/>
            </w:pPr>
            <w:r>
              <w:t xml:space="preserve">Log call durations from request to response; compute percentiles.</w:t>
            </w:r>
          </w:p>
        </w:tc>
        <w:tc>
          <w:tcPr/>
          <w:p>
            <w:pPr>
              <w:pStyle w:val="Compact"/>
            </w:pPr>
            <w:r>
              <w:t xml:space="preserve">95 % of AI responses meet latency targets; system displays a loading indicator for longer tasks.</w:t>
            </w:r>
          </w:p>
        </w:tc>
        <w:tc>
          <w:tcPr/>
          <w:p>
            <w:pPr>
              <w:pStyle w:val="Compact"/>
            </w:pPr>
            <w:r>
              <w:t xml:space="preserve">Engineering (AI)</w:t>
            </w:r>
          </w:p>
        </w:tc>
        <w:tc>
          <w:tcPr/>
          <w:p>
            <w:pPr>
              <w:pStyle w:val="Compact"/>
            </w:pPr>
            <w:r>
              <w:t xml:space="preserve">MVP</w:t>
            </w:r>
          </w:p>
        </w:tc>
      </w:tr>
      <w:tr>
        <w:tc>
          <w:tcPr/>
          <w:p>
            <w:pPr>
              <w:pStyle w:val="Compact"/>
            </w:pPr>
            <w:r>
              <w:rPr>
                <w:b/>
                <w:bCs/>
              </w:rPr>
              <w:t xml:space="preserve">NFR‑04</w:t>
            </w:r>
          </w:p>
        </w:tc>
        <w:tc>
          <w:tcPr/>
          <w:p>
            <w:pPr>
              <w:pStyle w:val="Compact"/>
            </w:pPr>
            <w:r>
              <w:rPr>
                <w:b/>
                <w:bCs/>
              </w:rPr>
              <w:t xml:space="preserve">Timeout and retry behaviour:</w:t>
            </w:r>
            <w:r>
              <w:t xml:space="preserve"> </w:t>
            </w:r>
            <w:r>
              <w:t xml:space="preserve">Client and server should implement sensible timeouts and retry strategies. API calls time out after 5 s (read) or 10 s (write). Retries follow exponential backoff with jitter and a maximum of three attempts.</w:t>
            </w:r>
          </w:p>
        </w:tc>
        <w:tc>
          <w:tcPr/>
          <w:p>
            <w:pPr>
              <w:pStyle w:val="Compact"/>
            </w:pPr>
            <w:r>
              <w:t xml:space="preserve">P1</w:t>
            </w:r>
          </w:p>
        </w:tc>
        <w:tc>
          <w:tcPr/>
          <w:p>
            <w:pPr>
              <w:pStyle w:val="Compact"/>
            </w:pPr>
            <w:r>
              <w:t xml:space="preserve">Code review and automated tests verifying timeout settings and retry logic.</w:t>
            </w:r>
          </w:p>
        </w:tc>
        <w:tc>
          <w:tcPr/>
          <w:p>
            <w:pPr>
              <w:pStyle w:val="Compact"/>
            </w:pPr>
            <w:r>
              <w:t xml:space="preserve">Timeouts and retry logic documented and enforced across services; no infinite retries; errors propagated after 3 attempts.</w:t>
            </w:r>
          </w:p>
        </w:tc>
        <w:tc>
          <w:tcPr/>
          <w:p>
            <w:pPr>
              <w:pStyle w:val="Compact"/>
            </w:pPr>
            <w:r>
              <w:t xml:space="preserve">Engineering (Backend)</w:t>
            </w:r>
          </w:p>
        </w:tc>
        <w:tc>
          <w:tcPr/>
          <w:p>
            <w:pPr>
              <w:pStyle w:val="Compact"/>
            </w:pPr>
            <w:r>
              <w:t xml:space="preserve">MVP</w:t>
            </w:r>
          </w:p>
        </w:tc>
      </w:tr>
      <w:tr>
        <w:tc>
          <w:tcPr/>
          <w:p>
            <w:pPr>
              <w:pStyle w:val="Compact"/>
            </w:pPr>
            <w:r>
              <w:rPr>
                <w:b/>
                <w:bCs/>
              </w:rPr>
              <w:t xml:space="preserve">NFR‑05</w:t>
            </w:r>
          </w:p>
        </w:tc>
        <w:tc>
          <w:tcPr/>
          <w:p>
            <w:pPr>
              <w:pStyle w:val="Compact"/>
            </w:pPr>
            <w:r>
              <w:rPr>
                <w:b/>
                <w:bCs/>
              </w:rPr>
              <w:t xml:space="preserve">Availability targets:</w:t>
            </w:r>
            <w:r>
              <w:t xml:space="preserve"> </w:t>
            </w:r>
            <w:r>
              <w:t xml:space="preserve">Availability improves across stages.</w:t>
            </w:r>
            <w:r>
              <w:t xml:space="preserve"> </w:t>
            </w:r>
            <w:r>
              <w:rPr>
                <w:b/>
                <w:bCs/>
              </w:rPr>
              <w:t xml:space="preserve">Prototype:</w:t>
            </w:r>
            <w:r>
              <w:t xml:space="preserve"> </w:t>
            </w:r>
            <w:r>
              <w:t xml:space="preserve">99 % availability (allowing ~87 hours downtime/year)</w:t>
            </w:r>
            <w:hyperlink r:id="rId22">
              <w:r>
                <w:rPr>
                  <w:rStyle w:val="Hyperlink"/>
                </w:rPr>
                <w:t xml:space="preserve">[1]</w:t>
              </w:r>
            </w:hyperlink>
            <w:r>
              <w:t xml:space="preserve">.</w:t>
            </w:r>
            <w:r>
              <w:t xml:space="preserve"> </w:t>
            </w:r>
            <w:r>
              <w:rPr>
                <w:b/>
                <w:bCs/>
              </w:rPr>
              <w:t xml:space="preserve">MVP:</w:t>
            </w:r>
            <w:r>
              <w:t xml:space="preserve"> </w:t>
            </w:r>
            <w:r>
              <w:t xml:space="preserve">99.5 % availability (≈43.8 hours downtime/year).</w:t>
            </w:r>
            <w:r>
              <w:t xml:space="preserve"> </w:t>
            </w:r>
            <w:r>
              <w:rPr>
                <w:b/>
                <w:bCs/>
              </w:rPr>
              <w:t xml:space="preserve">Closed beta:</w:t>
            </w:r>
            <w:r>
              <w:t xml:space="preserve"> </w:t>
            </w:r>
            <w:r>
              <w:t xml:space="preserve">99.9 % availability (≈8.76 hours/year).</w:t>
            </w:r>
            <w:r>
              <w:t xml:space="preserve"> </w:t>
            </w:r>
            <w:r>
              <w:rPr>
                <w:b/>
                <w:bCs/>
              </w:rPr>
              <w:t xml:space="preserve">Production:</w:t>
            </w:r>
            <w:r>
              <w:t xml:space="preserve"> </w:t>
            </w:r>
            <w:r>
              <w:t xml:space="preserve">99.95 % availability (≈4.38 hours/year).</w:t>
            </w:r>
          </w:p>
        </w:tc>
        <w:tc>
          <w:tcPr/>
          <w:p>
            <w:pPr>
              <w:pStyle w:val="Compact"/>
            </w:pPr>
            <w:r>
              <w:t xml:space="preserve">P0–P3 (stage‑dependent)</w:t>
            </w:r>
          </w:p>
        </w:tc>
        <w:tc>
          <w:tcPr/>
          <w:p>
            <w:pPr>
              <w:pStyle w:val="Compact"/>
            </w:pPr>
            <w:r>
              <w:t xml:space="preserve">Uptime monitoring at service and API level; SLO dashboards.</w:t>
            </w:r>
          </w:p>
        </w:tc>
        <w:tc>
          <w:tcPr/>
          <w:p>
            <w:pPr>
              <w:pStyle w:val="Compact"/>
            </w:pPr>
            <w:r>
              <w:t xml:space="preserve">Each stage meets or exceeds the target monthly availability percentage; downtime incidents recorded with root‑cause analysis.</w:t>
            </w:r>
          </w:p>
        </w:tc>
        <w:tc>
          <w:tcPr/>
          <w:p>
            <w:pPr>
              <w:pStyle w:val="Compact"/>
            </w:pPr>
            <w:r>
              <w:t xml:space="preserve">Site Reliability Engineering (SRE)</w:t>
            </w:r>
          </w:p>
        </w:tc>
        <w:tc>
          <w:tcPr/>
          <w:p>
            <w:pPr>
              <w:pStyle w:val="Compact"/>
            </w:pPr>
            <w:r>
              <w:t xml:space="preserve">Prototype, MVP, closed beta, production</w:t>
            </w:r>
          </w:p>
        </w:tc>
      </w:tr>
      <w:tr>
        <w:tc>
          <w:tcPr/>
          <w:p>
            <w:pPr>
              <w:pStyle w:val="Compact"/>
            </w:pPr>
            <w:r>
              <w:rPr>
                <w:b/>
                <w:bCs/>
              </w:rPr>
              <w:t xml:space="preserve">NFR‑06</w:t>
            </w:r>
          </w:p>
        </w:tc>
        <w:tc>
          <w:tcPr/>
          <w:p>
            <w:pPr>
              <w:pStyle w:val="Compact"/>
            </w:pPr>
            <w:r>
              <w:rPr>
                <w:b/>
                <w:bCs/>
              </w:rPr>
              <w:t xml:space="preserve">Error budget policy:</w:t>
            </w:r>
            <w:r>
              <w:t xml:space="preserve"> </w:t>
            </w:r>
            <w:r>
              <w:t xml:space="preserve">For each service, define an SLO and its corresponding error budget. For example, a 99.9 % SLO yields a 0.1 % error budget (1,000 errors per 1 M requests)</w:t>
            </w:r>
            <w:hyperlink r:id="rId23">
              <w:r>
                <w:rPr>
                  <w:rStyle w:val="Hyperlink"/>
                </w:rPr>
                <w:t xml:space="preserve">[2]</w:t>
              </w:r>
            </w:hyperlink>
            <w:r>
              <w:t xml:space="preserve">. If the error budget is exhausted within a four‑week window, new releases are paused until reliability recovers</w:t>
            </w:r>
            <w:hyperlink r:id="rId23">
              <w:r>
                <w:rPr>
                  <w:rStyle w:val="Hyperlink"/>
                </w:rPr>
                <w:t xml:space="preserve">[2]</w:t>
              </w:r>
            </w:hyperlink>
            <w:r>
              <w:t xml:space="preserve">.</w:t>
            </w:r>
          </w:p>
        </w:tc>
        <w:tc>
          <w:tcPr/>
          <w:p>
            <w:pPr>
              <w:pStyle w:val="Compact"/>
            </w:pPr>
            <w:r>
              <w:t xml:space="preserve">P1</w:t>
            </w:r>
          </w:p>
        </w:tc>
        <w:tc>
          <w:tcPr/>
          <w:p>
            <w:pPr>
              <w:pStyle w:val="Compact"/>
            </w:pPr>
            <w:r>
              <w:t xml:space="preserve">Calculate weekly error rates against the SLO; track error budget consumption.</w:t>
            </w:r>
          </w:p>
        </w:tc>
        <w:tc>
          <w:tcPr/>
          <w:p>
            <w:pPr>
              <w:pStyle w:val="Compact"/>
            </w:pPr>
            <w:r>
              <w:t xml:space="preserve">Error budget policies documented and enforced; release pipeline includes checks; teams halt feature releases when budgets are exceeded.</w:t>
            </w:r>
          </w:p>
        </w:tc>
        <w:tc>
          <w:tcPr/>
          <w:p>
            <w:pPr>
              <w:pStyle w:val="Compact"/>
            </w:pPr>
            <w:r>
              <w:t xml:space="preserve">SRE lead</w:t>
            </w:r>
          </w:p>
        </w:tc>
        <w:tc>
          <w:tcPr/>
          <w:p>
            <w:pPr>
              <w:pStyle w:val="Compact"/>
            </w:pPr>
            <w:r>
              <w:t xml:space="preserve">MVP</w:t>
            </w:r>
          </w:p>
        </w:tc>
      </w:tr>
      <w:tr>
        <w:tc>
          <w:tcPr/>
          <w:p>
            <w:pPr>
              <w:pStyle w:val="Compact"/>
            </w:pPr>
            <w:r>
              <w:rPr>
                <w:b/>
                <w:bCs/>
              </w:rPr>
              <w:t xml:space="preserve">NFR‑07</w:t>
            </w:r>
          </w:p>
        </w:tc>
        <w:tc>
          <w:tcPr/>
          <w:p>
            <w:pPr>
              <w:pStyle w:val="Compact"/>
            </w:pPr>
            <w:r>
              <w:rPr>
                <w:b/>
                <w:bCs/>
              </w:rPr>
              <w:t xml:space="preserve">Graceful degradation:</w:t>
            </w:r>
            <w:r>
              <w:t xml:space="preserve"> </w:t>
            </w:r>
            <w:r>
              <w:t xml:space="preserve">The system must continue providing core functionality when partial failures occur. Use patterns such as redundancy, load balancing, microservices decomposition and failover mechanisms</w:t>
            </w:r>
            <w:hyperlink r:id="rId24">
              <w:r>
                <w:rPr>
                  <w:rStyle w:val="Hyperlink"/>
                </w:rPr>
                <w:t xml:space="preserve">[3]</w:t>
              </w:r>
            </w:hyperlink>
            <w:r>
              <w:t xml:space="preserve">. Degraded modes (e.g., read‑only browsing when checkout is unavailable) must be designed.</w:t>
            </w:r>
          </w:p>
        </w:tc>
        <w:tc>
          <w:tcPr/>
          <w:p>
            <w:pPr>
              <w:pStyle w:val="Compact"/>
            </w:pPr>
            <w:r>
              <w:t xml:space="preserve">P2</w:t>
            </w:r>
          </w:p>
        </w:tc>
        <w:tc>
          <w:tcPr/>
          <w:p>
            <w:pPr>
              <w:pStyle w:val="Compact"/>
            </w:pPr>
            <w:r>
              <w:t xml:space="preserve">Chaos testing and fault‑injection exercises; simulate component failures and observe user‑experience.</w:t>
            </w:r>
          </w:p>
        </w:tc>
        <w:tc>
          <w:tcPr/>
          <w:p>
            <w:pPr>
              <w:pStyle w:val="Compact"/>
            </w:pPr>
            <w:r>
              <w:t xml:space="preserve">During fault‑injection tests, the system maintains read‑only or reduced functionality without total outage.</w:t>
            </w:r>
          </w:p>
        </w:tc>
        <w:tc>
          <w:tcPr/>
          <w:p>
            <w:pPr>
              <w:pStyle w:val="Compact"/>
            </w:pPr>
            <w:r>
              <w:t xml:space="preserve">Engineering (Architecture)</w:t>
            </w:r>
          </w:p>
        </w:tc>
        <w:tc>
          <w:tcPr/>
          <w:p>
            <w:pPr>
              <w:pStyle w:val="Compact"/>
            </w:pPr>
            <w:r>
              <w:t xml:space="preserve">Closed beta</w:t>
            </w:r>
          </w:p>
        </w:tc>
      </w:tr>
      <w:tr>
        <w:tc>
          <w:tcPr/>
          <w:p>
            <w:pPr>
              <w:pStyle w:val="Compact"/>
            </w:pPr>
            <w:r>
              <w:rPr>
                <w:b/>
                <w:bCs/>
              </w:rPr>
              <w:t xml:space="preserve">NFR‑08</w:t>
            </w:r>
          </w:p>
        </w:tc>
        <w:tc>
          <w:tcPr/>
          <w:p>
            <w:pPr>
              <w:pStyle w:val="Compact"/>
            </w:pPr>
            <w:r>
              <w:rPr>
                <w:b/>
                <w:bCs/>
              </w:rPr>
              <w:t xml:space="preserve">AI fallback behaviour:</w:t>
            </w:r>
            <w:r>
              <w:t xml:space="preserve"> </w:t>
            </w:r>
            <w:r>
              <w:t xml:space="preserve">When AI services fail or time out, the application falls back to deterministic or cached responses, and displays user‑friendly messages. Fallback logic must not expose sensitive prompts.</w:t>
            </w:r>
          </w:p>
        </w:tc>
        <w:tc>
          <w:tcPr/>
          <w:p>
            <w:pPr>
              <w:pStyle w:val="Compact"/>
            </w:pPr>
            <w:r>
              <w:t xml:space="preserve">P2</w:t>
            </w:r>
          </w:p>
        </w:tc>
        <w:tc>
          <w:tcPr/>
          <w:p>
            <w:pPr>
              <w:pStyle w:val="Compact"/>
            </w:pPr>
            <w:r>
              <w:t xml:space="preserve">Simulate AI failures; measure user‑visible fallback responses.</w:t>
            </w:r>
          </w:p>
        </w:tc>
        <w:tc>
          <w:tcPr/>
          <w:p>
            <w:pPr>
              <w:pStyle w:val="Compact"/>
            </w:pPr>
            <w:r>
              <w:t xml:space="preserve">100 % of AI failures trigger safe fallback; no sensitive content leaked.</w:t>
            </w:r>
          </w:p>
        </w:tc>
        <w:tc>
          <w:tcPr/>
          <w:p>
            <w:pPr>
              <w:pStyle w:val="Compact"/>
            </w:pPr>
            <w:r>
              <w:t xml:space="preserve">Engineering (AI)</w:t>
            </w:r>
          </w:p>
        </w:tc>
        <w:tc>
          <w:tcPr/>
          <w:p>
            <w:pPr>
              <w:pStyle w:val="Compact"/>
            </w:pPr>
            <w:r>
              <w:t xml:space="preserve">Closed beta</w:t>
            </w:r>
          </w:p>
        </w:tc>
      </w:tr>
      <w:tr>
        <w:tc>
          <w:tcPr/>
          <w:p>
            <w:pPr>
              <w:pStyle w:val="Compact"/>
            </w:pPr>
            <w:r>
              <w:rPr>
                <w:b/>
                <w:bCs/>
              </w:rPr>
              <w:t xml:space="preserve">NFR‑09</w:t>
            </w:r>
          </w:p>
        </w:tc>
        <w:tc>
          <w:tcPr/>
          <w:p>
            <w:pPr>
              <w:pStyle w:val="Compact"/>
            </w:pPr>
            <w:r>
              <w:rPr>
                <w:b/>
                <w:bCs/>
              </w:rPr>
              <w:t xml:space="preserve">Scalability—user growth:</w:t>
            </w:r>
            <w:r>
              <w:t xml:space="preserve"> </w:t>
            </w:r>
            <w:r>
              <w:t xml:space="preserve">Capacity planning must account for at least 4× peak historical concurrent users, using Little’s law and concurrency modelling</w:t>
            </w:r>
            <w:hyperlink r:id="rId25">
              <w:r>
                <w:rPr>
                  <w:rStyle w:val="Hyperlink"/>
                </w:rPr>
                <w:t xml:space="preserve">[4]</w:t>
              </w:r>
            </w:hyperlink>
            <w:r>
              <w:t xml:space="preserve">. Example: if peak concurrent users at MVP are 1,500, plan for 1,500 × 2× growth × 1.5 safety margin ≈ 4,500 concurrent users</w:t>
            </w:r>
            <w:hyperlink r:id="rId25">
              <w:r>
                <w:rPr>
                  <w:rStyle w:val="Hyperlink"/>
                </w:rPr>
                <w:t xml:space="preserve">[4]</w:t>
              </w:r>
            </w:hyperlink>
            <w:r>
              <w:t xml:space="preserve">.</w:t>
            </w:r>
          </w:p>
        </w:tc>
        <w:tc>
          <w:tcPr/>
          <w:p>
            <w:pPr>
              <w:pStyle w:val="Compact"/>
            </w:pPr>
            <w:r>
              <w:t xml:space="preserve">P1</w:t>
            </w:r>
          </w:p>
        </w:tc>
        <w:tc>
          <w:tcPr/>
          <w:p>
            <w:pPr>
              <w:pStyle w:val="Compact"/>
            </w:pPr>
            <w:r>
              <w:t xml:space="preserve">Load testing; concurrency modelling updated quarterly.</w:t>
            </w:r>
          </w:p>
        </w:tc>
        <w:tc>
          <w:tcPr/>
          <w:p>
            <w:pPr>
              <w:pStyle w:val="Compact"/>
            </w:pPr>
            <w:r>
              <w:t xml:space="preserve">System comfortably handles 4× peak concurrent users without exceeding 70 % CPU or memory utilisation.</w:t>
            </w:r>
          </w:p>
        </w:tc>
        <w:tc>
          <w:tcPr/>
          <w:p>
            <w:pPr>
              <w:pStyle w:val="Compact"/>
            </w:pPr>
            <w:r>
              <w:t xml:space="preserve">Engineering (Performance)</w:t>
            </w:r>
          </w:p>
        </w:tc>
        <w:tc>
          <w:tcPr/>
          <w:p>
            <w:pPr>
              <w:pStyle w:val="Compact"/>
            </w:pPr>
            <w:r>
              <w:t xml:space="preserve">MVP</w:t>
            </w:r>
          </w:p>
        </w:tc>
      </w:tr>
      <w:tr>
        <w:tc>
          <w:tcPr/>
          <w:p>
            <w:pPr>
              <w:pStyle w:val="Compact"/>
            </w:pPr>
            <w:r>
              <w:rPr>
                <w:b/>
                <w:bCs/>
              </w:rPr>
              <w:t xml:space="preserve">NFR‑10</w:t>
            </w:r>
          </w:p>
        </w:tc>
        <w:tc>
          <w:tcPr/>
          <w:p>
            <w:pPr>
              <w:pStyle w:val="Compact"/>
            </w:pPr>
            <w:r>
              <w:rPr>
                <w:b/>
                <w:bCs/>
              </w:rPr>
              <w:t xml:space="preserve">Scalability—storage:</w:t>
            </w:r>
            <w:r>
              <w:t xml:space="preserve"> </w:t>
            </w:r>
            <w:r>
              <w:t xml:space="preserve">Data storage (relational DB, blob storage, vector store) must scale to support anticipated DAU growth. Plan for 10× storage growth from MVP to production. Monitor disk usage and IOPS; scale vertically or horizontally.</w:t>
            </w:r>
          </w:p>
        </w:tc>
        <w:tc>
          <w:tcPr/>
          <w:p>
            <w:pPr>
              <w:pStyle w:val="Compact"/>
            </w:pPr>
            <w:r>
              <w:t xml:space="preserve">P2</w:t>
            </w:r>
          </w:p>
        </w:tc>
        <w:tc>
          <w:tcPr/>
          <w:p>
            <w:pPr>
              <w:pStyle w:val="Compact"/>
            </w:pPr>
            <w:r>
              <w:t xml:space="preserve">Storage monitoring dashboards; trending analysis; capacity reviews.</w:t>
            </w:r>
          </w:p>
        </w:tc>
        <w:tc>
          <w:tcPr/>
          <w:p>
            <w:pPr>
              <w:pStyle w:val="Compact"/>
            </w:pPr>
            <w:r>
              <w:t xml:space="preserve">Storage usage never exceeds 80 % of provisioned capacity; scaling actions performed before hitting thresholds.</w:t>
            </w:r>
          </w:p>
        </w:tc>
        <w:tc>
          <w:tcPr/>
          <w:p>
            <w:pPr>
              <w:pStyle w:val="Compact"/>
            </w:pPr>
            <w:r>
              <w:t xml:space="preserve">Engineering (Infrastructure)</w:t>
            </w:r>
          </w:p>
        </w:tc>
        <w:tc>
          <w:tcPr/>
          <w:p>
            <w:pPr>
              <w:pStyle w:val="Compact"/>
            </w:pPr>
            <w:r>
              <w:t xml:space="preserve">Closed beta</w:t>
            </w:r>
          </w:p>
        </w:tc>
      </w:tr>
      <w:tr>
        <w:tc>
          <w:tcPr/>
          <w:p>
            <w:pPr>
              <w:pStyle w:val="Compact"/>
            </w:pPr>
            <w:r>
              <w:rPr>
                <w:b/>
                <w:bCs/>
              </w:rPr>
              <w:t xml:space="preserve">NFR‑11</w:t>
            </w:r>
          </w:p>
        </w:tc>
        <w:tc>
          <w:tcPr/>
          <w:p>
            <w:pPr>
              <w:pStyle w:val="Compact"/>
            </w:pPr>
            <w:r>
              <w:rPr>
                <w:b/>
                <w:bCs/>
              </w:rPr>
              <w:t xml:space="preserve">Scalability—vector/search:</w:t>
            </w:r>
            <w:r>
              <w:t xml:space="preserve"> </w:t>
            </w:r>
            <w:r>
              <w:t xml:space="preserve">The vector database must handle growth in embeddings and search queries. Query latency should remain below 200 ms p95 for similarity search. Indexing pipeline should support at least 100k new documents/day with eventual consistency &lt;10 minutes.</w:t>
            </w:r>
          </w:p>
        </w:tc>
        <w:tc>
          <w:tcPr/>
          <w:p>
            <w:pPr>
              <w:pStyle w:val="Compact"/>
            </w:pPr>
            <w:r>
              <w:t xml:space="preserve">P2</w:t>
            </w:r>
          </w:p>
        </w:tc>
        <w:tc>
          <w:tcPr/>
          <w:p>
            <w:pPr>
              <w:pStyle w:val="Compact"/>
            </w:pPr>
            <w:r>
              <w:t xml:space="preserve">Benchmarks on embedding store; monitor ingestion throughput and query latency.</w:t>
            </w:r>
          </w:p>
        </w:tc>
        <w:tc>
          <w:tcPr/>
          <w:p>
            <w:pPr>
              <w:pStyle w:val="Compact"/>
            </w:pPr>
            <w:r>
              <w:t xml:space="preserve">Search latency and ingestion throughput meet targets under 4× load; index builds complete without data loss.</w:t>
            </w:r>
          </w:p>
        </w:tc>
        <w:tc>
          <w:tcPr/>
          <w:p>
            <w:pPr>
              <w:pStyle w:val="Compact"/>
            </w:pPr>
            <w:r>
              <w:t xml:space="preserve">Engineering (Search/ML)</w:t>
            </w:r>
          </w:p>
        </w:tc>
        <w:tc>
          <w:tcPr/>
          <w:p>
            <w:pPr>
              <w:pStyle w:val="Compact"/>
            </w:pPr>
            <w:r>
              <w:t xml:space="preserve">Closed beta</w:t>
            </w:r>
          </w:p>
        </w:tc>
      </w:tr>
      <w:tr>
        <w:tc>
          <w:tcPr/>
          <w:p>
            <w:pPr>
              <w:pStyle w:val="Compact"/>
            </w:pPr>
            <w:r>
              <w:rPr>
                <w:b/>
                <w:bCs/>
              </w:rPr>
              <w:t xml:space="preserve">NFR‑12</w:t>
            </w:r>
          </w:p>
        </w:tc>
        <w:tc>
          <w:tcPr/>
          <w:p>
            <w:pPr>
              <w:pStyle w:val="Compact"/>
            </w:pPr>
            <w:r>
              <w:rPr>
                <w:b/>
                <w:bCs/>
              </w:rPr>
              <w:t xml:space="preserve">Data minimisation:</w:t>
            </w:r>
            <w:r>
              <w:t xml:space="preserve"> </w:t>
            </w:r>
            <w:r>
              <w:t xml:space="preserve">Collect only data necessary to deliver the service and fulfil user requests. Limit access via role‑based controls; regularly review permissions; define retention periods and automated deletion</w:t>
            </w:r>
            <w:hyperlink r:id="rId26">
              <w:r>
                <w:rPr>
                  <w:rStyle w:val="Hyperlink"/>
                </w:rPr>
                <w:t xml:space="preserve">[5]</w:t>
              </w:r>
            </w:hyperlink>
            <w:r>
              <w:t xml:space="preserve">. Conduct periodic data minimisation audits (remove unused fields, delete unused data, anonymise sensitive information)</w:t>
            </w:r>
            <w:hyperlink r:id="rId27">
              <w:r>
                <w:rPr>
                  <w:rStyle w:val="Hyperlink"/>
                </w:rPr>
                <w:t xml:space="preserve">[6]</w:t>
              </w:r>
            </w:hyperlink>
            <w:r>
              <w:t xml:space="preserve">.</w:t>
            </w:r>
          </w:p>
        </w:tc>
        <w:tc>
          <w:tcPr/>
          <w:p>
            <w:pPr>
              <w:pStyle w:val="Compact"/>
            </w:pPr>
            <w:r>
              <w:t xml:space="preserve">P0</w:t>
            </w:r>
          </w:p>
        </w:tc>
        <w:tc>
          <w:tcPr/>
          <w:p>
            <w:pPr>
              <w:pStyle w:val="Compact"/>
            </w:pPr>
            <w:r>
              <w:t xml:space="preserve">Documented data inventory; quarterly audits; access logs.</w:t>
            </w:r>
          </w:p>
        </w:tc>
        <w:tc>
          <w:tcPr/>
          <w:p>
            <w:pPr>
              <w:pStyle w:val="Compact"/>
            </w:pPr>
            <w:r>
              <w:t xml:space="preserve">All data elements mapped to a purpose; unnecessary data removed; access rights reviewed quarterly; audits show no unused sensitive data.</w:t>
            </w:r>
          </w:p>
        </w:tc>
        <w:tc>
          <w:tcPr/>
          <w:p>
            <w:pPr>
              <w:pStyle w:val="Compact"/>
            </w:pPr>
            <w:r>
              <w:t xml:space="preserve">Data Protection Officer (DPO)</w:t>
            </w:r>
          </w:p>
        </w:tc>
        <w:tc>
          <w:tcPr/>
          <w:p>
            <w:pPr>
              <w:pStyle w:val="Compact"/>
            </w:pPr>
            <w:r>
              <w:t xml:space="preserve">Prototype</w:t>
            </w:r>
          </w:p>
        </w:tc>
      </w:tr>
      <w:tr>
        <w:tc>
          <w:tcPr/>
          <w:p>
            <w:pPr>
              <w:pStyle w:val="Compact"/>
            </w:pPr>
            <w:r>
              <w:rPr>
                <w:b/>
                <w:bCs/>
              </w:rPr>
              <w:t xml:space="preserve">NFR‑13</w:t>
            </w:r>
          </w:p>
        </w:tc>
        <w:tc>
          <w:tcPr/>
          <w:p>
            <w:pPr>
              <w:pStyle w:val="Compact"/>
            </w:pPr>
            <w:r>
              <w:rPr>
                <w:b/>
                <w:bCs/>
              </w:rPr>
              <w:t xml:space="preserve">User consent and revocation:</w:t>
            </w:r>
            <w:r>
              <w:t xml:space="preserve"> </w:t>
            </w:r>
            <w:r>
              <w:t xml:space="preserve">Obtain explicit, granular consent for data processing with clear purposes and easy opt‑out. Consent must be as easy to withdraw as to give</w:t>
            </w:r>
            <w:hyperlink r:id="rId28">
              <w:r>
                <w:rPr>
                  <w:rStyle w:val="Hyperlink"/>
                </w:rPr>
                <w:t xml:space="preserve">[7]</w:t>
              </w:r>
            </w:hyperlink>
            <w:r>
              <w:t xml:space="preserve">.</w:t>
            </w:r>
          </w:p>
        </w:tc>
        <w:tc>
          <w:tcPr/>
          <w:p>
            <w:pPr>
              <w:pStyle w:val="Compact"/>
            </w:pPr>
            <w:r>
              <w:t xml:space="preserve">P0</w:t>
            </w:r>
          </w:p>
        </w:tc>
        <w:tc>
          <w:tcPr/>
          <w:p>
            <w:pPr>
              <w:pStyle w:val="Compact"/>
            </w:pPr>
            <w:r>
              <w:t xml:space="preserve">UX review; consent management logs.</w:t>
            </w:r>
          </w:p>
        </w:tc>
        <w:tc>
          <w:tcPr/>
          <w:p>
            <w:pPr>
              <w:pStyle w:val="Compact"/>
            </w:pPr>
            <w:r>
              <w:t xml:space="preserve">Consent forms explain data uses; users can revoke consent through account settings; revocation triggers cessation of processing.</w:t>
            </w:r>
          </w:p>
        </w:tc>
        <w:tc>
          <w:tcPr/>
          <w:p>
            <w:pPr>
              <w:pStyle w:val="Compact"/>
            </w:pPr>
            <w:r>
              <w:t xml:space="preserve">Product Management &amp; Legal</w:t>
            </w:r>
          </w:p>
        </w:tc>
        <w:tc>
          <w:tcPr/>
          <w:p>
            <w:pPr>
              <w:pStyle w:val="Compact"/>
            </w:pPr>
            <w:r>
              <w:t xml:space="preserve">Prototype</w:t>
            </w:r>
          </w:p>
        </w:tc>
      </w:tr>
      <w:tr>
        <w:tc>
          <w:tcPr/>
          <w:p>
            <w:pPr>
              <w:pStyle w:val="Compact"/>
            </w:pPr>
            <w:r>
              <w:rPr>
                <w:b/>
                <w:bCs/>
              </w:rPr>
              <w:t xml:space="preserve">NFR‑14</w:t>
            </w:r>
          </w:p>
        </w:tc>
        <w:tc>
          <w:tcPr/>
          <w:p>
            <w:pPr>
              <w:pStyle w:val="Compact"/>
            </w:pPr>
            <w:r>
              <w:rPr>
                <w:b/>
                <w:bCs/>
              </w:rPr>
              <w:t xml:space="preserve">Data subject rights:</w:t>
            </w:r>
            <w:r>
              <w:t xml:space="preserve"> </w:t>
            </w:r>
            <w:r>
              <w:t xml:space="preserve">Implement processes to handle requests for access, deletion, rectification, portability, objection and restriction. The process includes intake, verification, discovery, fulfilment and closure within regulatory timeframes</w:t>
            </w:r>
            <w:hyperlink r:id="rId29">
              <w:r>
                <w:rPr>
                  <w:rStyle w:val="Hyperlink"/>
                </w:rPr>
                <w:t xml:space="preserve">[8]</w:t>
              </w:r>
            </w:hyperlink>
            <w:r>
              <w:t xml:space="preserve">.</w:t>
            </w:r>
          </w:p>
        </w:tc>
        <w:tc>
          <w:tcPr/>
          <w:p>
            <w:pPr>
              <w:pStyle w:val="Compact"/>
            </w:pPr>
            <w:r>
              <w:t xml:space="preserve">P0</w:t>
            </w:r>
          </w:p>
        </w:tc>
        <w:tc>
          <w:tcPr/>
          <w:p>
            <w:pPr>
              <w:pStyle w:val="Compact"/>
            </w:pPr>
            <w:r>
              <w:t xml:space="preserve">Track number and timeliness of data subject requests; maintain audit trails.</w:t>
            </w:r>
          </w:p>
        </w:tc>
        <w:tc>
          <w:tcPr/>
          <w:p>
            <w:pPr>
              <w:pStyle w:val="Compact"/>
            </w:pPr>
            <w:r>
              <w:t xml:space="preserve">100 % of verified requests are fulfilled within statutory timelines (e.g., 30 days for GDPR).</w:t>
            </w:r>
          </w:p>
        </w:tc>
        <w:tc>
          <w:tcPr/>
          <w:p>
            <w:pPr>
              <w:pStyle w:val="Compact"/>
            </w:pPr>
            <w:r>
              <w:t xml:space="preserve">DPO &amp; Legal</w:t>
            </w:r>
          </w:p>
        </w:tc>
        <w:tc>
          <w:tcPr/>
          <w:p>
            <w:pPr>
              <w:pStyle w:val="Compact"/>
            </w:pPr>
            <w:r>
              <w:t xml:space="preserve">Prototype</w:t>
            </w:r>
          </w:p>
        </w:tc>
      </w:tr>
      <w:tr>
        <w:tc>
          <w:tcPr/>
          <w:p>
            <w:pPr>
              <w:pStyle w:val="Compact"/>
            </w:pPr>
            <w:r>
              <w:rPr>
                <w:b/>
                <w:bCs/>
              </w:rPr>
              <w:t xml:space="preserve">NFR‑15</w:t>
            </w:r>
          </w:p>
        </w:tc>
        <w:tc>
          <w:tcPr/>
          <w:p>
            <w:pPr>
              <w:pStyle w:val="Compact"/>
            </w:pPr>
            <w:r>
              <w:rPr>
                <w:b/>
                <w:bCs/>
              </w:rPr>
              <w:t xml:space="preserve">Data retention and deletion:</w:t>
            </w:r>
            <w:r>
              <w:t xml:space="preserve"> </w:t>
            </w:r>
            <w:r>
              <w:t xml:space="preserve">Define retention periods for each data type and automate deletion or anonymisation when the period expires</w:t>
            </w:r>
            <w:hyperlink r:id="rId26">
              <w:r>
                <w:rPr>
                  <w:rStyle w:val="Hyperlink"/>
                </w:rPr>
                <w:t xml:space="preserve">[5]</w:t>
              </w:r>
            </w:hyperlink>
            <w:r>
              <w:t xml:space="preserve">. Provide user‑initiated deletion; verify removal from backups and vector stores.</w:t>
            </w:r>
          </w:p>
        </w:tc>
        <w:tc>
          <w:tcPr/>
          <w:p>
            <w:pPr>
              <w:pStyle w:val="Compact"/>
            </w:pPr>
            <w:r>
              <w:t xml:space="preserve">P0</w:t>
            </w:r>
          </w:p>
        </w:tc>
        <w:tc>
          <w:tcPr/>
          <w:p>
            <w:pPr>
              <w:pStyle w:val="Compact"/>
            </w:pPr>
            <w:r>
              <w:t xml:space="preserve">Automated retention policies; deletion logs; periodic verification.</w:t>
            </w:r>
          </w:p>
        </w:tc>
        <w:tc>
          <w:tcPr/>
          <w:p>
            <w:pPr>
              <w:pStyle w:val="Compact"/>
            </w:pPr>
            <w:r>
              <w:t xml:space="preserve">Data older than defined retention is deleted or anonymised; deletion logs show complete removal; no retained PII outside policy.</w:t>
            </w:r>
          </w:p>
        </w:tc>
        <w:tc>
          <w:tcPr/>
          <w:p>
            <w:pPr>
              <w:pStyle w:val="Compact"/>
            </w:pPr>
            <w:r>
              <w:t xml:space="preserve">DPO &amp; Engineering</w:t>
            </w:r>
          </w:p>
        </w:tc>
        <w:tc>
          <w:tcPr/>
          <w:p>
            <w:pPr>
              <w:pStyle w:val="Compact"/>
            </w:pPr>
            <w:r>
              <w:t xml:space="preserve">Prototype</w:t>
            </w:r>
          </w:p>
        </w:tc>
      </w:tr>
      <w:tr>
        <w:tc>
          <w:tcPr/>
          <w:p>
            <w:pPr>
              <w:pStyle w:val="Compact"/>
            </w:pPr>
            <w:r>
              <w:rPr>
                <w:b/>
                <w:bCs/>
              </w:rPr>
              <w:t xml:space="preserve">NFR‑16</w:t>
            </w:r>
          </w:p>
        </w:tc>
        <w:tc>
          <w:tcPr/>
          <w:p>
            <w:pPr>
              <w:pStyle w:val="Compact"/>
            </w:pPr>
            <w:r>
              <w:rPr>
                <w:b/>
                <w:bCs/>
              </w:rPr>
              <w:t xml:space="preserve">Data export:</w:t>
            </w:r>
            <w:r>
              <w:t xml:space="preserve"> </w:t>
            </w:r>
            <w:r>
              <w:t xml:space="preserve">Provide users with machine‑readable exports of their data (JSON/CSV) on demand and when closing accounts.</w:t>
            </w:r>
          </w:p>
        </w:tc>
        <w:tc>
          <w:tcPr/>
          <w:p>
            <w:pPr>
              <w:pStyle w:val="Compact"/>
            </w:pPr>
            <w:r>
              <w:t xml:space="preserve">P1</w:t>
            </w:r>
          </w:p>
        </w:tc>
        <w:tc>
          <w:tcPr/>
          <w:p>
            <w:pPr>
              <w:pStyle w:val="Compact"/>
            </w:pPr>
            <w:r>
              <w:t xml:space="preserve">Feature implementation and testing; export logs.</w:t>
            </w:r>
          </w:p>
        </w:tc>
        <w:tc>
          <w:tcPr/>
          <w:p>
            <w:pPr>
              <w:pStyle w:val="Compact"/>
            </w:pPr>
            <w:r>
              <w:t xml:space="preserve">Export includes all personal data; delivered within 5 days of request; export integrity verified.</w:t>
            </w:r>
          </w:p>
        </w:tc>
        <w:tc>
          <w:tcPr/>
          <w:p>
            <w:pPr>
              <w:pStyle w:val="Compact"/>
            </w:pPr>
            <w:r>
              <w:t xml:space="preserve">Engineering (Backend)</w:t>
            </w:r>
          </w:p>
        </w:tc>
        <w:tc>
          <w:tcPr/>
          <w:p>
            <w:pPr>
              <w:pStyle w:val="Compact"/>
            </w:pPr>
            <w:r>
              <w:t xml:space="preserve">MVP</w:t>
            </w:r>
          </w:p>
        </w:tc>
      </w:tr>
      <w:tr>
        <w:tc>
          <w:tcPr/>
          <w:p>
            <w:pPr>
              <w:pStyle w:val="Compact"/>
            </w:pPr>
            <w:r>
              <w:rPr>
                <w:b/>
                <w:bCs/>
              </w:rPr>
              <w:t xml:space="preserve">NFR‑17</w:t>
            </w:r>
          </w:p>
        </w:tc>
        <w:tc>
          <w:tcPr/>
          <w:p>
            <w:pPr>
              <w:pStyle w:val="Compact"/>
            </w:pPr>
            <w:r>
              <w:rPr>
                <w:b/>
                <w:bCs/>
              </w:rPr>
              <w:t xml:space="preserve">Encryption in transit and at rest:</w:t>
            </w:r>
            <w:r>
              <w:t xml:space="preserve"> </w:t>
            </w:r>
            <w:r>
              <w:t xml:space="preserve">All sensitive data (PII, tokens, model inputs/outputs, embeddings) must be encrypted end‑to‑end, using TLS 1.2+ for transit and strong encryption (e.g., AES‑256) at rest</w:t>
            </w:r>
            <w:hyperlink r:id="rId30">
              <w:r>
                <w:rPr>
                  <w:rStyle w:val="Hyperlink"/>
                </w:rPr>
                <w:t xml:space="preserve">[9]</w:t>
              </w:r>
            </w:hyperlink>
            <w:hyperlink r:id="rId31">
              <w:r>
                <w:rPr>
                  <w:rStyle w:val="Hyperlink"/>
                </w:rPr>
                <w:t xml:space="preserve">[10]</w:t>
              </w:r>
            </w:hyperlink>
            <w:r>
              <w:t xml:space="preserve">. Keys are rotated regularly and stored securely.</w:t>
            </w:r>
          </w:p>
        </w:tc>
        <w:tc>
          <w:tcPr/>
          <w:p>
            <w:pPr>
              <w:pStyle w:val="Compact"/>
            </w:pPr>
            <w:r>
              <w:t xml:space="preserve">P0</w:t>
            </w:r>
          </w:p>
        </w:tc>
        <w:tc>
          <w:tcPr/>
          <w:p>
            <w:pPr>
              <w:pStyle w:val="Compact"/>
            </w:pPr>
            <w:r>
              <w:t xml:space="preserve">Security architecture review; automated tests verifying TLS; encryption key audit logs.</w:t>
            </w:r>
          </w:p>
        </w:tc>
        <w:tc>
          <w:tcPr/>
          <w:p>
            <w:pPr>
              <w:pStyle w:val="Compact"/>
            </w:pPr>
            <w:r>
              <w:t xml:space="preserve">100 % of traffic uses HTTPS; storage encryption enabled for all databases and object stores; key rotation documented.</w:t>
            </w:r>
          </w:p>
        </w:tc>
        <w:tc>
          <w:tcPr/>
          <w:p>
            <w:pPr>
              <w:pStyle w:val="Compact"/>
            </w:pPr>
            <w:r>
              <w:t xml:space="preserve">Security &amp; DevOps</w:t>
            </w:r>
          </w:p>
        </w:tc>
        <w:tc>
          <w:tcPr/>
          <w:p>
            <w:pPr>
              <w:pStyle w:val="Compact"/>
            </w:pPr>
            <w:r>
              <w:t xml:space="preserve">Prototype</w:t>
            </w:r>
          </w:p>
        </w:tc>
      </w:tr>
      <w:tr>
        <w:tc>
          <w:tcPr/>
          <w:p>
            <w:pPr>
              <w:pStyle w:val="Compact"/>
            </w:pPr>
            <w:r>
              <w:rPr>
                <w:b/>
                <w:bCs/>
              </w:rPr>
              <w:t xml:space="preserve">NFR‑18</w:t>
            </w:r>
          </w:p>
        </w:tc>
        <w:tc>
          <w:tcPr/>
          <w:p>
            <w:pPr>
              <w:pStyle w:val="Compact"/>
            </w:pPr>
            <w:r>
              <w:rPr>
                <w:b/>
                <w:bCs/>
              </w:rPr>
              <w:t xml:space="preserve">Zero‑trust and least‑privilege access:</w:t>
            </w:r>
            <w:r>
              <w:t xml:space="preserve"> </w:t>
            </w:r>
            <w:r>
              <w:t xml:space="preserve">Follow a zero‑trust architecture with MFA, least‑privilege role‑based access and continuous monitoring</w:t>
            </w:r>
            <w:hyperlink r:id="rId30">
              <w:r>
                <w:rPr>
                  <w:rStyle w:val="Hyperlink"/>
                </w:rPr>
                <w:t xml:space="preserve">[9]</w:t>
              </w:r>
            </w:hyperlink>
            <w:r>
              <w:t xml:space="preserve">. No plaintext storage of sensitive data</w:t>
            </w:r>
            <w:hyperlink r:id="rId31">
              <w:r>
                <w:rPr>
                  <w:rStyle w:val="Hyperlink"/>
                </w:rPr>
                <w:t xml:space="preserve">[10]</w:t>
              </w:r>
            </w:hyperlink>
            <w:r>
              <w:t xml:space="preserve">.</w:t>
            </w:r>
          </w:p>
        </w:tc>
        <w:tc>
          <w:tcPr/>
          <w:p>
            <w:pPr>
              <w:pStyle w:val="Compact"/>
            </w:pPr>
            <w:r>
              <w:t xml:space="preserve">P0</w:t>
            </w:r>
          </w:p>
        </w:tc>
        <w:tc>
          <w:tcPr/>
          <w:p>
            <w:pPr>
              <w:pStyle w:val="Compact"/>
            </w:pPr>
            <w:r>
              <w:t xml:space="preserve">Access control reviews; MFA enforcement metrics.</w:t>
            </w:r>
          </w:p>
        </w:tc>
        <w:tc>
          <w:tcPr/>
          <w:p>
            <w:pPr>
              <w:pStyle w:val="Compact"/>
            </w:pPr>
            <w:r>
              <w:t xml:space="preserve">All privileged accounts enforce MFA; roles grant minimum permissions; periodic access reviews confirm compliance.</w:t>
            </w:r>
          </w:p>
        </w:tc>
        <w:tc>
          <w:tcPr/>
          <w:p>
            <w:pPr>
              <w:pStyle w:val="Compact"/>
            </w:pPr>
            <w:r>
              <w:t xml:space="preserve">Security (IAM)</w:t>
            </w:r>
          </w:p>
        </w:tc>
        <w:tc>
          <w:tcPr/>
          <w:p>
            <w:pPr>
              <w:pStyle w:val="Compact"/>
            </w:pPr>
            <w:r>
              <w:t xml:space="preserve">Prototype</w:t>
            </w:r>
          </w:p>
        </w:tc>
      </w:tr>
      <w:tr>
        <w:tc>
          <w:tcPr/>
          <w:p>
            <w:pPr>
              <w:pStyle w:val="Compact"/>
            </w:pPr>
            <w:r>
              <w:rPr>
                <w:b/>
                <w:bCs/>
              </w:rPr>
              <w:t xml:space="preserve">NFR‑19</w:t>
            </w:r>
          </w:p>
        </w:tc>
        <w:tc>
          <w:tcPr/>
          <w:p>
            <w:pPr>
              <w:pStyle w:val="Compact"/>
            </w:pPr>
            <w:r>
              <w:rPr>
                <w:b/>
                <w:bCs/>
              </w:rPr>
              <w:t xml:space="preserve">Secrets management:</w:t>
            </w:r>
            <w:r>
              <w:t xml:space="preserve"> </w:t>
            </w:r>
            <w:r>
              <w:t xml:space="preserve">Use a centralized secrets management system. Apply fine‑grained access control to secrets and follow the principle of least privilege</w:t>
            </w:r>
            <w:hyperlink r:id="rId32">
              <w:r>
                <w:rPr>
                  <w:rStyle w:val="Hyperlink"/>
                </w:rPr>
                <w:t xml:space="preserve">[11]</w:t>
              </w:r>
            </w:hyperlink>
            <w:r>
              <w:t xml:space="preserve">. Automate rotation of static secrets and prefer dynamic secrets for credentials</w:t>
            </w:r>
            <w:hyperlink r:id="rId33">
              <w:r>
                <w:rPr>
                  <w:rStyle w:val="Hyperlink"/>
                </w:rPr>
                <w:t xml:space="preserve">[12]</w:t>
              </w:r>
            </w:hyperlink>
            <w:r>
              <w:t xml:space="preserve">.</w:t>
            </w:r>
          </w:p>
        </w:tc>
        <w:tc>
          <w:tcPr/>
          <w:p>
            <w:pPr>
              <w:pStyle w:val="Compact"/>
            </w:pPr>
            <w:r>
              <w:t xml:space="preserve">P1</w:t>
            </w:r>
          </w:p>
        </w:tc>
        <w:tc>
          <w:tcPr/>
          <w:p>
            <w:pPr>
              <w:pStyle w:val="Compact"/>
            </w:pPr>
            <w:r>
              <w:t xml:space="preserve">Audit of secrets management configuration; secrets rotation logs.</w:t>
            </w:r>
          </w:p>
        </w:tc>
        <w:tc>
          <w:tcPr/>
          <w:p>
            <w:pPr>
              <w:pStyle w:val="Compact"/>
            </w:pPr>
            <w:r>
              <w:t xml:space="preserve">Secrets are stored centrally; no secrets committed to code; rotation performed automatically; access logs available.</w:t>
            </w:r>
          </w:p>
        </w:tc>
        <w:tc>
          <w:tcPr/>
          <w:p>
            <w:pPr>
              <w:pStyle w:val="Compact"/>
            </w:pPr>
            <w:r>
              <w:t xml:space="preserve">DevOps &amp; Security</w:t>
            </w:r>
          </w:p>
        </w:tc>
        <w:tc>
          <w:tcPr/>
          <w:p>
            <w:pPr>
              <w:pStyle w:val="Compact"/>
            </w:pPr>
            <w:r>
              <w:t xml:space="preserve">MVP</w:t>
            </w:r>
          </w:p>
        </w:tc>
      </w:tr>
      <w:tr>
        <w:tc>
          <w:tcPr/>
          <w:p>
            <w:pPr>
              <w:pStyle w:val="Compact"/>
            </w:pPr>
            <w:r>
              <w:rPr>
                <w:b/>
                <w:bCs/>
              </w:rPr>
              <w:t xml:space="preserve">NFR‑20</w:t>
            </w:r>
          </w:p>
        </w:tc>
        <w:tc>
          <w:tcPr/>
          <w:p>
            <w:pPr>
              <w:pStyle w:val="Compact"/>
            </w:pPr>
            <w:r>
              <w:rPr>
                <w:b/>
                <w:bCs/>
              </w:rPr>
              <w:t xml:space="preserve">Audit logging and immutability:</w:t>
            </w:r>
            <w:r>
              <w:t xml:space="preserve"> </w:t>
            </w:r>
            <w:r>
              <w:t xml:space="preserve">Generate immutable audit logs that record every critical action (authentication events, data access, modifications, deletions, configuration changes). Use write‑once‑read‑many (WORM) storage or object lock to prevent tampering</w:t>
            </w:r>
            <w:hyperlink r:id="rId34">
              <w:r>
                <w:rPr>
                  <w:rStyle w:val="Hyperlink"/>
                </w:rPr>
                <w:t xml:space="preserve">[13]</w:t>
              </w:r>
            </w:hyperlink>
            <w:r>
              <w:t xml:space="preserve">. Apply cryptographic hashing and log chaining</w:t>
            </w:r>
            <w:hyperlink r:id="rId35">
              <w:r>
                <w:rPr>
                  <w:rStyle w:val="Hyperlink"/>
                </w:rPr>
                <w:t xml:space="preserve">[14]</w:t>
              </w:r>
            </w:hyperlink>
            <w:r>
              <w:t xml:space="preserve">.</w:t>
            </w:r>
          </w:p>
        </w:tc>
        <w:tc>
          <w:tcPr/>
          <w:p>
            <w:pPr>
              <w:pStyle w:val="Compact"/>
            </w:pPr>
            <w:r>
              <w:t xml:space="preserve">P1</w:t>
            </w:r>
          </w:p>
        </w:tc>
        <w:tc>
          <w:tcPr/>
          <w:p>
            <w:pPr>
              <w:pStyle w:val="Compact"/>
            </w:pPr>
            <w:r>
              <w:t xml:space="preserve">Verify logging configuration; periodic integrity checks.</w:t>
            </w:r>
          </w:p>
        </w:tc>
        <w:tc>
          <w:tcPr/>
          <w:p>
            <w:pPr>
              <w:pStyle w:val="Compact"/>
            </w:pPr>
            <w:r>
              <w:t xml:space="preserve">All logs are centralised and write‑protected; attempts to delete or alter logs are prevented; logs can be verified using hash chains.</w:t>
            </w:r>
          </w:p>
        </w:tc>
        <w:tc>
          <w:tcPr/>
          <w:p>
            <w:pPr>
              <w:pStyle w:val="Compact"/>
            </w:pPr>
            <w:r>
              <w:t xml:space="preserve">Security &amp; SRE</w:t>
            </w:r>
          </w:p>
        </w:tc>
        <w:tc>
          <w:tcPr/>
          <w:p>
            <w:pPr>
              <w:pStyle w:val="Compact"/>
            </w:pPr>
            <w:r>
              <w:t xml:space="preserve">MVP</w:t>
            </w:r>
          </w:p>
        </w:tc>
      </w:tr>
      <w:tr>
        <w:tc>
          <w:tcPr/>
          <w:p>
            <w:pPr>
              <w:pStyle w:val="Compact"/>
            </w:pPr>
            <w:r>
              <w:rPr>
                <w:b/>
                <w:bCs/>
              </w:rPr>
              <w:t xml:space="preserve">NFR‑21</w:t>
            </w:r>
          </w:p>
        </w:tc>
        <w:tc>
          <w:tcPr/>
          <w:p>
            <w:pPr>
              <w:pStyle w:val="Compact"/>
            </w:pPr>
            <w:r>
              <w:rPr>
                <w:b/>
                <w:bCs/>
              </w:rPr>
              <w:t xml:space="preserve">Comprehensive and centralised logging:</w:t>
            </w:r>
            <w:r>
              <w:t xml:space="preserve"> </w:t>
            </w:r>
            <w:r>
              <w:t xml:space="preserve">Capture user and system events with context (who, what, when, where, why)</w:t>
            </w:r>
            <w:hyperlink r:id="rId36">
              <w:r>
                <w:rPr>
                  <w:rStyle w:val="Hyperlink"/>
                </w:rPr>
                <w:t xml:space="preserve">[15]</w:t>
              </w:r>
            </w:hyperlink>
            <w:r>
              <w:t xml:space="preserve">. Define critical events and ensure logs from all systems are aggregated in a central platform for analysis and alerting</w:t>
            </w:r>
            <w:hyperlink r:id="rId36">
              <w:r>
                <w:rPr>
                  <w:rStyle w:val="Hyperlink"/>
                </w:rPr>
                <w:t xml:space="preserve">[16]</w:t>
              </w:r>
            </w:hyperlink>
            <w:r>
              <w:t xml:space="preserve">. Use asynchronous logging to minimise performance impact</w:t>
            </w:r>
            <w:hyperlink r:id="rId37">
              <w:r>
                <w:rPr>
                  <w:rStyle w:val="Hyperlink"/>
                </w:rPr>
                <w:t xml:space="preserve">[17]</w:t>
              </w:r>
            </w:hyperlink>
            <w:r>
              <w:t xml:space="preserve">.</w:t>
            </w:r>
          </w:p>
        </w:tc>
        <w:tc>
          <w:tcPr/>
          <w:p>
            <w:pPr>
              <w:pStyle w:val="Compact"/>
            </w:pPr>
            <w:r>
              <w:t xml:space="preserve">P1</w:t>
            </w:r>
          </w:p>
        </w:tc>
        <w:tc>
          <w:tcPr/>
          <w:p>
            <w:pPr>
              <w:pStyle w:val="Compact"/>
            </w:pPr>
            <w:r>
              <w:t xml:space="preserve">Audit logs; centralised logging platform metrics.</w:t>
            </w:r>
          </w:p>
        </w:tc>
        <w:tc>
          <w:tcPr/>
          <w:p>
            <w:pPr>
              <w:pStyle w:val="Compact"/>
            </w:pPr>
            <w:r>
              <w:t xml:space="preserve">Critical events defined; 100 % of systems send logs to central platform; logs correlate using session IDs; logging overhead &lt;5 % of request latency.</w:t>
            </w:r>
          </w:p>
        </w:tc>
        <w:tc>
          <w:tcPr/>
          <w:p>
            <w:pPr>
              <w:pStyle w:val="Compact"/>
            </w:pPr>
            <w:r>
              <w:t xml:space="preserve">SRE &amp; Security</w:t>
            </w:r>
          </w:p>
        </w:tc>
        <w:tc>
          <w:tcPr/>
          <w:p>
            <w:pPr>
              <w:pStyle w:val="Compact"/>
            </w:pPr>
            <w:r>
              <w:t xml:space="preserve">MVP</w:t>
            </w:r>
          </w:p>
        </w:tc>
      </w:tr>
      <w:tr>
        <w:tc>
          <w:tcPr/>
          <w:p>
            <w:pPr>
              <w:pStyle w:val="Compact"/>
            </w:pPr>
            <w:r>
              <w:rPr>
                <w:b/>
                <w:bCs/>
              </w:rPr>
              <w:t xml:space="preserve">NFR‑22</w:t>
            </w:r>
          </w:p>
        </w:tc>
        <w:tc>
          <w:tcPr/>
          <w:p>
            <w:pPr>
              <w:pStyle w:val="Compact"/>
            </w:pPr>
            <w:r>
              <w:rPr>
                <w:b/>
                <w:bCs/>
              </w:rPr>
              <w:t xml:space="preserve">Data residency and sovereignty:</w:t>
            </w:r>
            <w:r>
              <w:t xml:space="preserve"> </w:t>
            </w:r>
            <w:r>
              <w:t xml:space="preserve">Document where each data element is stored, processed and backed up. Understand that data residency concerns the physical storage location, while data sovereignty concerns the laws that apply to the data</w:t>
            </w:r>
            <w:hyperlink r:id="rId38">
              <w:r>
                <w:rPr>
                  <w:rStyle w:val="Hyperlink"/>
                </w:rPr>
                <w:t xml:space="preserve">[18]</w:t>
              </w:r>
            </w:hyperlink>
            <w:r>
              <w:t xml:space="preserve">. Map data flows and ensure sensitive data subject to residence requirements stays within appropriate regions</w:t>
            </w:r>
            <w:hyperlink r:id="rId39">
              <w:r>
                <w:rPr>
                  <w:rStyle w:val="Hyperlink"/>
                </w:rPr>
                <w:t xml:space="preserve">[19]</w:t>
              </w:r>
            </w:hyperlink>
            <w:r>
              <w:t xml:space="preserve">.</w:t>
            </w:r>
          </w:p>
        </w:tc>
        <w:tc>
          <w:tcPr/>
          <w:p>
            <w:pPr>
              <w:pStyle w:val="Compact"/>
            </w:pPr>
            <w:r>
              <w:t xml:space="preserve">P0</w:t>
            </w:r>
          </w:p>
        </w:tc>
        <w:tc>
          <w:tcPr/>
          <w:p>
            <w:pPr>
              <w:pStyle w:val="Compact"/>
            </w:pPr>
            <w:r>
              <w:t xml:space="preserve">Data flow diagrams; documentation; compliance audits.</w:t>
            </w:r>
          </w:p>
        </w:tc>
        <w:tc>
          <w:tcPr/>
          <w:p>
            <w:pPr>
              <w:pStyle w:val="Compact"/>
            </w:pPr>
            <w:r>
              <w:t xml:space="preserve">Data inventory includes location, legal jurisdiction, and storage requirements; cross‑border transfers follow contractual and encryption safeguards</w:t>
            </w:r>
            <w:hyperlink r:id="rId40">
              <w:r>
                <w:rPr>
                  <w:rStyle w:val="Hyperlink"/>
                </w:rPr>
                <w:t xml:space="preserve">[20]</w:t>
              </w:r>
            </w:hyperlink>
            <w:r>
              <w:t xml:space="preserve">.</w:t>
            </w:r>
          </w:p>
        </w:tc>
        <w:tc>
          <w:tcPr/>
          <w:p>
            <w:pPr>
              <w:pStyle w:val="Compact"/>
            </w:pPr>
            <w:r>
              <w:t xml:space="preserve">DPO &amp; Infrastructure</w:t>
            </w:r>
          </w:p>
        </w:tc>
        <w:tc>
          <w:tcPr/>
          <w:p>
            <w:pPr>
              <w:pStyle w:val="Compact"/>
            </w:pPr>
            <w:r>
              <w:t xml:space="preserve">Prototype</w:t>
            </w:r>
          </w:p>
        </w:tc>
      </w:tr>
      <w:tr>
        <w:tc>
          <w:tcPr/>
          <w:p>
            <w:pPr>
              <w:pStyle w:val="Compact"/>
            </w:pPr>
            <w:r>
              <w:rPr>
                <w:b/>
                <w:bCs/>
              </w:rPr>
              <w:t xml:space="preserve">NFR‑23</w:t>
            </w:r>
          </w:p>
        </w:tc>
        <w:tc>
          <w:tcPr/>
          <w:p>
            <w:pPr>
              <w:pStyle w:val="Compact"/>
            </w:pPr>
            <w:r>
              <w:rPr>
                <w:b/>
                <w:bCs/>
              </w:rPr>
              <w:t xml:space="preserve">Cross‑border processing and legal agreements:</w:t>
            </w:r>
            <w:r>
              <w:t xml:space="preserve"> </w:t>
            </w:r>
            <w:r>
              <w:t xml:space="preserve">When transferring data across borders, classify the data, encrypt it in transit, establish legal agreements (e.g., Standard Contractual Clauses) and maintain audit trails for compliance</w:t>
            </w:r>
            <w:hyperlink r:id="rId40">
              <w:r>
                <w:rPr>
                  <w:rStyle w:val="Hyperlink"/>
                </w:rPr>
                <w:t xml:space="preserve">[20]</w:t>
              </w:r>
            </w:hyperlink>
            <w:r>
              <w:t xml:space="preserve">.</w:t>
            </w:r>
          </w:p>
        </w:tc>
        <w:tc>
          <w:tcPr/>
          <w:p>
            <w:pPr>
              <w:pStyle w:val="Compact"/>
            </w:pPr>
            <w:r>
              <w:t xml:space="preserve">P1</w:t>
            </w:r>
          </w:p>
        </w:tc>
        <w:tc>
          <w:tcPr/>
          <w:p>
            <w:pPr>
              <w:pStyle w:val="Compact"/>
            </w:pPr>
            <w:r>
              <w:t xml:space="preserve">Review of cross‑border transfer procedures; legal documentation.</w:t>
            </w:r>
          </w:p>
        </w:tc>
        <w:tc>
          <w:tcPr/>
          <w:p>
            <w:pPr>
              <w:pStyle w:val="Compact"/>
            </w:pPr>
            <w:r>
              <w:t xml:space="preserve">Cross‑border transfers documented and approved; encryption and legal clauses in place; audit logs maintained.</w:t>
            </w:r>
          </w:p>
        </w:tc>
        <w:tc>
          <w:tcPr/>
          <w:p>
            <w:pPr>
              <w:pStyle w:val="Compact"/>
            </w:pPr>
            <w:r>
              <w:t xml:space="preserve">Legal &amp; Infrastructure</w:t>
            </w:r>
          </w:p>
        </w:tc>
        <w:tc>
          <w:tcPr/>
          <w:p>
            <w:pPr>
              <w:pStyle w:val="Compact"/>
            </w:pPr>
            <w:r>
              <w:t xml:space="preserve">MVP</w:t>
            </w:r>
          </w:p>
        </w:tc>
      </w:tr>
      <w:tr>
        <w:tc>
          <w:tcPr/>
          <w:p>
            <w:pPr>
              <w:pStyle w:val="Compact"/>
            </w:pPr>
            <w:r>
              <w:rPr>
                <w:b/>
                <w:bCs/>
              </w:rPr>
              <w:t xml:space="preserve">NFR‑24</w:t>
            </w:r>
          </w:p>
        </w:tc>
        <w:tc>
          <w:tcPr/>
          <w:p>
            <w:pPr>
              <w:pStyle w:val="Compact"/>
            </w:pPr>
            <w:r>
              <w:rPr>
                <w:b/>
                <w:bCs/>
              </w:rPr>
              <w:t xml:space="preserve">Accessibility:</w:t>
            </w:r>
            <w:r>
              <w:t xml:space="preserve"> </w:t>
            </w:r>
            <w:r>
              <w:t xml:space="preserve">All user‑facing components (web and mobile) must meet WCAG 2.2 AA guidelines. This includes colour contrast, keyboard navigation, screen reader support, alternative text and error messaging.</w:t>
            </w:r>
          </w:p>
        </w:tc>
        <w:tc>
          <w:tcPr/>
          <w:p>
            <w:pPr>
              <w:pStyle w:val="Compact"/>
            </w:pPr>
            <w:r>
              <w:t xml:space="preserve">P2</w:t>
            </w:r>
          </w:p>
        </w:tc>
        <w:tc>
          <w:tcPr/>
          <w:p>
            <w:pPr>
              <w:pStyle w:val="Compact"/>
            </w:pPr>
            <w:r>
              <w:t xml:space="preserve">Accessibility audits using automated tools and manual tests; user feedback.</w:t>
            </w:r>
          </w:p>
        </w:tc>
        <w:tc>
          <w:tcPr/>
          <w:p>
            <w:pPr>
              <w:pStyle w:val="Compact"/>
            </w:pPr>
            <w:r>
              <w:t xml:space="preserve">No critical WCAG violations; accessibility report demonstrates compliance; issues fixed within release cycle.</w:t>
            </w:r>
          </w:p>
        </w:tc>
        <w:tc>
          <w:tcPr/>
          <w:p>
            <w:pPr>
              <w:pStyle w:val="Compact"/>
            </w:pPr>
            <w:r>
              <w:t xml:space="preserve">UX &amp; Front‑end</w:t>
            </w:r>
          </w:p>
        </w:tc>
        <w:tc>
          <w:tcPr/>
          <w:p>
            <w:pPr>
              <w:pStyle w:val="Compact"/>
            </w:pPr>
            <w:r>
              <w:t xml:space="preserve">Closed beta</w:t>
            </w:r>
          </w:p>
        </w:tc>
      </w:tr>
      <w:tr>
        <w:tc>
          <w:tcPr/>
          <w:p>
            <w:pPr>
              <w:pStyle w:val="Compact"/>
            </w:pPr>
            <w:r>
              <w:rPr>
                <w:b/>
                <w:bCs/>
              </w:rPr>
              <w:t xml:space="preserve">NFR‑25</w:t>
            </w:r>
          </w:p>
        </w:tc>
        <w:tc>
          <w:tcPr/>
          <w:p>
            <w:pPr>
              <w:pStyle w:val="Compact"/>
            </w:pPr>
            <w:r>
              <w:rPr>
                <w:b/>
                <w:bCs/>
              </w:rPr>
              <w:t xml:space="preserve">Observability—metrics, logs and traces:</w:t>
            </w:r>
            <w:r>
              <w:t xml:space="preserve"> </w:t>
            </w:r>
            <w:r>
              <w:t xml:space="preserve">Implement metrics for key performance indicators (request count, latency, error rate) suited for automated alerting</w:t>
            </w:r>
            <w:hyperlink r:id="rId41">
              <w:r>
                <w:rPr>
                  <w:rStyle w:val="Hyperlink"/>
                </w:rPr>
                <w:t xml:space="preserve">[21]</w:t>
              </w:r>
            </w:hyperlink>
            <w:r>
              <w:t xml:space="preserve">. Capture logs of discrete events (errors, warnings) and traces that follow a request across services to identify bottlenecks</w:t>
            </w:r>
            <w:hyperlink r:id="rId41">
              <w:r>
                <w:rPr>
                  <w:rStyle w:val="Hyperlink"/>
                </w:rPr>
                <w:t xml:space="preserve">[21]</w:t>
              </w:r>
            </w:hyperlink>
            <w:r>
              <w:t xml:space="preserve">.</w:t>
            </w:r>
          </w:p>
        </w:tc>
        <w:tc>
          <w:tcPr/>
          <w:p>
            <w:pPr>
              <w:pStyle w:val="Compact"/>
            </w:pPr>
            <w:r>
              <w:t xml:space="preserve">P1</w:t>
            </w:r>
          </w:p>
        </w:tc>
        <w:tc>
          <w:tcPr/>
          <w:p>
            <w:pPr>
              <w:pStyle w:val="Compact"/>
            </w:pPr>
            <w:r>
              <w:t xml:space="preserve">Observability tooling in place; runbooks for incident investigation.</w:t>
            </w:r>
          </w:p>
        </w:tc>
        <w:tc>
          <w:tcPr/>
          <w:p>
            <w:pPr>
              <w:pStyle w:val="Compact"/>
            </w:pPr>
            <w:r>
              <w:t xml:space="preserve">Metric dashboards and alerts configured; logs and traces correlated via trace IDs; 90 % of incidents triaged using observability data.</w:t>
            </w:r>
          </w:p>
        </w:tc>
        <w:tc>
          <w:tcPr/>
          <w:p>
            <w:pPr>
              <w:pStyle w:val="Compact"/>
            </w:pPr>
            <w:r>
              <w:t xml:space="preserve">SRE &amp; Engineering</w:t>
            </w:r>
          </w:p>
        </w:tc>
        <w:tc>
          <w:tcPr/>
          <w:p>
            <w:pPr>
              <w:pStyle w:val="Compact"/>
            </w:pPr>
            <w:r>
              <w:t xml:space="preserve">MVP</w:t>
            </w:r>
          </w:p>
        </w:tc>
      </w:tr>
      <w:tr>
        <w:tc>
          <w:tcPr/>
          <w:p>
            <w:pPr>
              <w:pStyle w:val="Compact"/>
            </w:pPr>
            <w:r>
              <w:rPr>
                <w:b/>
                <w:bCs/>
              </w:rPr>
              <w:t xml:space="preserve">NFR‑26</w:t>
            </w:r>
          </w:p>
        </w:tc>
        <w:tc>
          <w:tcPr/>
          <w:p>
            <w:pPr>
              <w:pStyle w:val="Compact"/>
            </w:pPr>
            <w:r>
              <w:rPr>
                <w:b/>
                <w:bCs/>
              </w:rPr>
              <w:t xml:space="preserve">Safety and AI event logging:</w:t>
            </w:r>
            <w:r>
              <w:t xml:space="preserve"> </w:t>
            </w:r>
            <w:r>
              <w:t xml:space="preserve">Log safety‑related events (policy violations, filtered content, refusal triggers) separately for monitoring and auditing. Include reasons for AI refusals and user‑provided prompts in anonymised form.</w:t>
            </w:r>
          </w:p>
        </w:tc>
        <w:tc>
          <w:tcPr/>
          <w:p>
            <w:pPr>
              <w:pStyle w:val="Compact"/>
            </w:pPr>
            <w:r>
              <w:t xml:space="preserve">P2</w:t>
            </w:r>
          </w:p>
        </w:tc>
        <w:tc>
          <w:tcPr/>
          <w:p>
            <w:pPr>
              <w:pStyle w:val="Compact"/>
            </w:pPr>
            <w:r>
              <w:t xml:space="preserve">Review safety log entries during red‑team exercises.</w:t>
            </w:r>
          </w:p>
        </w:tc>
        <w:tc>
          <w:tcPr/>
          <w:p>
            <w:pPr>
              <w:pStyle w:val="Compact"/>
            </w:pPr>
            <w:r>
              <w:t xml:space="preserve">Safety events are recorded with timestamp, anonymised prompt, refusal or mitigation action; logs accessible to safety team only.</w:t>
            </w:r>
          </w:p>
        </w:tc>
        <w:tc>
          <w:tcPr/>
          <w:p>
            <w:pPr>
              <w:pStyle w:val="Compact"/>
            </w:pPr>
            <w:r>
              <w:t xml:space="preserve">AI Safety &amp; SRE</w:t>
            </w:r>
          </w:p>
        </w:tc>
        <w:tc>
          <w:tcPr/>
          <w:p>
            <w:pPr>
              <w:pStyle w:val="Compact"/>
            </w:pPr>
            <w:r>
              <w:t xml:space="preserve">Closed beta</w:t>
            </w:r>
          </w:p>
        </w:tc>
      </w:tr>
      <w:tr>
        <w:tc>
          <w:tcPr/>
          <w:p>
            <w:pPr>
              <w:pStyle w:val="Compact"/>
            </w:pPr>
            <w:r>
              <w:rPr>
                <w:b/>
                <w:bCs/>
              </w:rPr>
              <w:t xml:space="preserve">NFR‑27</w:t>
            </w:r>
          </w:p>
        </w:tc>
        <w:tc>
          <w:tcPr/>
          <w:p>
            <w:pPr>
              <w:pStyle w:val="Compact"/>
            </w:pPr>
            <w:r>
              <w:rPr>
                <w:b/>
                <w:bCs/>
              </w:rPr>
              <w:t xml:space="preserve">LLM cost management:</w:t>
            </w:r>
            <w:r>
              <w:t xml:space="preserve"> </w:t>
            </w:r>
            <w:r>
              <w:t xml:space="preserve">Establish per‑user and per‑month budgets for LLM calls. Monitor token usage and cost; set alerts if usage exceeds budgets. Consider caching frequent requests to reduce costs.</w:t>
            </w:r>
          </w:p>
        </w:tc>
        <w:tc>
          <w:tcPr/>
          <w:p>
            <w:pPr>
              <w:pStyle w:val="Compact"/>
            </w:pPr>
            <w:r>
              <w:t xml:space="preserve">P2</w:t>
            </w:r>
          </w:p>
        </w:tc>
        <w:tc>
          <w:tcPr/>
          <w:p>
            <w:pPr>
              <w:pStyle w:val="Compact"/>
            </w:pPr>
            <w:r>
              <w:t xml:space="preserve">Cost monitoring dashboards; budgeting rules.</w:t>
            </w:r>
          </w:p>
        </w:tc>
        <w:tc>
          <w:tcPr/>
          <w:p>
            <w:pPr>
              <w:pStyle w:val="Compact"/>
            </w:pPr>
            <w:r>
              <w:t xml:space="preserve">LLM costs stay within monthly budget; cost overruns trigger alert and review.</w:t>
            </w:r>
          </w:p>
        </w:tc>
        <w:tc>
          <w:tcPr/>
          <w:p>
            <w:pPr>
              <w:pStyle w:val="Compact"/>
            </w:pPr>
            <w:r>
              <w:t xml:space="preserve">Finance &amp; AI</w:t>
            </w:r>
          </w:p>
        </w:tc>
        <w:tc>
          <w:tcPr/>
          <w:p>
            <w:pPr>
              <w:pStyle w:val="Compact"/>
            </w:pPr>
            <w:r>
              <w:t xml:space="preserve">Closed beta</w:t>
            </w:r>
          </w:p>
        </w:tc>
      </w:tr>
      <w:tr>
        <w:tc>
          <w:tcPr/>
          <w:p>
            <w:pPr>
              <w:pStyle w:val="Compact"/>
            </w:pPr>
            <w:r>
              <w:rPr>
                <w:b/>
                <w:bCs/>
              </w:rPr>
              <w:t xml:space="preserve">NFR‑28</w:t>
            </w:r>
          </w:p>
        </w:tc>
        <w:tc>
          <w:tcPr/>
          <w:p>
            <w:pPr>
              <w:pStyle w:val="Compact"/>
            </w:pPr>
            <w:r>
              <w:rPr>
                <w:b/>
                <w:bCs/>
              </w:rPr>
              <w:t xml:space="preserve">Storage cost management:</w:t>
            </w:r>
            <w:r>
              <w:t xml:space="preserve"> </w:t>
            </w:r>
            <w:r>
              <w:t xml:space="preserve">Monitor storage utilisation and cost (database, object store, vector DB). Use lifecycle policies to move cold data to cheaper storage tiers; compress embeddings. Budget for at least 10 GB/user per year.</w:t>
            </w:r>
          </w:p>
        </w:tc>
        <w:tc>
          <w:tcPr/>
          <w:p>
            <w:pPr>
              <w:pStyle w:val="Compact"/>
            </w:pPr>
            <w:r>
              <w:t xml:space="preserve">P2</w:t>
            </w:r>
          </w:p>
        </w:tc>
        <w:tc>
          <w:tcPr/>
          <w:p>
            <w:pPr>
              <w:pStyle w:val="Compact"/>
            </w:pPr>
            <w:r>
              <w:t xml:space="preserve">Cost tracking tools; billing reports.</w:t>
            </w:r>
          </w:p>
        </w:tc>
        <w:tc>
          <w:tcPr/>
          <w:p>
            <w:pPr>
              <w:pStyle w:val="Compact"/>
            </w:pPr>
            <w:r>
              <w:t xml:space="preserve">Storage spending stays within budget; lifecycle policies executed; per‑user storage cost below target.</w:t>
            </w:r>
          </w:p>
        </w:tc>
        <w:tc>
          <w:tcPr/>
          <w:p>
            <w:pPr>
              <w:pStyle w:val="Compact"/>
            </w:pPr>
            <w:r>
              <w:t xml:space="preserve">Finance &amp; Infrastructure</w:t>
            </w:r>
          </w:p>
        </w:tc>
        <w:tc>
          <w:tcPr/>
          <w:p>
            <w:pPr>
              <w:pStyle w:val="Compact"/>
            </w:pPr>
            <w:r>
              <w:t xml:space="preserve">Closed beta</w:t>
            </w:r>
          </w:p>
        </w:tc>
      </w:tr>
      <w:tr>
        <w:tc>
          <w:tcPr/>
          <w:p>
            <w:pPr>
              <w:pStyle w:val="Compact"/>
            </w:pPr>
            <w:r>
              <w:rPr>
                <w:b/>
                <w:bCs/>
              </w:rPr>
              <w:t xml:space="preserve">NFR‑29</w:t>
            </w:r>
          </w:p>
        </w:tc>
        <w:tc>
          <w:tcPr/>
          <w:p>
            <w:pPr>
              <w:pStyle w:val="Compact"/>
            </w:pPr>
            <w:r>
              <w:rPr>
                <w:b/>
                <w:bCs/>
              </w:rPr>
              <w:t xml:space="preserve">Infrastructure cost management:</w:t>
            </w:r>
            <w:r>
              <w:t xml:space="preserve"> </w:t>
            </w:r>
            <w:r>
              <w:t xml:space="preserve">Use autoscaling and rightsizing to avoid over‑provisioning. Track compute spend per feature; evaluate multi‑availability‑zone vs single‑zone cost trade‑offs; note that higher availability (“adding nines”) increases infrastructure costs</w:t>
            </w:r>
            <w:hyperlink r:id="rId42">
              <w:r>
                <w:rPr>
                  <w:rStyle w:val="Hyperlink"/>
                </w:rPr>
                <w:t xml:space="preserve">[22]</w:t>
              </w:r>
            </w:hyperlink>
            <w:r>
              <w:t xml:space="preserve">.</w:t>
            </w:r>
          </w:p>
        </w:tc>
        <w:tc>
          <w:tcPr/>
          <w:p>
            <w:pPr>
              <w:pStyle w:val="Compact"/>
            </w:pPr>
            <w:r>
              <w:t xml:space="preserve">P2</w:t>
            </w:r>
          </w:p>
        </w:tc>
        <w:tc>
          <w:tcPr/>
          <w:p>
            <w:pPr>
              <w:pStyle w:val="Compact"/>
            </w:pPr>
            <w:r>
              <w:t xml:space="preserve">Infrastructure cost dashboards; monthly reviews.</w:t>
            </w:r>
          </w:p>
        </w:tc>
        <w:tc>
          <w:tcPr/>
          <w:p>
            <w:pPr>
              <w:pStyle w:val="Compact"/>
            </w:pPr>
            <w:r>
              <w:t xml:space="preserve">Compute costs remain within ±10 % of planned budget; cost anomalies investigated.</w:t>
            </w:r>
          </w:p>
        </w:tc>
        <w:tc>
          <w:tcPr/>
          <w:p>
            <w:pPr>
              <w:pStyle w:val="Compact"/>
            </w:pPr>
            <w:r>
              <w:t xml:space="preserve">Finance &amp; SRE</w:t>
            </w:r>
          </w:p>
        </w:tc>
        <w:tc>
          <w:tcPr/>
          <w:p>
            <w:pPr>
              <w:pStyle w:val="Compact"/>
            </w:pPr>
            <w:r>
              <w:t xml:space="preserve">Closed beta</w:t>
            </w:r>
          </w:p>
        </w:tc>
      </w:tr>
      <w:tr>
        <w:tc>
          <w:tcPr/>
          <w:p>
            <w:pPr>
              <w:pStyle w:val="Compact"/>
            </w:pPr>
            <w:r>
              <w:rPr>
                <w:b/>
                <w:bCs/>
              </w:rPr>
              <w:t xml:space="preserve">NFR‑30</w:t>
            </w:r>
          </w:p>
        </w:tc>
        <w:tc>
          <w:tcPr/>
          <w:p>
            <w:pPr>
              <w:pStyle w:val="Compact"/>
            </w:pPr>
            <w:r>
              <w:rPr>
                <w:b/>
                <w:bCs/>
              </w:rPr>
              <w:t xml:space="preserve">Support response times:</w:t>
            </w:r>
            <w:r>
              <w:t xml:space="preserve"> </w:t>
            </w:r>
            <w:r>
              <w:t xml:space="preserve">Provide customer support in accordance with defined service‑level agreements. For</w:t>
            </w:r>
            <w:r>
              <w:t xml:space="preserve"> </w:t>
            </w:r>
            <w:r>
              <w:rPr>
                <w:b/>
                <w:bCs/>
              </w:rPr>
              <w:t xml:space="preserve">critical issues</w:t>
            </w:r>
            <w:r>
              <w:t xml:space="preserve">, initial response within 30 minutes and resolution or escalation within 2 hours</w:t>
            </w:r>
            <w:hyperlink r:id="rId43">
              <w:r>
                <w:rPr>
                  <w:rStyle w:val="Hyperlink"/>
                </w:rPr>
                <w:t xml:space="preserve">[23]</w:t>
              </w:r>
            </w:hyperlink>
            <w:r>
              <w:t xml:space="preserve">. For</w:t>
            </w:r>
            <w:r>
              <w:t xml:space="preserve"> </w:t>
            </w:r>
            <w:r>
              <w:rPr>
                <w:b/>
                <w:bCs/>
              </w:rPr>
              <w:t xml:space="preserve">standard issues</w:t>
            </w:r>
            <w:r>
              <w:t xml:space="preserve">, response within 24 hours; premium plans receive 1 hour response and prioritised resolution</w:t>
            </w:r>
            <w:hyperlink r:id="rId43">
              <w:r>
                <w:rPr>
                  <w:rStyle w:val="Hyperlink"/>
                </w:rPr>
                <w:t xml:space="preserve">[23]</w:t>
              </w:r>
            </w:hyperlink>
            <w:r>
              <w:t xml:space="preserve">.</w:t>
            </w:r>
          </w:p>
        </w:tc>
        <w:tc>
          <w:tcPr/>
          <w:p>
            <w:pPr>
              <w:pStyle w:val="Compact"/>
            </w:pPr>
            <w:r>
              <w:t xml:space="preserve">P2</w:t>
            </w:r>
          </w:p>
        </w:tc>
        <w:tc>
          <w:tcPr/>
          <w:p>
            <w:pPr>
              <w:pStyle w:val="Compact"/>
            </w:pPr>
            <w:r>
              <w:t xml:space="preserve">Support ticket metrics; SLA compliance reports.</w:t>
            </w:r>
          </w:p>
        </w:tc>
        <w:tc>
          <w:tcPr/>
          <w:p>
            <w:pPr>
              <w:pStyle w:val="Compact"/>
            </w:pPr>
            <w:r>
              <w:t xml:space="preserve">95 % of tickets meet the defined response and resolution times; escalation paths documented.</w:t>
            </w:r>
          </w:p>
        </w:tc>
        <w:tc>
          <w:tcPr/>
          <w:p>
            <w:pPr>
              <w:pStyle w:val="Compact"/>
            </w:pPr>
            <w:r>
              <w:t xml:space="preserve">Customer Support</w:t>
            </w:r>
          </w:p>
        </w:tc>
        <w:tc>
          <w:tcPr/>
          <w:p>
            <w:pPr>
              <w:pStyle w:val="Compact"/>
            </w:pPr>
            <w:r>
              <w:t xml:space="preserve">Closed beta</w:t>
            </w:r>
          </w:p>
        </w:tc>
      </w:tr>
      <w:tr>
        <w:tc>
          <w:tcPr/>
          <w:p>
            <w:pPr>
              <w:pStyle w:val="Compact"/>
            </w:pPr>
            <w:r>
              <w:rPr>
                <w:b/>
                <w:bCs/>
              </w:rPr>
              <w:t xml:space="preserve">NFR‑31</w:t>
            </w:r>
          </w:p>
        </w:tc>
        <w:tc>
          <w:tcPr/>
          <w:p>
            <w:pPr>
              <w:pStyle w:val="Compact"/>
            </w:pPr>
            <w:r>
              <w:rPr>
                <w:b/>
                <w:bCs/>
              </w:rPr>
              <w:t xml:space="preserve">Escalation and crisis management:</w:t>
            </w:r>
            <w:r>
              <w:t xml:space="preserve"> </w:t>
            </w:r>
            <w:r>
              <w:t xml:space="preserve">Document an escalation matrix for technical, safety and legal incidents. Critical incidents (data breach, severe system outage) must trigger immediate escalation to on‑call engineering and legal teams. Define crisis boundaries where communications involve legal counsel.</w:t>
            </w:r>
          </w:p>
        </w:tc>
        <w:tc>
          <w:tcPr/>
          <w:p>
            <w:pPr>
              <w:pStyle w:val="Compact"/>
            </w:pPr>
            <w:r>
              <w:t xml:space="preserve">P2</w:t>
            </w:r>
          </w:p>
        </w:tc>
        <w:tc>
          <w:tcPr/>
          <w:p>
            <w:pPr>
              <w:pStyle w:val="Compact"/>
            </w:pPr>
            <w:r>
              <w:t xml:space="preserve">Incident playbooks; post‑mortems.</w:t>
            </w:r>
          </w:p>
        </w:tc>
        <w:tc>
          <w:tcPr/>
          <w:p>
            <w:pPr>
              <w:pStyle w:val="Compact"/>
            </w:pPr>
            <w:r>
              <w:t xml:space="preserve">Escalation matrix accessible; 100 % of critical incidents follow the playbook; crisis communications approved by counsel.</w:t>
            </w:r>
          </w:p>
        </w:tc>
        <w:tc>
          <w:tcPr/>
          <w:p>
            <w:pPr>
              <w:pStyle w:val="Compact"/>
            </w:pPr>
            <w:r>
              <w:t xml:space="preserve">SRE &amp; Legal</w:t>
            </w:r>
          </w:p>
        </w:tc>
        <w:tc>
          <w:tcPr/>
          <w:p>
            <w:pPr>
              <w:pStyle w:val="Compact"/>
            </w:pPr>
            <w:r>
              <w:t xml:space="preserve">Closed beta</w:t>
            </w:r>
          </w:p>
        </w:tc>
      </w:tr>
      <w:tr>
        <w:tc>
          <w:tcPr/>
          <w:p>
            <w:pPr>
              <w:pStyle w:val="Compact"/>
            </w:pPr>
            <w:r>
              <w:rPr>
                <w:b/>
                <w:bCs/>
              </w:rPr>
              <w:t xml:space="preserve">NFR‑32</w:t>
            </w:r>
          </w:p>
        </w:tc>
        <w:tc>
          <w:tcPr/>
          <w:p>
            <w:pPr>
              <w:pStyle w:val="Compact"/>
            </w:pPr>
            <w:r>
              <w:rPr>
                <w:b/>
                <w:bCs/>
              </w:rPr>
              <w:t xml:space="preserve">Backup schedule:</w:t>
            </w:r>
            <w:r>
              <w:t xml:space="preserve"> </w:t>
            </w:r>
            <w:r>
              <w:t xml:space="preserve">Implement daily incremental backups, weekly full backups and monthly archive snapshots. Consolidate older backups to optimise storage, as recommended by backup best practices</w:t>
            </w:r>
            <w:hyperlink r:id="rId44">
              <w:r>
                <w:rPr>
                  <w:rStyle w:val="Hyperlink"/>
                </w:rPr>
                <w:t xml:space="preserve">[24]</w:t>
              </w:r>
            </w:hyperlink>
            <w:r>
              <w:t xml:space="preserve">.</w:t>
            </w:r>
          </w:p>
        </w:tc>
        <w:tc>
          <w:tcPr/>
          <w:p>
            <w:pPr>
              <w:pStyle w:val="Compact"/>
            </w:pPr>
            <w:r>
              <w:t xml:space="preserve">P1</w:t>
            </w:r>
          </w:p>
        </w:tc>
        <w:tc>
          <w:tcPr/>
          <w:p>
            <w:pPr>
              <w:pStyle w:val="Compact"/>
            </w:pPr>
            <w:r>
              <w:t xml:space="preserve">Backup system logs; retention policies.</w:t>
            </w:r>
          </w:p>
        </w:tc>
        <w:tc>
          <w:tcPr/>
          <w:p>
            <w:pPr>
              <w:pStyle w:val="Compact"/>
            </w:pPr>
            <w:r>
              <w:t xml:space="preserve">Backups run successfully on schedule; consolidated retention implemented; no backup failures left unresolved.</w:t>
            </w:r>
          </w:p>
        </w:tc>
        <w:tc>
          <w:tcPr/>
          <w:p>
            <w:pPr>
              <w:pStyle w:val="Compact"/>
            </w:pPr>
            <w:r>
              <w:t xml:space="preserve">DevOps &amp; Infrastructure</w:t>
            </w:r>
          </w:p>
        </w:tc>
        <w:tc>
          <w:tcPr/>
          <w:p>
            <w:pPr>
              <w:pStyle w:val="Compact"/>
            </w:pPr>
            <w:r>
              <w:t xml:space="preserve">MVP</w:t>
            </w:r>
          </w:p>
        </w:tc>
      </w:tr>
      <w:tr>
        <w:tc>
          <w:tcPr/>
          <w:p>
            <w:pPr>
              <w:pStyle w:val="Compact"/>
            </w:pPr>
            <w:r>
              <w:rPr>
                <w:b/>
                <w:bCs/>
              </w:rPr>
              <w:t xml:space="preserve">NFR‑33</w:t>
            </w:r>
          </w:p>
        </w:tc>
        <w:tc>
          <w:tcPr/>
          <w:p>
            <w:pPr>
              <w:pStyle w:val="Compact"/>
            </w:pPr>
            <w:r>
              <w:rPr>
                <w:b/>
                <w:bCs/>
              </w:rPr>
              <w:t xml:space="preserve">Restore testing:</w:t>
            </w:r>
            <w:r>
              <w:t xml:space="preserve"> </w:t>
            </w:r>
            <w:r>
              <w:t xml:space="preserve">Test restoration of backups at least quarterly to verify recoverability and integrity. Tests must include full environment recovery and selective file restores.</w:t>
            </w:r>
          </w:p>
        </w:tc>
        <w:tc>
          <w:tcPr/>
          <w:p>
            <w:pPr>
              <w:pStyle w:val="Compact"/>
            </w:pPr>
            <w:r>
              <w:t xml:space="preserve">P1</w:t>
            </w:r>
          </w:p>
        </w:tc>
        <w:tc>
          <w:tcPr/>
          <w:p>
            <w:pPr>
              <w:pStyle w:val="Compact"/>
            </w:pPr>
            <w:r>
              <w:t xml:space="preserve">Restoration test reports; automated recovery drills.</w:t>
            </w:r>
          </w:p>
        </w:tc>
        <w:tc>
          <w:tcPr/>
          <w:p>
            <w:pPr>
              <w:pStyle w:val="Compact"/>
            </w:pPr>
            <w:r>
              <w:t xml:space="preserve">Restore tests succeed without data corruption; recovery procedures documented; issues addressed.</w:t>
            </w:r>
          </w:p>
        </w:tc>
        <w:tc>
          <w:tcPr/>
          <w:p>
            <w:pPr>
              <w:pStyle w:val="Compact"/>
            </w:pPr>
            <w:r>
              <w:t xml:space="preserve">DevOps &amp; SRE</w:t>
            </w:r>
          </w:p>
        </w:tc>
        <w:tc>
          <w:tcPr/>
          <w:p>
            <w:pPr>
              <w:pStyle w:val="Compact"/>
            </w:pPr>
            <w:r>
              <w:t xml:space="preserve">MVP</w:t>
            </w:r>
          </w:p>
        </w:tc>
      </w:tr>
      <w:tr>
        <w:tc>
          <w:tcPr/>
          <w:p>
            <w:pPr>
              <w:pStyle w:val="Compact"/>
            </w:pPr>
            <w:r>
              <w:rPr>
                <w:b/>
                <w:bCs/>
              </w:rPr>
              <w:t xml:space="preserve">NFR‑34</w:t>
            </w:r>
          </w:p>
        </w:tc>
        <w:tc>
          <w:tcPr/>
          <w:p>
            <w:pPr>
              <w:pStyle w:val="Compact"/>
            </w:pPr>
            <w:r>
              <w:rPr>
                <w:b/>
                <w:bCs/>
              </w:rPr>
              <w:t xml:space="preserve">Recovery Time Objective (RTO):</w:t>
            </w:r>
            <w:r>
              <w:t xml:space="preserve"> </w:t>
            </w:r>
            <w:r>
              <w:t xml:space="preserve">Define the maximum acceptable downtime after an incident per critical service. RTO measures how quickly systems must be restored</w:t>
            </w:r>
            <w:hyperlink r:id="rId45">
              <w:r>
                <w:rPr>
                  <w:rStyle w:val="Hyperlink"/>
                </w:rPr>
                <w:t xml:space="preserve">[25]</w:t>
              </w:r>
            </w:hyperlink>
            <w:r>
              <w:t xml:space="preserve">. For critical services, set RTO ≤1 hour; for non‑critical, ≤4 hours.</w:t>
            </w:r>
          </w:p>
        </w:tc>
        <w:tc>
          <w:tcPr/>
          <w:p>
            <w:pPr>
              <w:pStyle w:val="Compact"/>
            </w:pPr>
            <w:r>
              <w:t xml:space="preserve">P2</w:t>
            </w:r>
          </w:p>
        </w:tc>
        <w:tc>
          <w:tcPr/>
          <w:p>
            <w:pPr>
              <w:pStyle w:val="Compact"/>
            </w:pPr>
            <w:r>
              <w:t xml:space="preserve">Disaster recovery drills; time‑to‑recover metrics.</w:t>
            </w:r>
          </w:p>
        </w:tc>
        <w:tc>
          <w:tcPr/>
          <w:p>
            <w:pPr>
              <w:pStyle w:val="Compact"/>
            </w:pPr>
            <w:r>
              <w:t xml:space="preserve">In simulated incidents, critical services restored within 1 hour; non‑critical within 4 hours; measurement documented.</w:t>
            </w:r>
          </w:p>
        </w:tc>
        <w:tc>
          <w:tcPr/>
          <w:p>
            <w:pPr>
              <w:pStyle w:val="Compact"/>
            </w:pPr>
            <w:r>
              <w:t xml:space="preserve">SRE &amp; Infrastructure</w:t>
            </w:r>
          </w:p>
        </w:tc>
        <w:tc>
          <w:tcPr/>
          <w:p>
            <w:pPr>
              <w:pStyle w:val="Compact"/>
            </w:pPr>
            <w:r>
              <w:t xml:space="preserve">Closed beta</w:t>
            </w:r>
          </w:p>
        </w:tc>
      </w:tr>
      <w:tr>
        <w:tc>
          <w:tcPr/>
          <w:p>
            <w:pPr>
              <w:pStyle w:val="Compact"/>
            </w:pPr>
            <w:r>
              <w:rPr>
                <w:b/>
                <w:bCs/>
              </w:rPr>
              <w:t xml:space="preserve">NFR‑35</w:t>
            </w:r>
          </w:p>
        </w:tc>
        <w:tc>
          <w:tcPr/>
          <w:p>
            <w:pPr>
              <w:pStyle w:val="Compact"/>
            </w:pPr>
            <w:r>
              <w:rPr>
                <w:b/>
                <w:bCs/>
              </w:rPr>
              <w:t xml:space="preserve">Recovery Point Objective (RPO):</w:t>
            </w:r>
            <w:r>
              <w:t xml:space="preserve"> </w:t>
            </w:r>
            <w:r>
              <w:t xml:space="preserve">Define the maximum acceptable data loss measured backward from disruption</w:t>
            </w:r>
            <w:hyperlink r:id="rId45">
              <w:r>
                <w:rPr>
                  <w:rStyle w:val="Hyperlink"/>
                </w:rPr>
                <w:t xml:space="preserve">[26]</w:t>
              </w:r>
            </w:hyperlink>
            <w:r>
              <w:t xml:space="preserve">. Mission‑critical systems require RPO ≤15 minutes; other systems ≤4 hours. Align backup frequency accordingly.</w:t>
            </w:r>
          </w:p>
        </w:tc>
        <w:tc>
          <w:tcPr/>
          <w:p>
            <w:pPr>
              <w:pStyle w:val="Compact"/>
            </w:pPr>
            <w:r>
              <w:t xml:space="preserve">P2</w:t>
            </w:r>
          </w:p>
        </w:tc>
        <w:tc>
          <w:tcPr/>
          <w:p>
            <w:pPr>
              <w:pStyle w:val="Compact"/>
            </w:pPr>
            <w:r>
              <w:t xml:space="preserve">Backup frequency configuration; restoration tests measuring data loss.</w:t>
            </w:r>
          </w:p>
        </w:tc>
        <w:tc>
          <w:tcPr/>
          <w:p>
            <w:pPr>
              <w:pStyle w:val="Compact"/>
            </w:pPr>
            <w:r>
              <w:t xml:space="preserve">In restore tests, data loss does not exceed defined RPO; backup frequency meets or exceeds requirements.</w:t>
            </w:r>
          </w:p>
        </w:tc>
        <w:tc>
          <w:tcPr/>
          <w:p>
            <w:pPr>
              <w:pStyle w:val="Compact"/>
            </w:pPr>
            <w:r>
              <w:t xml:space="preserve">DevOps &amp; SRE</w:t>
            </w:r>
          </w:p>
        </w:tc>
        <w:tc>
          <w:tcPr/>
          <w:p>
            <w:pPr>
              <w:pStyle w:val="Compact"/>
            </w:pPr>
            <w:r>
              <w:t xml:space="preserve">Closed beta</w:t>
            </w:r>
          </w:p>
        </w:tc>
      </w:tr>
      <w:tr>
        <w:tc>
          <w:tcPr/>
          <w:p>
            <w:pPr>
              <w:pStyle w:val="Compact"/>
            </w:pPr>
            <w:r>
              <w:rPr>
                <w:b/>
                <w:bCs/>
              </w:rPr>
              <w:t xml:space="preserve">NFR‑36</w:t>
            </w:r>
          </w:p>
        </w:tc>
        <w:tc>
          <w:tcPr/>
          <w:p>
            <w:pPr>
              <w:pStyle w:val="Compact"/>
            </w:pPr>
            <w:r>
              <w:rPr>
                <w:b/>
                <w:bCs/>
              </w:rPr>
              <w:t xml:space="preserve">AI safety—structured output validation:</w:t>
            </w:r>
            <w:r>
              <w:t xml:space="preserve"> </w:t>
            </w:r>
            <w:r>
              <w:t xml:space="preserve">Evaluate AI outputs against golden sets of expected answers using metrics such as exact match, token overlap (F1, BLEU/ROUGE) and semantic similarity</w:t>
            </w:r>
            <w:hyperlink r:id="rId46">
              <w:r>
                <w:rPr>
                  <w:rStyle w:val="Hyperlink"/>
                </w:rPr>
                <w:t xml:space="preserve">[27]</w:t>
              </w:r>
            </w:hyperlink>
            <w:r>
              <w:t xml:space="preserve">. Decompose long answers into atomic claims and compute precision</w:t>
            </w:r>
            <w:hyperlink r:id="rId46">
              <w:r>
                <w:rPr>
                  <w:rStyle w:val="Hyperlink"/>
                </w:rPr>
                <w:t xml:space="preserve">[27]</w:t>
              </w:r>
            </w:hyperlink>
            <w:r>
              <w:t xml:space="preserve">. Define target precision ≥0.9 on evaluation datasets.</w:t>
            </w:r>
          </w:p>
        </w:tc>
        <w:tc>
          <w:tcPr/>
          <w:p>
            <w:pPr>
              <w:pStyle w:val="Compact"/>
            </w:pPr>
            <w:r>
              <w:t xml:space="preserve">P2</w:t>
            </w:r>
          </w:p>
        </w:tc>
        <w:tc>
          <w:tcPr/>
          <w:p>
            <w:pPr>
              <w:pStyle w:val="Compact"/>
            </w:pPr>
            <w:r>
              <w:t xml:space="preserve">Continuous evaluation pipeline; golden‑set benchmarks.</w:t>
            </w:r>
          </w:p>
        </w:tc>
        <w:tc>
          <w:tcPr/>
          <w:p>
            <w:pPr>
              <w:pStyle w:val="Compact"/>
            </w:pPr>
            <w:r>
              <w:t xml:space="preserve">AI models achieve ≥0.9 precision against golden sets; metrics tracked per release; regressions block deployment.</w:t>
            </w:r>
          </w:p>
        </w:tc>
        <w:tc>
          <w:tcPr/>
          <w:p>
            <w:pPr>
              <w:pStyle w:val="Compact"/>
            </w:pPr>
            <w:r>
              <w:t xml:space="preserve">AI Safety &amp; ML</w:t>
            </w:r>
          </w:p>
        </w:tc>
        <w:tc>
          <w:tcPr/>
          <w:p>
            <w:pPr>
              <w:pStyle w:val="Compact"/>
            </w:pPr>
            <w:r>
              <w:t xml:space="preserve">Closed beta</w:t>
            </w:r>
          </w:p>
        </w:tc>
      </w:tr>
      <w:tr>
        <w:tc>
          <w:tcPr/>
          <w:p>
            <w:pPr>
              <w:pStyle w:val="Compact"/>
            </w:pPr>
            <w:r>
              <w:rPr>
                <w:b/>
                <w:bCs/>
              </w:rPr>
              <w:t xml:space="preserve">NFR‑37</w:t>
            </w:r>
          </w:p>
        </w:tc>
        <w:tc>
          <w:tcPr/>
          <w:p>
            <w:pPr>
              <w:pStyle w:val="Compact"/>
            </w:pPr>
            <w:r>
              <w:rPr>
                <w:b/>
                <w:bCs/>
              </w:rPr>
              <w:t xml:space="preserve">AI safety—refusal reliability:</w:t>
            </w:r>
            <w:r>
              <w:t xml:space="preserve"> </w:t>
            </w:r>
            <w:r>
              <w:t xml:space="preserve">Measure how often the system correctly refuses unsafe or disallowed requests (acceptable response rate vs refusal rate) and the number of prompts needed before a failure (length of attack)</w:t>
            </w:r>
            <w:hyperlink r:id="rId47">
              <w:r>
                <w:rPr>
                  <w:rStyle w:val="Hyperlink"/>
                </w:rPr>
                <w:t xml:space="preserve">[28]</w:t>
              </w:r>
            </w:hyperlink>
            <w:r>
              <w:t xml:space="preserve">. Define acceptable refusal rate of ≥98 % on adversarial tests and maximum length of attack ≤3 prompts.</w:t>
            </w:r>
          </w:p>
        </w:tc>
        <w:tc>
          <w:tcPr/>
          <w:p>
            <w:pPr>
              <w:pStyle w:val="Compact"/>
            </w:pPr>
            <w:r>
              <w:t xml:space="preserve">P2</w:t>
            </w:r>
          </w:p>
        </w:tc>
        <w:tc>
          <w:tcPr/>
          <w:p>
            <w:pPr>
              <w:pStyle w:val="Compact"/>
            </w:pPr>
            <w:r>
              <w:t xml:space="preserve">Red‑team exercises; adversarial test suites.</w:t>
            </w:r>
          </w:p>
        </w:tc>
        <w:tc>
          <w:tcPr/>
          <w:p>
            <w:pPr>
              <w:pStyle w:val="Compact"/>
            </w:pPr>
            <w:r>
              <w:t xml:space="preserve">Red‑team metrics meet targets; any failure triggers mitigation and model adjustments; metrics reported to leadership.</w:t>
            </w:r>
          </w:p>
        </w:tc>
        <w:tc>
          <w:tcPr/>
          <w:p>
            <w:pPr>
              <w:pStyle w:val="Compact"/>
            </w:pPr>
            <w:r>
              <w:t xml:space="preserve">AI Safety</w:t>
            </w:r>
          </w:p>
        </w:tc>
        <w:tc>
          <w:tcPr/>
          <w:p>
            <w:pPr>
              <w:pStyle w:val="Compact"/>
            </w:pPr>
            <w:r>
              <w:t xml:space="preserve">Closed beta</w:t>
            </w:r>
          </w:p>
        </w:tc>
      </w:tr>
      <w:tr>
        <w:tc>
          <w:tcPr/>
          <w:p>
            <w:pPr>
              <w:pStyle w:val="Compact"/>
            </w:pPr>
            <w:r>
              <w:rPr>
                <w:b/>
                <w:bCs/>
              </w:rPr>
              <w:t xml:space="preserve">NFR‑38</w:t>
            </w:r>
          </w:p>
        </w:tc>
        <w:tc>
          <w:tcPr/>
          <w:p>
            <w:pPr>
              <w:pStyle w:val="Compact"/>
            </w:pPr>
            <w:r>
              <w:rPr>
                <w:b/>
                <w:bCs/>
              </w:rPr>
              <w:t xml:space="preserve">AI red‑team targets:</w:t>
            </w:r>
            <w:r>
              <w:t xml:space="preserve"> </w:t>
            </w:r>
            <w:r>
              <w:t xml:space="preserve">Conduct targeted and open‑ended red‑team testing with diverse testers. Objectives include discovering blind spots and multi‑turn vulnerabilities</w:t>
            </w:r>
            <w:hyperlink r:id="rId47">
              <w:r>
                <w:rPr>
                  <w:rStyle w:val="Hyperlink"/>
                </w:rPr>
                <w:t xml:space="preserve">[28]</w:t>
              </w:r>
            </w:hyperlink>
            <w:r>
              <w:t xml:space="preserve">. Report issues and fix before production.</w:t>
            </w:r>
          </w:p>
        </w:tc>
        <w:tc>
          <w:tcPr/>
          <w:p>
            <w:pPr>
              <w:pStyle w:val="Compact"/>
            </w:pPr>
            <w:r>
              <w:t xml:space="preserve">P2</w:t>
            </w:r>
          </w:p>
        </w:tc>
        <w:tc>
          <w:tcPr/>
          <w:p>
            <w:pPr>
              <w:pStyle w:val="Compact"/>
            </w:pPr>
            <w:r>
              <w:t xml:space="preserve">Red‑team test reports; issue tracking.</w:t>
            </w:r>
          </w:p>
        </w:tc>
        <w:tc>
          <w:tcPr/>
          <w:p>
            <w:pPr>
              <w:pStyle w:val="Compact"/>
            </w:pPr>
            <w:r>
              <w:t xml:space="preserve">Red‑team tests performed quarterly; issues prioritised; unresolved critical issues block production release.</w:t>
            </w:r>
          </w:p>
        </w:tc>
        <w:tc>
          <w:tcPr/>
          <w:p>
            <w:pPr>
              <w:pStyle w:val="Compact"/>
            </w:pPr>
            <w:r>
              <w:t xml:space="preserve">AI Safety &amp; Security</w:t>
            </w:r>
          </w:p>
        </w:tc>
        <w:tc>
          <w:tcPr/>
          <w:p>
            <w:pPr>
              <w:pStyle w:val="Compact"/>
            </w:pPr>
            <w:r>
              <w:t xml:space="preserve">Closed beta</w:t>
            </w:r>
          </w:p>
        </w:tc>
      </w:tr>
      <w:tr>
        <w:tc>
          <w:tcPr/>
          <w:p>
            <w:pPr>
              <w:pStyle w:val="Compact"/>
            </w:pPr>
            <w:r>
              <w:rPr>
                <w:b/>
                <w:bCs/>
              </w:rPr>
              <w:t xml:space="preserve">NFR‑39</w:t>
            </w:r>
          </w:p>
        </w:tc>
        <w:tc>
          <w:tcPr/>
          <w:p>
            <w:pPr>
              <w:pStyle w:val="Compact"/>
            </w:pPr>
            <w:r>
              <w:rPr>
                <w:b/>
                <w:bCs/>
              </w:rPr>
              <w:t xml:space="preserve">Open decisions:</w:t>
            </w:r>
            <w:r>
              <w:t xml:space="preserve"> </w:t>
            </w:r>
            <w:r>
              <w:t xml:space="preserve">Document any unresolved decisions (e.g., choice of cloud provider region, level of multi‑region redundancy, exact LLM provider, premium support tiers). These open decisions should be tracked and resolved before the corresponding stage.</w:t>
            </w:r>
          </w:p>
        </w:tc>
        <w:tc>
          <w:tcPr/>
          <w:p>
            <w:pPr>
              <w:pStyle w:val="Compact"/>
            </w:pPr>
            <w:r>
              <w:t xml:space="preserve">P0–P3</w:t>
            </w:r>
          </w:p>
        </w:tc>
        <w:tc>
          <w:tcPr/>
          <w:p>
            <w:pPr>
              <w:pStyle w:val="Compact"/>
            </w:pPr>
            <w:r>
              <w:t xml:space="preserve">NFR review and decision log.</w:t>
            </w:r>
          </w:p>
        </w:tc>
        <w:tc>
          <w:tcPr/>
          <w:p>
            <w:pPr>
              <w:pStyle w:val="Compact"/>
            </w:pPr>
            <w:r>
              <w:t xml:space="preserve">All open decisions recorded with owners and due dates; decisions resolved before dependent NFRs.</w:t>
            </w:r>
          </w:p>
        </w:tc>
        <w:tc>
          <w:tcPr/>
          <w:p>
            <w:pPr>
              <w:pStyle w:val="Compact"/>
            </w:pPr>
            <w:r>
              <w:t xml:space="preserve">Product &amp; Engineering leadership</w:t>
            </w:r>
          </w:p>
        </w:tc>
        <w:tc>
          <w:tcPr/>
          <w:p>
            <w:pPr>
              <w:pStyle w:val="Compact"/>
            </w:pPr>
            <w:r>
              <w:t xml:space="preserve">Ongoing</w:t>
            </w:r>
          </w:p>
        </w:tc>
      </w:tr>
    </w:tbl>
    <w:bookmarkEnd w:id="48"/>
    <w:bookmarkStart w:id="49" w:name="open-decisions"/>
    <w:p>
      <w:pPr>
        <w:pStyle w:val="Heading2"/>
      </w:pPr>
      <w:r>
        <w:t xml:space="preserve">Open decisions</w:t>
      </w:r>
    </w:p>
    <w:p>
      <w:pPr>
        <w:pStyle w:val="FirstParagraph"/>
      </w:pPr>
      <w:r>
        <w:t xml:space="preserve">At the time of writing, several decisions remain open and must be addressed:</w:t>
      </w:r>
    </w:p>
    <w:p>
      <w:pPr>
        <w:pStyle w:val="Compact"/>
        <w:numPr>
          <w:ilvl w:val="0"/>
          <w:numId w:val="1001"/>
        </w:numPr>
      </w:pPr>
      <w:r>
        <w:rPr>
          <w:b/>
          <w:bCs/>
        </w:rPr>
        <w:t xml:space="preserve">Hosting region &amp; redundancy:</w:t>
      </w:r>
      <w:r>
        <w:t xml:space="preserve"> </w:t>
      </w:r>
      <w:r>
        <w:t xml:space="preserve">Finalise whether to host all data in the Australian region exclusively or enable multi‑region redundancy (e.g., Australia + US or EU). This impacts data residency, latency and cost</w:t>
      </w:r>
      <w:hyperlink r:id="rId39">
        <w:r>
          <w:rPr>
            <w:rStyle w:val="Hyperlink"/>
          </w:rPr>
          <w:t xml:space="preserve">[19]</w:t>
        </w:r>
      </w:hyperlink>
      <w:r>
        <w:t xml:space="preserve">. Decision owner: Infrastructure lead; deadline: before MVP.</w:t>
      </w:r>
    </w:p>
    <w:p>
      <w:pPr>
        <w:pStyle w:val="Compact"/>
        <w:numPr>
          <w:ilvl w:val="0"/>
          <w:numId w:val="1001"/>
        </w:numPr>
      </w:pPr>
      <w:r>
        <w:rPr>
          <w:b/>
          <w:bCs/>
        </w:rPr>
        <w:t xml:space="preserve">LLM provider selection:</w:t>
      </w:r>
      <w:r>
        <w:t xml:space="preserve"> </w:t>
      </w:r>
      <w:r>
        <w:t xml:space="preserve">Decide whether to use a single LLM provider or multi‑provider strategy for redundancy and cost optimisation. Evaluate providers’ data privacy commitments, refusal rates and costs. Decision owner: AI lead; deadline: before MVP.</w:t>
      </w:r>
    </w:p>
    <w:p>
      <w:pPr>
        <w:pStyle w:val="Compact"/>
        <w:numPr>
          <w:ilvl w:val="0"/>
          <w:numId w:val="1001"/>
        </w:numPr>
      </w:pPr>
      <w:r>
        <w:rPr>
          <w:b/>
          <w:bCs/>
        </w:rPr>
        <w:t xml:space="preserve">Support tiering:</w:t>
      </w:r>
      <w:r>
        <w:t xml:space="preserve"> </w:t>
      </w:r>
      <w:r>
        <w:t xml:space="preserve">Define support tiers (free vs premium) and align with NFR‑30 response times. Decision owner: Customer support manager; deadline: before closed beta.</w:t>
      </w:r>
    </w:p>
    <w:p>
      <w:pPr>
        <w:pStyle w:val="Compact"/>
        <w:numPr>
          <w:ilvl w:val="0"/>
          <w:numId w:val="1001"/>
        </w:numPr>
      </w:pPr>
      <w:r>
        <w:rPr>
          <w:b/>
          <w:bCs/>
        </w:rPr>
        <w:t xml:space="preserve">Compliance framework:</w:t>
      </w:r>
      <w:r>
        <w:t xml:space="preserve"> </w:t>
      </w:r>
      <w:r>
        <w:t xml:space="preserve">Determine whether to certify against ISO 27001, SOC 2, GDPR/APP and other standards. This may affect NFRs around audit logging, privacy and security. Decision owner: Compliance officer; deadline: before production.</w:t>
      </w:r>
    </w:p>
    <w:p>
      <w:pPr>
        <w:pStyle w:val="Compact"/>
        <w:numPr>
          <w:ilvl w:val="0"/>
          <w:numId w:val="1001"/>
        </w:numPr>
      </w:pPr>
      <w:r>
        <w:rPr>
          <w:b/>
          <w:bCs/>
        </w:rPr>
        <w:t xml:space="preserve">Vector database choice:</w:t>
      </w:r>
      <w:r>
        <w:t xml:space="preserve"> </w:t>
      </w:r>
      <w:r>
        <w:t xml:space="preserve">Evaluate vector database technologies for scale, performance and privacy. Decision owner: Engineering (Search/ML) lead; deadline: before closed beta.</w:t>
      </w:r>
    </w:p>
    <w:bookmarkEnd w:id="49"/>
    <w:bookmarkEnd w:id="50"/>
    <w:bookmarkEnd w:id="51"/>
    <w:p>
      <w:r>
        <w:pict>
          <v:rect style="width:0;height:1.5pt" o:hralign="center" o:hrstd="t" o:hr="t"/>
        </w:pict>
      </w:r>
    </w:p>
    <w:bookmarkStart w:id="64" w:name="citations"/>
    <w:p>
      <w:pPr>
        <w:pStyle w:val="FirstParagraph"/>
      </w:pPr>
      <w:hyperlink r:id="rId22">
        <w:r>
          <w:rPr>
            <w:rStyle w:val="Hyperlink"/>
          </w:rPr>
          <w:t xml:space="preserve">[1]</w:t>
        </w:r>
      </w:hyperlink>
      <w:r>
        <w:t xml:space="preserve"> </w:t>
      </w:r>
      <w:hyperlink r:id="rId25">
        <w:r>
          <w:rPr>
            <w:rStyle w:val="Hyperlink"/>
          </w:rPr>
          <w:t xml:space="preserve">[4]</w:t>
        </w:r>
      </w:hyperlink>
      <w:r>
        <w:t xml:space="preserve"> </w:t>
      </w:r>
      <w:hyperlink r:id="rId42">
        <w:r>
          <w:rPr>
            <w:rStyle w:val="Hyperlink"/>
          </w:rPr>
          <w:t xml:space="preserve">[22]</w:t>
        </w:r>
      </w:hyperlink>
      <w:r>
        <w:t xml:space="preserve"> </w:t>
      </w:r>
      <w:r>
        <w:t xml:space="preserve">NFRs for Performance Testing: Examples, Template &amp; SLOs</w:t>
      </w:r>
    </w:p>
    <w:p>
      <w:pPr>
        <w:pStyle w:val="BodyText"/>
      </w:pPr>
      <w:hyperlink r:id="rId52">
        <w:r>
          <w:rPr>
            <w:rStyle w:val="Hyperlink"/>
          </w:rPr>
          <w:t xml:space="preserve">https://www.radview.com/blog/non-functional-requirements-nfrs-for-performance-testing/</w:t>
        </w:r>
      </w:hyperlink>
    </w:p>
    <w:p>
      <w:pPr>
        <w:pStyle w:val="BodyText"/>
      </w:pPr>
      <w:hyperlink r:id="rId23">
        <w:r>
          <w:rPr>
            <w:rStyle w:val="Hyperlink"/>
          </w:rPr>
          <w:t xml:space="preserve">[2]</w:t>
        </w:r>
      </w:hyperlink>
      <w:r>
        <w:t xml:space="preserve"> </w:t>
      </w:r>
      <w:r>
        <w:t xml:space="preserve">Google SRE - Error Budget Policy for Service Reliability</w:t>
      </w:r>
    </w:p>
    <w:p>
      <w:pPr>
        <w:pStyle w:val="BodyText"/>
      </w:pPr>
      <w:hyperlink r:id="rId53">
        <w:r>
          <w:rPr>
            <w:rStyle w:val="Hyperlink"/>
          </w:rPr>
          <w:t xml:space="preserve">https://sre.google/workbook/error-budget-policy/</w:t>
        </w:r>
      </w:hyperlink>
    </w:p>
    <w:p>
      <w:pPr>
        <w:pStyle w:val="BodyText"/>
      </w:pPr>
      <w:hyperlink r:id="rId24">
        <w:r>
          <w:rPr>
            <w:rStyle w:val="Hyperlink"/>
          </w:rPr>
          <w:t xml:space="preserve">[3]</w:t>
        </w:r>
      </w:hyperlink>
      <w:r>
        <w:t xml:space="preserve"> </w:t>
      </w:r>
      <w:r>
        <w:t xml:space="preserve">Graceful Degradation in Distributed Systems - GeeksforGeeks</w:t>
      </w:r>
    </w:p>
    <w:p>
      <w:pPr>
        <w:pStyle w:val="BodyText"/>
      </w:pPr>
      <w:hyperlink r:id="rId54">
        <w:r>
          <w:rPr>
            <w:rStyle w:val="Hyperlink"/>
          </w:rPr>
          <w:t xml:space="preserve">https://www.geeksforgeeks.org/system-design/graceful-degradation-in-distributed-systems/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Data Privacy Best Practices: A Comprehensive Guide for 2026 | LowerPlane</w:t>
      </w:r>
    </w:p>
    <w:p>
      <w:pPr>
        <w:pStyle w:val="BodyText"/>
      </w:pPr>
      <w:hyperlink r:id="rId55">
        <w:r>
          <w:rPr>
            <w:rStyle w:val="Hyperlink"/>
          </w:rPr>
          <w:t xml:space="preserve">https://lowerplane.com/blog/data-privacy-best-practices/</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Protecting Sensitive Data in 2026 | The Complete Guide</w:t>
      </w:r>
    </w:p>
    <w:p>
      <w:pPr>
        <w:pStyle w:val="BodyText"/>
      </w:pPr>
      <w:hyperlink r:id="rId56">
        <w:r>
          <w:rPr>
            <w:rStyle w:val="Hyperlink"/>
          </w:rPr>
          <w:t xml:space="preserve">https://www.preveil.com/blog/protect-sensitive-data/</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r>
        <w:t xml:space="preserve">Secrets Management - OWASP Cheat Sheet Series</w:t>
      </w:r>
    </w:p>
    <w:p>
      <w:pPr>
        <w:pStyle w:val="BodyText"/>
      </w:pPr>
      <w:hyperlink r:id="rId57">
        <w:r>
          <w:rPr>
            <w:rStyle w:val="Hyperlink"/>
          </w:rPr>
          <w:t xml:space="preserve">https://cheatsheetseries.owasp.org/cheatsheets/Secrets_Management_Cheat_Sheet.html</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r>
        <w:t xml:space="preserve">10 Essential Audit Trail Best Practices for 2026 – OpsHub Signal</w:t>
      </w:r>
    </w:p>
    <w:p>
      <w:pPr>
        <w:pStyle w:val="BodyText"/>
      </w:pPr>
      <w:hyperlink r:id="rId58">
        <w:r>
          <w:rPr>
            <w:rStyle w:val="Hyperlink"/>
          </w:rPr>
          <w:t xml:space="preserve">https://signal.opshub.me/audit-trail-best-practices/</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r>
        <w:t xml:space="preserve">Data Sovereignty vs Data Residency: What's the Difference and Why It Matters - Qohash</w:t>
      </w:r>
    </w:p>
    <w:p>
      <w:pPr>
        <w:pStyle w:val="BodyText"/>
      </w:pPr>
      <w:hyperlink r:id="rId59">
        <w:r>
          <w:rPr>
            <w:rStyle w:val="Hyperlink"/>
          </w:rPr>
          <w:t xml:space="preserve">https://qohash.com/data-sovereignty-vs-data-residency/</w:t>
        </w:r>
      </w:hyperlink>
    </w:p>
    <w:p>
      <w:pPr>
        <w:pStyle w:val="BodyText"/>
      </w:pPr>
      <w:hyperlink r:id="rId41">
        <w:r>
          <w:rPr>
            <w:rStyle w:val="Hyperlink"/>
          </w:rPr>
          <w:t xml:space="preserve">[21]</w:t>
        </w:r>
      </w:hyperlink>
      <w:r>
        <w:t xml:space="preserve"> </w:t>
      </w:r>
      <w:r>
        <w:t xml:space="preserve">Logs vs Metrics vs Traces - Engineering Fundamentals Playbook</w:t>
      </w:r>
    </w:p>
    <w:p>
      <w:pPr>
        <w:pStyle w:val="BodyText"/>
      </w:pPr>
      <w:hyperlink r:id="rId60">
        <w:r>
          <w:rPr>
            <w:rStyle w:val="Hyperlink"/>
          </w:rPr>
          <w:t xml:space="preserve">https://microsoft.github.io/code-with-engineering-playbook/observability/log-vs-metric-vs-trace/</w:t>
        </w:r>
      </w:hyperlink>
    </w:p>
    <w:p>
      <w:pPr>
        <w:pStyle w:val="BodyText"/>
      </w:pPr>
      <w:hyperlink r:id="rId43">
        <w:r>
          <w:rPr>
            <w:rStyle w:val="Hyperlink"/>
          </w:rPr>
          <w:t xml:space="preserve">[23]</w:t>
        </w:r>
      </w:hyperlink>
      <w:r>
        <w:t xml:space="preserve"> </w:t>
      </w:r>
      <w:r>
        <w:t xml:space="preserve">A comprehensive guide to customer service SLAs | timetoreply</w:t>
      </w:r>
    </w:p>
    <w:p>
      <w:pPr>
        <w:pStyle w:val="BodyText"/>
      </w:pPr>
      <w:hyperlink r:id="rId61">
        <w:r>
          <w:rPr>
            <w:rStyle w:val="Hyperlink"/>
          </w:rPr>
          <w:t xml:space="preserve">https://timetoreply.com/blog/customer-service-sla/</w:t>
        </w:r>
      </w:hyperlink>
    </w:p>
    <w:p>
      <w:pPr>
        <w:pStyle w:val="BodyText"/>
      </w:pPr>
      <w:hyperlink r:id="rId44">
        <w:r>
          <w:rPr>
            <w:rStyle w:val="Hyperlink"/>
          </w:rPr>
          <w:t xml:space="preserve">[24]</w:t>
        </w:r>
      </w:hyperlink>
      <w:r>
        <w:t xml:space="preserve"> </w:t>
      </w:r>
      <w:r>
        <w:t xml:space="preserve">Backup Data Retention Best Practices | CIO Technology Solutions</w:t>
      </w:r>
    </w:p>
    <w:p>
      <w:pPr>
        <w:pStyle w:val="BodyText"/>
      </w:pPr>
      <w:hyperlink r:id="rId62">
        <w:r>
          <w:rPr>
            <w:rStyle w:val="Hyperlink"/>
          </w:rPr>
          <w:t xml:space="preserve">https://www.ciotech.us/data-retention-best-practices/</w:t>
        </w:r>
      </w:hyperlink>
    </w:p>
    <w:p>
      <w:pPr>
        <w:pStyle w:val="BodyText"/>
      </w:pPr>
      <w:hyperlink r:id="rId45">
        <w:r>
          <w:rPr>
            <w:rStyle w:val="Hyperlink"/>
          </w:rPr>
          <w:t xml:space="preserve">[25]</w:t>
        </w:r>
      </w:hyperlink>
      <w:r>
        <w:t xml:space="preserve"> </w:t>
      </w:r>
      <w:hyperlink r:id="rId45">
        <w:r>
          <w:rPr>
            <w:rStyle w:val="Hyperlink"/>
          </w:rPr>
          <w:t xml:space="preserve">[26]</w:t>
        </w:r>
      </w:hyperlink>
      <w:r>
        <w:t xml:space="preserve"> </w:t>
      </w:r>
      <w:r>
        <w:t xml:space="preserve">RTO vs RPO: What They Mean and How To Set Targets</w:t>
      </w:r>
    </w:p>
    <w:p>
      <w:pPr>
        <w:pStyle w:val="BodyText"/>
      </w:pPr>
      <w:hyperlink r:id="rId63">
        <w:r>
          <w:rPr>
            <w:rStyle w:val="Hyperlink"/>
          </w:rPr>
          <w:t xml:space="preserve">https://www.veeam.com/blog/recovery-time-recovery-point-objectives.html</w:t>
        </w:r>
      </w:hyperlink>
    </w:p>
    <w:p>
      <w:pPr>
        <w:pStyle w:val="BodyText"/>
      </w:pPr>
      <w:hyperlink r:id="rId46">
        <w:r>
          <w:rPr>
            <w:rStyle w:val="Hyperlink"/>
          </w:rPr>
          <w:t xml:space="preserve">[27]</w:t>
        </w:r>
      </w:hyperlink>
      <w:r>
        <w:t xml:space="preserve"> </w:t>
      </w:r>
      <w:hyperlink r:id="rId47">
        <w:r>
          <w:rPr>
            <w:rStyle w:val="Hyperlink"/>
          </w:rPr>
          <w:t xml:space="preserve">[28]</w:t>
        </w:r>
      </w:hyperlink>
      <w:r>
        <w:t xml:space="preserve"> </w:t>
      </w:r>
      <w:r>
        <w:t xml:space="preserve">starter-kit-for-testing-llm-based-applications-for-safety-and-reliability.pdf</w:t>
      </w:r>
    </w:p>
    <w:p>
      <w:pPr>
        <w:pStyle w:val="BodyText"/>
      </w:pPr>
      <w:hyperlink r:id="rId47">
        <w:r>
          <w:rPr>
            <w:rStyle w:val="Hyperlink"/>
          </w:rPr>
          <w:t xml:space="preserve">https://www.imda.gov.sg/-/media/imda/files/about/emerging-tech-and-research/artificial-intelligence/starter-kit-for-testing-llm-based-applications-for-safety-and-reliability.pdf</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cheatsheetseries.owasp.org/cheatsheets/Secrets_Management_Cheat_Sheet.html" TargetMode="External" /><Relationship Type="http://schemas.openxmlformats.org/officeDocument/2006/relationships/hyperlink" Id="rId32" Target="https://cheatsheetseries.owasp.org/cheatsheets/Secrets_Management_Cheat_Sheet.html#:~:text=2" TargetMode="External" /><Relationship Type="http://schemas.openxmlformats.org/officeDocument/2006/relationships/hyperlink" Id="rId33" Target="https://cheatsheetseries.owasp.org/cheatsheets/Secrets_Management_Cheat_Sheet.html#:~:text=Manual%20maintenance%20not%20only%20increases,human%20interaction%20in%20multiple%20ways" TargetMode="External" /><Relationship Type="http://schemas.openxmlformats.org/officeDocument/2006/relationships/hyperlink" Id="rId55" Target="https://lowerplane.com/blog/data-privacy-best-practices/" TargetMode="External" /><Relationship Type="http://schemas.openxmlformats.org/officeDocument/2006/relationships/hyperlink" Id="rId27" Target="https://lowerplane.com/blog/data-privacy-best-practices/#:~:text=%E2%96%A1Review%20all%20forms%20and%20data,points%E2%80%94can%20you%20remove%20any%20fields" TargetMode="External" /><Relationship Type="http://schemas.openxmlformats.org/officeDocument/2006/relationships/hyperlink" Id="rId28" Target="https://lowerplane.com/blog/data-privacy-best-practices/#:~:text=Consent%20Management%20Best%20Practices" TargetMode="External" /><Relationship Type="http://schemas.openxmlformats.org/officeDocument/2006/relationships/hyperlink" Id="rId26" Target="https://lowerplane.com/blog/data-privacy-best-practices/#:~:text=Data%20Minimization%3A%20Collect%20Less%2C%20Risk,Less" TargetMode="External" /><Relationship Type="http://schemas.openxmlformats.org/officeDocument/2006/relationships/hyperlink" Id="rId29" Target="https://lowerplane.com/blog/data-privacy-best-practices/#:~:text=Data%20Subject%20Rights%3A%20Operationalizing%20Individual,Rights" TargetMode="External" /><Relationship Type="http://schemas.openxmlformats.org/officeDocument/2006/relationships/hyperlink" Id="rId60" Target="https://microsoft.github.io/code-with-engineering-playbook/observability/log-vs-metric-vs-trace/" TargetMode="External" /><Relationship Type="http://schemas.openxmlformats.org/officeDocument/2006/relationships/hyperlink" Id="rId41" Target="https://microsoft.github.io/code-with-engineering-playbook/observability/log-vs-metric-vs-trace/#:~:text=regarding%20a%20component%20or%20system,all%20components%20in%20the%20system" TargetMode="External" /><Relationship Type="http://schemas.openxmlformats.org/officeDocument/2006/relationships/hyperlink" Id="rId59" Target="https://qohash.com/data-sovereignty-vs-data-residency/" TargetMode="External" /><Relationship Type="http://schemas.openxmlformats.org/officeDocument/2006/relationships/hyperlink" Id="rId40" Target="https://qohash.com/data-sovereignty-vs-data-residency/#:~:text=Cross" TargetMode="External" /><Relationship Type="http://schemas.openxmlformats.org/officeDocument/2006/relationships/hyperlink" Id="rId39" Target="https://qohash.com/data-sovereignty-vs-data-residency/#:~:text=Data%20residency%20focuses%20on%20where,systems%20that%20hold%20your%20information" TargetMode="External" /><Relationship Type="http://schemas.openxmlformats.org/officeDocument/2006/relationships/hyperlink" Id="rId38" Target="https://qohash.com/data-sovereignty-vs-data-residency/#:~:text=Unlike%20data%20residency%20,company%20operates%20from%20another%20country" TargetMode="External" /><Relationship Type="http://schemas.openxmlformats.org/officeDocument/2006/relationships/hyperlink" Id="rId58" Target="https://signal.opshub.me/audit-trail-best-practices/" TargetMode="External" /><Relationship Type="http://schemas.openxmlformats.org/officeDocument/2006/relationships/hyperlink" Id="rId35" Target="https://signal.opshub.me/audit-trail-best-practices/#:~:text=,makes%20retroactive%20modification%20computationally%20infeasible" TargetMode="External" /><Relationship Type="http://schemas.openxmlformats.org/officeDocument/2006/relationships/hyperlink" Id="rId34" Target="https://signal.opshub.me/audit-trail-best-practices/#:~:text=1.%20Immutable%20Logging%20and%20Write,Storage" TargetMode="External" /><Relationship Type="http://schemas.openxmlformats.org/officeDocument/2006/relationships/hyperlink" Id="rId36" Target="https://signal.opshub.me/audit-trail-best-practices/#:~:text=2,Activity%20Logging" TargetMode="External" /><Relationship Type="http://schemas.openxmlformats.org/officeDocument/2006/relationships/hyperlink" Id="rId37" Target="https://signal.opshub.me/audit-trail-best-practices/#:~:text=Actionable%20Tips" TargetMode="External" /><Relationship Type="http://schemas.openxmlformats.org/officeDocument/2006/relationships/hyperlink" Id="rId53" Target="https://sre.google/workbook/error-budget-policy/" TargetMode="External" /><Relationship Type="http://schemas.openxmlformats.org/officeDocument/2006/relationships/hyperlink" Id="rId23" Target="https://sre.google/workbook/error-budget-policy/#:~:text=If%20the%20service%20has%20exceeded,is%20back%20within%20its%20SLO" TargetMode="External" /><Relationship Type="http://schemas.openxmlformats.org/officeDocument/2006/relationships/hyperlink" Id="rId61" Target="https://timetoreply.com/blog/customer-service-sla/" TargetMode="External" /><Relationship Type="http://schemas.openxmlformats.org/officeDocument/2006/relationships/hyperlink" Id="rId43" Target="https://timetoreply.com/blog/customer-service-sla/#:~:text=For%20instance%2C%20you%20can%20offer,procedures%20to%20senior%20support%20agents" TargetMode="External" /><Relationship Type="http://schemas.openxmlformats.org/officeDocument/2006/relationships/hyperlink" Id="rId62" Target="https://www.ciotech.us/data-retention-best-practices/" TargetMode="External" /><Relationship Type="http://schemas.openxmlformats.org/officeDocument/2006/relationships/hyperlink" Id="rId44" Target="https://www.ciotech.us/data-retention-best-practices/#:~:text=While%20a%20messy%20backup%20system,just%20what%20a%20tool%20recommends" TargetMode="External" /><Relationship Type="http://schemas.openxmlformats.org/officeDocument/2006/relationships/hyperlink" Id="rId54" Target="https://www.geeksforgeeks.org/system-design/graceful-degradation-in-distributed-systems/" TargetMode="External" /><Relationship Type="http://schemas.openxmlformats.org/officeDocument/2006/relationships/hyperlink" Id="rId24" Target="https://www.geeksforgeeks.org/system-design/graceful-degradation-in-distributed-systems/#:~:text=Architectural%20Patterns%20for%20Graceful%20Degradation" TargetMode="External" /><Relationship Type="http://schemas.openxmlformats.org/officeDocument/2006/relationships/hyperlink" Id="rId47" Target="https://www.imda.gov.sg/-/media/imda/files/about/emerging-tech-and-research/artificial-intelligence/starter-kit-for-testing-llm-based-applications-for-safety-and-reliability.pdf" TargetMode="External" /><Relationship Type="http://schemas.openxmlformats.org/officeDocument/2006/relationships/hyperlink" Id="rId46" Target="https://www.imda.gov.sg/-/media/imda/files/about/emerging-tech-and-research/artificial-intelligence/starter-kit-for-testing-llm-based-applications-for-safety-and-reliability.pdf#:~:text=Metrics%20and%20Evaluators%3A%20How%20to,would%20be%20%E2%80%9CLee%20Kuan%20Yew%E2%80%9D" TargetMode="External" /><Relationship Type="http://schemas.openxmlformats.org/officeDocument/2006/relationships/hyperlink" Id="rId56" Target="https://www.preveil.com/blog/protect-sensitive-data/" TargetMode="External" /><Relationship Type="http://schemas.openxmlformats.org/officeDocument/2006/relationships/hyperlink" Id="rId31" Target="https://www.preveil.com/blog/protect-sensitive-data/#:~:text=%2A%20Use%20end,like%20CMMC%2C%20HIPAA%2C%20and%20GDPR" TargetMode="External" /><Relationship Type="http://schemas.openxmlformats.org/officeDocument/2006/relationships/hyperlink" Id="rId30" Target="https://www.preveil.com/blog/protect-sensitive-data/#:~:text=To%20reduce%20risk%20and%20ensure,organizations%20should%20implement%20the%20following" TargetMode="External" /><Relationship Type="http://schemas.openxmlformats.org/officeDocument/2006/relationships/hyperlink" Id="rId52" Target="https://www.radview.com/blog/non-functional-requirements-nfrs-for-performance-testing/" TargetMode="External" /><Relationship Type="http://schemas.openxmlformats.org/officeDocument/2006/relationships/hyperlink" Id="rId42" Target="https://www.radview.com/blog/non-functional-requirements-nfrs-for-performance-testing/#:~:text=Availability%20Math%20and%20Scalability%20Targets%3A,Turning%20%E2%80%98Nines%E2%80%99%20into%20Infrastructure%20Decisions" TargetMode="External" /><Relationship Type="http://schemas.openxmlformats.org/officeDocument/2006/relationships/hyperlink" Id="rId22" Target="https://www.radview.com/blog/non-functional-requirements-nfrs-for-performance-testing/#:~:text=Response%20Time%20Benchmarks%20by%20Application,What%20%E2%80%98Good%E2%80%99%20Actually%20Looks%20Like" TargetMode="External" /><Relationship Type="http://schemas.openxmlformats.org/officeDocument/2006/relationships/hyperlink" Id="rId25" Target="https://www.radview.com/blog/non-functional-requirements-nfrs-for-performance-testing/#:~:text=Scalability%20NFRs%20operate%20on%20two,complete%20guide%20to%20scalability%20testing" TargetMode="External" /><Relationship Type="http://schemas.openxmlformats.org/officeDocument/2006/relationships/hyperlink" Id="rId63" Target="https://www.veeam.com/blog/recovery-time-recovery-point-objectives.html" TargetMode="External" /><Relationship Type="http://schemas.openxmlformats.org/officeDocument/2006/relationships/hyperlink" Id="rId45" Target="https://www.veeam.com/blog/recovery-time-recovery-point-objectives.html#:~:text=,after%20an%20outage%20or%20disruption" TargetMode="External" /></Relationships>
</file>

<file path=word/_rels/footnotes.xml.rels><?xml version="1.0" encoding="UTF-8"?><Relationships xmlns="http://schemas.openxmlformats.org/package/2006/relationships"><Relationship Type="http://schemas.openxmlformats.org/officeDocument/2006/relationships/hyperlink" Id="rId57" Target="https://cheatsheetseries.owasp.org/cheatsheets/Secrets_Management_Cheat_Sheet.html" TargetMode="External" /><Relationship Type="http://schemas.openxmlformats.org/officeDocument/2006/relationships/hyperlink" Id="rId32" Target="https://cheatsheetseries.owasp.org/cheatsheets/Secrets_Management_Cheat_Sheet.html#:~:text=2" TargetMode="External" /><Relationship Type="http://schemas.openxmlformats.org/officeDocument/2006/relationships/hyperlink" Id="rId33" Target="https://cheatsheetseries.owasp.org/cheatsheets/Secrets_Management_Cheat_Sheet.html#:~:text=Manual%20maintenance%20not%20only%20increases,human%20interaction%20in%20multiple%20ways" TargetMode="External" /><Relationship Type="http://schemas.openxmlformats.org/officeDocument/2006/relationships/hyperlink" Id="rId55" Target="https://lowerplane.com/blog/data-privacy-best-practices/" TargetMode="External" /><Relationship Type="http://schemas.openxmlformats.org/officeDocument/2006/relationships/hyperlink" Id="rId27" Target="https://lowerplane.com/blog/data-privacy-best-practices/#:~:text=%E2%96%A1Review%20all%20forms%20and%20data,points%E2%80%94can%20you%20remove%20any%20fields" TargetMode="External" /><Relationship Type="http://schemas.openxmlformats.org/officeDocument/2006/relationships/hyperlink" Id="rId28" Target="https://lowerplane.com/blog/data-privacy-best-practices/#:~:text=Consent%20Management%20Best%20Practices" TargetMode="External" /><Relationship Type="http://schemas.openxmlformats.org/officeDocument/2006/relationships/hyperlink" Id="rId26" Target="https://lowerplane.com/blog/data-privacy-best-practices/#:~:text=Data%20Minimization%3A%20Collect%20Less%2C%20Risk,Less" TargetMode="External" /><Relationship Type="http://schemas.openxmlformats.org/officeDocument/2006/relationships/hyperlink" Id="rId29" Target="https://lowerplane.com/blog/data-privacy-best-practices/#:~:text=Data%20Subject%20Rights%3A%20Operationalizing%20Individual,Rights" TargetMode="External" /><Relationship Type="http://schemas.openxmlformats.org/officeDocument/2006/relationships/hyperlink" Id="rId60" Target="https://microsoft.github.io/code-with-engineering-playbook/observability/log-vs-metric-vs-trace/" TargetMode="External" /><Relationship Type="http://schemas.openxmlformats.org/officeDocument/2006/relationships/hyperlink" Id="rId41" Target="https://microsoft.github.io/code-with-engineering-playbook/observability/log-vs-metric-vs-trace/#:~:text=regarding%20a%20component%20or%20system,all%20components%20in%20the%20system" TargetMode="External" /><Relationship Type="http://schemas.openxmlformats.org/officeDocument/2006/relationships/hyperlink" Id="rId59" Target="https://qohash.com/data-sovereignty-vs-data-residency/" TargetMode="External" /><Relationship Type="http://schemas.openxmlformats.org/officeDocument/2006/relationships/hyperlink" Id="rId40" Target="https://qohash.com/data-sovereignty-vs-data-residency/#:~:text=Cross" TargetMode="External" /><Relationship Type="http://schemas.openxmlformats.org/officeDocument/2006/relationships/hyperlink" Id="rId39" Target="https://qohash.com/data-sovereignty-vs-data-residency/#:~:text=Data%20residency%20focuses%20on%20where,systems%20that%20hold%20your%20information" TargetMode="External" /><Relationship Type="http://schemas.openxmlformats.org/officeDocument/2006/relationships/hyperlink" Id="rId38" Target="https://qohash.com/data-sovereignty-vs-data-residency/#:~:text=Unlike%20data%20residency%20,company%20operates%20from%20another%20country" TargetMode="External" /><Relationship Type="http://schemas.openxmlformats.org/officeDocument/2006/relationships/hyperlink" Id="rId58" Target="https://signal.opshub.me/audit-trail-best-practices/" TargetMode="External" /><Relationship Type="http://schemas.openxmlformats.org/officeDocument/2006/relationships/hyperlink" Id="rId35" Target="https://signal.opshub.me/audit-trail-best-practices/#:~:text=,makes%20retroactive%20modification%20computationally%20infeasible" TargetMode="External" /><Relationship Type="http://schemas.openxmlformats.org/officeDocument/2006/relationships/hyperlink" Id="rId34" Target="https://signal.opshub.me/audit-trail-best-practices/#:~:text=1.%20Immutable%20Logging%20and%20Write,Storage" TargetMode="External" /><Relationship Type="http://schemas.openxmlformats.org/officeDocument/2006/relationships/hyperlink" Id="rId36" Target="https://signal.opshub.me/audit-trail-best-practices/#:~:text=2,Activity%20Logging" TargetMode="External" /><Relationship Type="http://schemas.openxmlformats.org/officeDocument/2006/relationships/hyperlink" Id="rId37" Target="https://signal.opshub.me/audit-trail-best-practices/#:~:text=Actionable%20Tips" TargetMode="External" /><Relationship Type="http://schemas.openxmlformats.org/officeDocument/2006/relationships/hyperlink" Id="rId53" Target="https://sre.google/workbook/error-budget-policy/" TargetMode="External" /><Relationship Type="http://schemas.openxmlformats.org/officeDocument/2006/relationships/hyperlink" Id="rId23" Target="https://sre.google/workbook/error-budget-policy/#:~:text=If%20the%20service%20has%20exceeded,is%20back%20within%20its%20SLO" TargetMode="External" /><Relationship Type="http://schemas.openxmlformats.org/officeDocument/2006/relationships/hyperlink" Id="rId61" Target="https://timetoreply.com/blog/customer-service-sla/" TargetMode="External" /><Relationship Type="http://schemas.openxmlformats.org/officeDocument/2006/relationships/hyperlink" Id="rId43" Target="https://timetoreply.com/blog/customer-service-sla/#:~:text=For%20instance%2C%20you%20can%20offer,procedures%20to%20senior%20support%20agents" TargetMode="External" /><Relationship Type="http://schemas.openxmlformats.org/officeDocument/2006/relationships/hyperlink" Id="rId62" Target="https://www.ciotech.us/data-retention-best-practices/" TargetMode="External" /><Relationship Type="http://schemas.openxmlformats.org/officeDocument/2006/relationships/hyperlink" Id="rId44" Target="https://www.ciotech.us/data-retention-best-practices/#:~:text=While%20a%20messy%20backup%20system,just%20what%20a%20tool%20recommends" TargetMode="External" /><Relationship Type="http://schemas.openxmlformats.org/officeDocument/2006/relationships/hyperlink" Id="rId54" Target="https://www.geeksforgeeks.org/system-design/graceful-degradation-in-distributed-systems/" TargetMode="External" /><Relationship Type="http://schemas.openxmlformats.org/officeDocument/2006/relationships/hyperlink" Id="rId24" Target="https://www.geeksforgeeks.org/system-design/graceful-degradation-in-distributed-systems/#:~:text=Architectural%20Patterns%20for%20Graceful%20Degradation" TargetMode="External" /><Relationship Type="http://schemas.openxmlformats.org/officeDocument/2006/relationships/hyperlink" Id="rId47" Target="https://www.imda.gov.sg/-/media/imda/files/about/emerging-tech-and-research/artificial-intelligence/starter-kit-for-testing-llm-based-applications-for-safety-and-reliability.pdf" TargetMode="External" /><Relationship Type="http://schemas.openxmlformats.org/officeDocument/2006/relationships/hyperlink" Id="rId46" Target="https://www.imda.gov.sg/-/media/imda/files/about/emerging-tech-and-research/artificial-intelligence/starter-kit-for-testing-llm-based-applications-for-safety-and-reliability.pdf#:~:text=Metrics%20and%20Evaluators%3A%20How%20to,would%20be%20%E2%80%9CLee%20Kuan%20Yew%E2%80%9D" TargetMode="External" /><Relationship Type="http://schemas.openxmlformats.org/officeDocument/2006/relationships/hyperlink" Id="rId56" Target="https://www.preveil.com/blog/protect-sensitive-data/" TargetMode="External" /><Relationship Type="http://schemas.openxmlformats.org/officeDocument/2006/relationships/hyperlink" Id="rId31" Target="https://www.preveil.com/blog/protect-sensitive-data/#:~:text=%2A%20Use%20end,like%20CMMC%2C%20HIPAA%2C%20and%20GDPR" TargetMode="External" /><Relationship Type="http://schemas.openxmlformats.org/officeDocument/2006/relationships/hyperlink" Id="rId30" Target="https://www.preveil.com/blog/protect-sensitive-data/#:~:text=To%20reduce%20risk%20and%20ensure,organizations%20should%20implement%20the%20following" TargetMode="External" /><Relationship Type="http://schemas.openxmlformats.org/officeDocument/2006/relationships/hyperlink" Id="rId52" Target="https://www.radview.com/blog/non-functional-requirements-nfrs-for-performance-testing/" TargetMode="External" /><Relationship Type="http://schemas.openxmlformats.org/officeDocument/2006/relationships/hyperlink" Id="rId42" Target="https://www.radview.com/blog/non-functional-requirements-nfrs-for-performance-testing/#:~:text=Availability%20Math%20and%20Scalability%20Targets%3A,Turning%20%E2%80%98Nines%E2%80%99%20into%20Infrastructure%20Decisions" TargetMode="External" /><Relationship Type="http://schemas.openxmlformats.org/officeDocument/2006/relationships/hyperlink" Id="rId22" Target="https://www.radview.com/blog/non-functional-requirements-nfrs-for-performance-testing/#:~:text=Response%20Time%20Benchmarks%20by%20Application,What%20%E2%80%98Good%E2%80%99%20Actually%20Looks%20Like" TargetMode="External" /><Relationship Type="http://schemas.openxmlformats.org/officeDocument/2006/relationships/hyperlink" Id="rId25" Target="https://www.radview.com/blog/non-functional-requirements-nfrs-for-performance-testing/#:~:text=Scalability%20NFRs%20operate%20on%20two,complete%20guide%20to%20scalability%20testing" TargetMode="External" /><Relationship Type="http://schemas.openxmlformats.org/officeDocument/2006/relationships/hyperlink" Id="rId63" Target="https://www.veeam.com/blog/recovery-time-recovery-point-objectives.html" TargetMode="External" /><Relationship Type="http://schemas.openxmlformats.org/officeDocument/2006/relationships/hyperlink" Id="rId45" Target="https://www.veeam.com/blog/recovery-time-recovery-point-objectives.html#:~:text=,after%20an%20outage%20or%20disrup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2026-05-16T09:00:28Z</dcterms:created>
  <dcterms:modified xsi:type="dcterms:W3CDTF">2026-05-16T09:00:28Z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