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0" w:name="content"/>
    <w:bookmarkStart w:id="69" w:name="becomingos-wording-guide"/>
    <w:p>
      <w:pPr>
        <w:pStyle w:val="Heading1"/>
      </w:pPr>
      <w:r>
        <w:t xml:space="preserve">BecomingOS Wording Guide</w:t>
      </w:r>
    </w:p>
    <w:p>
      <w:pPr>
        <w:pStyle w:val="FirstParagraph"/>
      </w:pPr>
      <w:r>
        <w:t xml:space="preserve">This guide synthesises research on plain language, motivational interviewing, autonomy‑supportive communication, non‑violent communication, reflective coaching, product microcopy and onboarding. It explains how to express AI‑driven insights, ask questions, and discuss goals, avoidance, needs, identity, bad days, privacy and emergency boundaries in a way that reflects the BecomingOS voice: calm, clear, grounded, intelligent, non‑shaming, non‑clinical, direct, warm, premium, autonomy‑supportive and serious without being heavy.</w:t>
      </w:r>
    </w:p>
    <w:bookmarkStart w:id="37" w:name="voice-principles"/>
    <w:p>
      <w:pPr>
        <w:pStyle w:val="Heading2"/>
      </w:pPr>
      <w:r>
        <w:t xml:space="preserve">Voice principles</w:t>
      </w:r>
    </w:p>
    <w:p>
      <w:pPr>
        <w:pStyle w:val="Compact"/>
        <w:numPr>
          <w:ilvl w:val="0"/>
          <w:numId w:val="1001"/>
        </w:numPr>
      </w:pPr>
      <w:r>
        <w:rPr>
          <w:b/>
          <w:bCs/>
        </w:rPr>
        <w:t xml:space="preserve">Clarity without jargon.</w:t>
      </w:r>
      <w:r>
        <w:t xml:space="preserve"> </w:t>
      </w:r>
      <w:r>
        <w:t xml:space="preserve">Plain language guidelines emphasise avoiding specialised terms and using everyday words. Writers should substitute simpler phrases for technical jargon and define unavoidable terms where they appear</w:t>
      </w:r>
      <w:hyperlink r:id="rId21">
        <w:r>
          <w:rPr>
            <w:rStyle w:val="Hyperlink"/>
          </w:rPr>
          <w:t xml:space="preserve">[1]</w:t>
        </w:r>
      </w:hyperlink>
      <w:r>
        <w:t xml:space="preserve">. Sentences should be short (15–20 words) and in the active, affirmative voice</w:t>
      </w:r>
      <w:hyperlink r:id="rId22">
        <w:r>
          <w:rPr>
            <w:rStyle w:val="Hyperlink"/>
          </w:rPr>
          <w:t xml:space="preserve">[2]</w:t>
        </w:r>
      </w:hyperlink>
      <w:r>
        <w:t xml:space="preserve">. Each paragraph should cover one topic</w:t>
      </w:r>
      <w:hyperlink r:id="rId23">
        <w:r>
          <w:rPr>
            <w:rStyle w:val="Hyperlink"/>
          </w:rPr>
          <w:t xml:space="preserve">[3]</w:t>
        </w:r>
      </w:hyperlink>
      <w:r>
        <w:t xml:space="preserve"> </w:t>
      </w:r>
      <w:r>
        <w:t xml:space="preserve">and content should be organised to match readers’ needs.</w:t>
      </w:r>
    </w:p>
    <w:p>
      <w:pPr>
        <w:pStyle w:val="Compact"/>
        <w:numPr>
          <w:ilvl w:val="0"/>
          <w:numId w:val="1001"/>
        </w:numPr>
      </w:pPr>
      <w:r>
        <w:rPr>
          <w:b/>
          <w:bCs/>
        </w:rPr>
        <w:t xml:space="preserve">Empathic partnership.</w:t>
      </w:r>
      <w:r>
        <w:t xml:space="preserve"> </w:t>
      </w:r>
      <w:r>
        <w:t xml:space="preserve">Motivational interviewing (MI) treats people as experts in their own lives. It uses open‑ended questions, affirmations, reflective listening and summaries (the</w:t>
      </w:r>
      <w:r>
        <w:t xml:space="preserve"> </w:t>
      </w:r>
      <w:r>
        <w:rPr>
          <w:b/>
          <w:bCs/>
        </w:rPr>
        <w:t xml:space="preserve">OARS</w:t>
      </w:r>
      <w:r>
        <w:t xml:space="preserve"> </w:t>
      </w:r>
      <w:r>
        <w:t xml:space="preserve">skills)</w:t>
      </w:r>
      <w:hyperlink r:id="rId24">
        <w:r>
          <w:rPr>
            <w:rStyle w:val="Hyperlink"/>
          </w:rPr>
          <w:t xml:space="preserve">[4]</w:t>
        </w:r>
      </w:hyperlink>
      <w:r>
        <w:t xml:space="preserve"> </w:t>
      </w:r>
      <w:r>
        <w:t xml:space="preserve">to build trust and draw out personal motivations</w:t>
      </w:r>
      <w:hyperlink r:id="rId25">
        <w:r>
          <w:rPr>
            <w:rStyle w:val="Hyperlink"/>
          </w:rPr>
          <w:t xml:space="preserve">[5]</w:t>
        </w:r>
      </w:hyperlink>
      <w:r>
        <w:t xml:space="preserve">. The tone is collaborative and respectful, strengthening the user’s own commitment to change</w:t>
      </w:r>
      <w:hyperlink r:id="rId25">
        <w:r>
          <w:rPr>
            <w:rStyle w:val="Hyperlink"/>
          </w:rPr>
          <w:t xml:space="preserve">[5]</w:t>
        </w:r>
      </w:hyperlink>
      <w:r>
        <w:t xml:space="preserve">.</w:t>
      </w:r>
    </w:p>
    <w:p>
      <w:pPr>
        <w:pStyle w:val="Compact"/>
        <w:numPr>
          <w:ilvl w:val="0"/>
          <w:numId w:val="1001"/>
        </w:numPr>
      </w:pPr>
      <w:r>
        <w:rPr>
          <w:b/>
          <w:bCs/>
        </w:rPr>
        <w:t xml:space="preserve">Autonomy support.</w:t>
      </w:r>
      <w:r>
        <w:t xml:space="preserve"> </w:t>
      </w:r>
      <w:r>
        <w:t xml:space="preserve">Autonomy‑supportive messages offer choice and avoid controlling language. Research on autonomy support notes that non‑controlling language uses terms such as “you may” instead of “should,” “must” or “have to,” reducing external pressure and supporting intrinsic motivation</w:t>
      </w:r>
      <w:hyperlink r:id="rId26">
        <w:r>
          <w:rPr>
            <w:rStyle w:val="Hyperlink"/>
          </w:rPr>
          <w:t xml:space="preserve">[6]</w:t>
        </w:r>
      </w:hyperlink>
      <w:r>
        <w:t xml:space="preserve">. Messages that acknowledge the person’s feelings and provide clear, concrete options enhance autonomy</w:t>
      </w:r>
      <w:hyperlink r:id="rId27">
        <w:r>
          <w:rPr>
            <w:rStyle w:val="Hyperlink"/>
          </w:rPr>
          <w:t xml:space="preserve">[7]</w:t>
        </w:r>
      </w:hyperlink>
      <w:r>
        <w:t xml:space="preserve">.</w:t>
      </w:r>
    </w:p>
    <w:p>
      <w:pPr>
        <w:pStyle w:val="Compact"/>
        <w:numPr>
          <w:ilvl w:val="0"/>
          <w:numId w:val="1001"/>
        </w:numPr>
      </w:pPr>
      <w:r>
        <w:rPr>
          <w:b/>
          <w:bCs/>
        </w:rPr>
        <w:t xml:space="preserve">Non‑violent, non‑shaming language.</w:t>
      </w:r>
      <w:r>
        <w:t xml:space="preserve"> </w:t>
      </w:r>
      <w:r>
        <w:t xml:space="preserve">Nonviolent communication (NVC) encourages people to express observations, feelings, needs and requests without judgment</w:t>
      </w:r>
      <w:hyperlink r:id="rId28">
        <w:r>
          <w:rPr>
            <w:rStyle w:val="Hyperlink"/>
          </w:rPr>
          <w:t xml:space="preserve">[8]</w:t>
        </w:r>
      </w:hyperlink>
      <w:r>
        <w:t xml:space="preserve">. It emphasises stating what one observes, how one feels, what needs are connected and what one requests</w:t>
      </w:r>
      <w:hyperlink r:id="rId28">
        <w:r>
          <w:rPr>
            <w:rStyle w:val="Hyperlink"/>
          </w:rPr>
          <w:t xml:space="preserve">[8]</w:t>
        </w:r>
      </w:hyperlink>
      <w:r>
        <w:t xml:space="preserve">. It discourages language that implies people have no choice and recommends replacing “have to” or “you make me feel” with words acknowledging personal choice</w:t>
      </w:r>
      <w:hyperlink r:id="rId29">
        <w:r>
          <w:rPr>
            <w:rStyle w:val="Hyperlink"/>
          </w:rPr>
          <w:t xml:space="preserve">[9]</w:t>
        </w:r>
      </w:hyperlink>
      <w:r>
        <w:t xml:space="preserve">. Mixing evaluation with observation reduces the likelihood that others hear the intended message and may be perceived as criticism</w:t>
      </w:r>
      <w:hyperlink r:id="rId30">
        <w:r>
          <w:rPr>
            <w:rStyle w:val="Hyperlink"/>
          </w:rPr>
          <w:t xml:space="preserve">[10]</w:t>
        </w:r>
      </w:hyperlink>
      <w:r>
        <w:t xml:space="preserve">.</w:t>
      </w:r>
    </w:p>
    <w:p>
      <w:pPr>
        <w:pStyle w:val="Compact"/>
        <w:numPr>
          <w:ilvl w:val="0"/>
          <w:numId w:val="1001"/>
        </w:numPr>
      </w:pPr>
      <w:r>
        <w:rPr>
          <w:b/>
          <w:bCs/>
        </w:rPr>
        <w:t xml:space="preserve">Reflective coaching.</w:t>
      </w:r>
      <w:r>
        <w:t xml:space="preserve"> </w:t>
      </w:r>
      <w:r>
        <w:t xml:space="preserve">Reflective coaching questions help users examine their own experiences and derive insights. The GROW model (Goal, Reality, Options, Way forward) provides a structure for reflection</w:t>
      </w:r>
      <w:hyperlink r:id="rId31">
        <w:r>
          <w:rPr>
            <w:rStyle w:val="Hyperlink"/>
          </w:rPr>
          <w:t xml:space="preserve">[11]</w:t>
        </w:r>
      </w:hyperlink>
      <w:r>
        <w:t xml:space="preserve">. Questions should be open, invite self‑discovery and avoid prescribing a specific response. The tone is curious and supportive, inviting the user to explore rather than instructing them.</w:t>
      </w:r>
    </w:p>
    <w:p>
      <w:pPr>
        <w:pStyle w:val="Compact"/>
        <w:numPr>
          <w:ilvl w:val="0"/>
          <w:numId w:val="1001"/>
        </w:numPr>
      </w:pPr>
      <w:r>
        <w:rPr>
          <w:b/>
          <w:bCs/>
        </w:rPr>
        <w:t xml:space="preserve">Product microcopy and onboarding.</w:t>
      </w:r>
      <w:r>
        <w:t xml:space="preserve"> </w:t>
      </w:r>
      <w:r>
        <w:t xml:space="preserve">Effective microcopy should feel like a conversation; interface text and button labels are the product’s “phrases,” while taps and inputs are the user’s responses</w:t>
      </w:r>
      <w:hyperlink r:id="rId32">
        <w:r>
          <w:rPr>
            <w:rStyle w:val="Hyperlink"/>
          </w:rPr>
          <w:t xml:space="preserve">[12]</w:t>
        </w:r>
      </w:hyperlink>
      <w:r>
        <w:t xml:space="preserve">. Copy should be role‑playable; e.g., use “Save my spot” instead of “Save your spot”</w:t>
      </w:r>
      <w:hyperlink r:id="rId33">
        <w:r>
          <w:rPr>
            <w:rStyle w:val="Hyperlink"/>
          </w:rPr>
          <w:t xml:space="preserve">[13]</w:t>
        </w:r>
      </w:hyperlink>
      <w:r>
        <w:t xml:space="preserve">. Button labels must reflect what happens next and avoid pushy sales language</w:t>
      </w:r>
      <w:hyperlink r:id="rId34">
        <w:r>
          <w:rPr>
            <w:rStyle w:val="Hyperlink"/>
          </w:rPr>
          <w:t xml:space="preserve">[14]</w:t>
        </w:r>
      </w:hyperlink>
      <w:r>
        <w:t xml:space="preserve">. Sensitive information such as payments or health data should be conveyed transparently and clearly</w:t>
      </w:r>
      <w:hyperlink r:id="rId35">
        <w:r>
          <w:rPr>
            <w:rStyle w:val="Hyperlink"/>
          </w:rPr>
          <w:t xml:space="preserve">[15]</w:t>
        </w:r>
      </w:hyperlink>
      <w:hyperlink r:id="rId36">
        <w:r>
          <w:rPr>
            <w:rStyle w:val="Hyperlink"/>
          </w:rPr>
          <w:t xml:space="preserve">[16]</w:t>
        </w:r>
      </w:hyperlink>
      <w:r>
        <w:t xml:space="preserve">.</w:t>
      </w:r>
    </w:p>
    <w:bookmarkEnd w:id="37"/>
    <w:bookmarkStart w:id="38" w:name="words-to-use"/>
    <w:p>
      <w:pPr>
        <w:pStyle w:val="Heading2"/>
      </w:pPr>
      <w:r>
        <w:t xml:space="preserve">Words to use</w:t>
      </w:r>
    </w:p>
    <w:p>
      <w:pPr>
        <w:pStyle w:val="FirstParagraph"/>
      </w:pPr>
      <w:r>
        <w:t xml:space="preserve">These words align with the BecomingOS voice and research principles: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Preferred terms</w:t>
            </w:r>
          </w:p>
        </w:tc>
      </w:tr>
      <w:tr>
        <w:tc>
          <w:tcPr/>
          <w:p>
            <w:pPr>
              <w:pStyle w:val="Compact"/>
            </w:pPr>
            <w:r>
              <w:rPr>
                <w:b/>
                <w:bCs/>
              </w:rPr>
              <w:t xml:space="preserve">Giving options</w:t>
            </w:r>
          </w:p>
        </w:tc>
        <w:tc>
          <w:tcPr/>
          <w:p>
            <w:pPr>
              <w:pStyle w:val="Compact"/>
            </w:pPr>
            <w:r>
              <w:t xml:space="preserve">may, could, might, consider, explore, perhaps, you might like to, one option is</w:t>
            </w:r>
          </w:p>
        </w:tc>
      </w:tr>
      <w:tr>
        <w:tc>
          <w:tcPr/>
          <w:p>
            <w:pPr>
              <w:pStyle w:val="Compact"/>
            </w:pPr>
            <w:r>
              <w:rPr>
                <w:b/>
                <w:bCs/>
              </w:rPr>
              <w:t xml:space="preserve">Acknowledging feelings</w:t>
            </w:r>
          </w:p>
        </w:tc>
        <w:tc>
          <w:tcPr/>
          <w:p>
            <w:pPr>
              <w:pStyle w:val="Compact"/>
            </w:pPr>
            <w:r>
              <w:t xml:space="preserve">notice, observe, it sounds like, it seems, I hear, you’re experiencing</w:t>
            </w:r>
          </w:p>
        </w:tc>
      </w:tr>
      <w:tr>
        <w:tc>
          <w:tcPr/>
          <w:p>
            <w:pPr>
              <w:pStyle w:val="Compact"/>
            </w:pPr>
            <w:r>
              <w:rPr>
                <w:b/>
                <w:bCs/>
              </w:rPr>
              <w:t xml:space="preserve">Strength‑based affirmations</w:t>
            </w:r>
          </w:p>
        </w:tc>
        <w:tc>
          <w:tcPr/>
          <w:p>
            <w:pPr>
              <w:pStyle w:val="Compact"/>
            </w:pPr>
            <w:r>
              <w:t xml:space="preserve">you’ve shown, you’re working on, it’s great that, it took courage to, you’re noticing</w:t>
            </w:r>
          </w:p>
        </w:tc>
      </w:tr>
      <w:tr>
        <w:tc>
          <w:tcPr/>
          <w:p>
            <w:pPr>
              <w:pStyle w:val="Compact"/>
            </w:pPr>
            <w:r>
              <w:rPr>
                <w:b/>
                <w:bCs/>
              </w:rPr>
              <w:t xml:space="preserve">Encouraging reflection</w:t>
            </w:r>
          </w:p>
        </w:tc>
        <w:tc>
          <w:tcPr/>
          <w:p>
            <w:pPr>
              <w:pStyle w:val="Compact"/>
            </w:pPr>
            <w:r>
              <w:t xml:space="preserve">what patterns do you notice, how does this feel, what stands out, what matters most, what would be helpful, what do you need</w:t>
            </w:r>
          </w:p>
        </w:tc>
      </w:tr>
      <w:tr>
        <w:tc>
          <w:tcPr/>
          <w:p>
            <w:pPr>
              <w:pStyle w:val="Compact"/>
            </w:pPr>
            <w:r>
              <w:rPr>
                <w:b/>
                <w:bCs/>
              </w:rPr>
              <w:t xml:space="preserve">Privacy &amp; safety</w:t>
            </w:r>
          </w:p>
        </w:tc>
        <w:tc>
          <w:tcPr/>
          <w:p>
            <w:pPr>
              <w:pStyle w:val="Compact"/>
            </w:pPr>
            <w:r>
              <w:t xml:space="preserve">your data is private, confidential, stored securely, you’re in control, emergency support, crisis resources</w:t>
            </w:r>
          </w:p>
        </w:tc>
      </w:tr>
      <w:tr>
        <w:tc>
          <w:tcPr/>
          <w:p>
            <w:pPr>
              <w:pStyle w:val="Compact"/>
            </w:pPr>
            <w:r>
              <w:rPr>
                <w:b/>
                <w:bCs/>
              </w:rPr>
              <w:t xml:space="preserve">Describing AI insights</w:t>
            </w:r>
          </w:p>
        </w:tc>
        <w:tc>
          <w:tcPr/>
          <w:p>
            <w:pPr>
              <w:pStyle w:val="Compact"/>
            </w:pPr>
            <w:r>
              <w:t xml:space="preserve">the AI noticed, possible pattern, could suggest, may indicate, this observation, seems linked</w:t>
            </w:r>
          </w:p>
        </w:tc>
      </w:tr>
      <w:tr>
        <w:tc>
          <w:tcPr/>
          <w:p>
            <w:pPr>
              <w:pStyle w:val="Compact"/>
            </w:pPr>
            <w:r>
              <w:rPr>
                <w:b/>
                <w:bCs/>
              </w:rPr>
              <w:t xml:space="preserve">Inviting choice</w:t>
            </w:r>
          </w:p>
        </w:tc>
        <w:tc>
          <w:tcPr/>
          <w:p>
            <w:pPr>
              <w:pStyle w:val="Compact"/>
            </w:pPr>
            <w:r>
              <w:t xml:space="preserve">choose, decide, pick, select, explore, see options</w:t>
            </w:r>
          </w:p>
        </w:tc>
      </w:tr>
      <w:tr>
        <w:tc>
          <w:tcPr/>
          <w:p>
            <w:pPr>
              <w:pStyle w:val="Compact"/>
            </w:pPr>
            <w:r>
              <w:rPr>
                <w:b/>
                <w:bCs/>
              </w:rPr>
              <w:t xml:space="preserve">Gentle hedging</w:t>
            </w:r>
          </w:p>
        </w:tc>
        <w:tc>
          <w:tcPr/>
          <w:p>
            <w:pPr>
              <w:pStyle w:val="Compact"/>
            </w:pPr>
            <w:r>
              <w:t xml:space="preserve">may, might, could, appears, suggests, tends to, often</w:t>
            </w:r>
          </w:p>
        </w:tc>
      </w:tr>
      <w:tr>
        <w:tc>
          <w:tcPr/>
          <w:p>
            <w:pPr>
              <w:pStyle w:val="Compact"/>
            </w:pPr>
            <w:r>
              <w:rPr>
                <w:b/>
                <w:bCs/>
              </w:rPr>
              <w:t xml:space="preserve">Self‑compassion</w:t>
            </w:r>
          </w:p>
        </w:tc>
        <w:tc>
          <w:tcPr/>
          <w:p>
            <w:pPr>
              <w:pStyle w:val="Compact"/>
            </w:pPr>
            <w:r>
              <w:t xml:space="preserve">gentle, kind, patient, give yourself space, take a moment</w:t>
            </w:r>
          </w:p>
        </w:tc>
      </w:tr>
    </w:tbl>
    <w:bookmarkEnd w:id="38"/>
    <w:bookmarkStart w:id="39" w:name="words-to-avoid"/>
    <w:p>
      <w:pPr>
        <w:pStyle w:val="Heading2"/>
      </w:pPr>
      <w:r>
        <w:t xml:space="preserve">Words to avoid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Avoid these terms</w:t>
            </w:r>
          </w:p>
        </w:tc>
      </w:tr>
      <w:tr>
        <w:tc>
          <w:tcPr/>
          <w:p>
            <w:pPr>
              <w:pStyle w:val="Compact"/>
            </w:pPr>
            <w:r>
              <w:rPr>
                <w:b/>
                <w:bCs/>
              </w:rPr>
              <w:t xml:space="preserve">Controlling language</w:t>
            </w:r>
          </w:p>
        </w:tc>
        <w:tc>
          <w:tcPr/>
          <w:p>
            <w:pPr>
              <w:pStyle w:val="Compact"/>
            </w:pPr>
            <w:r>
              <w:t xml:space="preserve">should, must, have to, need to (when prescribing), can’t, fail</w:t>
            </w:r>
          </w:p>
        </w:tc>
      </w:tr>
      <w:tr>
        <w:tc>
          <w:tcPr/>
          <w:p>
            <w:pPr>
              <w:pStyle w:val="Compact"/>
            </w:pPr>
            <w:r>
              <w:rPr>
                <w:b/>
                <w:bCs/>
              </w:rPr>
              <w:t xml:space="preserve">Clinical or diagnostic labels</w:t>
            </w:r>
          </w:p>
        </w:tc>
        <w:tc>
          <w:tcPr/>
          <w:p>
            <w:pPr>
              <w:pStyle w:val="Compact"/>
            </w:pPr>
            <w:r>
              <w:t xml:space="preserve">disorder, pathology, symptom, patient</w:t>
            </w:r>
          </w:p>
        </w:tc>
      </w:tr>
      <w:tr>
        <w:tc>
          <w:tcPr/>
          <w:p>
            <w:pPr>
              <w:pStyle w:val="Compact"/>
            </w:pPr>
            <w:r>
              <w:rPr>
                <w:b/>
                <w:bCs/>
              </w:rPr>
              <w:t xml:space="preserve">Shaming or judgment</w:t>
            </w:r>
          </w:p>
        </w:tc>
        <w:tc>
          <w:tcPr/>
          <w:p>
            <w:pPr>
              <w:pStyle w:val="Compact"/>
            </w:pPr>
            <w:r>
              <w:t xml:space="preserve">lazy, failure, weak, wrong, poor, mistake (use “setback” instead)</w:t>
            </w:r>
          </w:p>
        </w:tc>
      </w:tr>
      <w:tr>
        <w:tc>
          <w:tcPr/>
          <w:p>
            <w:pPr>
              <w:pStyle w:val="Compact"/>
            </w:pPr>
            <w:r>
              <w:rPr>
                <w:b/>
                <w:bCs/>
              </w:rPr>
              <w:t xml:space="preserve">Overly motivational clichés</w:t>
            </w:r>
          </w:p>
        </w:tc>
        <w:tc>
          <w:tcPr/>
          <w:p>
            <w:pPr>
              <w:pStyle w:val="Compact"/>
            </w:pPr>
            <w:r>
              <w:t xml:space="preserve">hustle, crush it, hack, maximize, grind, crush your goals</w:t>
            </w:r>
          </w:p>
        </w:tc>
      </w:tr>
      <w:tr>
        <w:tc>
          <w:tcPr/>
          <w:p>
            <w:pPr>
              <w:pStyle w:val="Compact"/>
            </w:pPr>
            <w:r>
              <w:rPr>
                <w:b/>
                <w:bCs/>
              </w:rPr>
              <w:t xml:space="preserve">Therapy‑jargon</w:t>
            </w:r>
          </w:p>
        </w:tc>
        <w:tc>
          <w:tcPr/>
          <w:p>
            <w:pPr>
              <w:pStyle w:val="Compact"/>
            </w:pPr>
            <w:r>
              <w:t xml:space="preserve">cognitive distortions, therapy, session, intervention</w:t>
            </w:r>
          </w:p>
        </w:tc>
      </w:tr>
      <w:tr>
        <w:tc>
          <w:tcPr/>
          <w:p>
            <w:pPr>
              <w:pStyle w:val="Compact"/>
            </w:pPr>
            <w:r>
              <w:rPr>
                <w:b/>
                <w:bCs/>
              </w:rPr>
              <w:t xml:space="preserve">Medical triggers</w:t>
            </w:r>
          </w:p>
        </w:tc>
        <w:tc>
          <w:tcPr/>
          <w:p>
            <w:pPr>
              <w:pStyle w:val="Compact"/>
            </w:pPr>
            <w:r>
              <w:t xml:space="preserve">diagnosis, prescription, treatment (unless referring to professional help)</w:t>
            </w:r>
          </w:p>
        </w:tc>
      </w:tr>
      <w:tr>
        <w:tc>
          <w:tcPr/>
          <w:p>
            <w:pPr>
              <w:pStyle w:val="Compact"/>
            </w:pPr>
            <w:r>
              <w:rPr>
                <w:b/>
                <w:bCs/>
              </w:rPr>
              <w:t xml:space="preserve">Productivity‑bro language</w:t>
            </w:r>
          </w:p>
        </w:tc>
        <w:tc>
          <w:tcPr/>
          <w:p>
            <w:pPr>
              <w:pStyle w:val="Compact"/>
            </w:pPr>
            <w:r>
              <w:t xml:space="preserve">10x, optimize, hack, biohack</w:t>
            </w:r>
          </w:p>
        </w:tc>
      </w:tr>
      <w:tr>
        <w:tc>
          <w:tcPr/>
          <w:p>
            <w:pPr>
              <w:pStyle w:val="Compact"/>
            </w:pPr>
            <w:r>
              <w:rPr>
                <w:b/>
                <w:bCs/>
              </w:rPr>
              <w:t xml:space="preserve">Guru speak</w:t>
            </w:r>
          </w:p>
        </w:tc>
        <w:tc>
          <w:tcPr/>
          <w:p>
            <w:pPr>
              <w:pStyle w:val="Compact"/>
            </w:pPr>
            <w:r>
              <w:t xml:space="preserve">manifest, universe will provide, secret, life‑changing miracle</w:t>
            </w:r>
          </w:p>
        </w:tc>
      </w:tr>
      <w:tr>
        <w:tc>
          <w:tcPr/>
          <w:p>
            <w:pPr>
              <w:pStyle w:val="Compact"/>
            </w:pPr>
            <w:r>
              <w:rPr>
                <w:b/>
                <w:bCs/>
              </w:rPr>
              <w:t xml:space="preserve">Childish or school terms</w:t>
            </w:r>
          </w:p>
        </w:tc>
        <w:tc>
          <w:tcPr/>
          <w:p>
            <w:pPr>
              <w:pStyle w:val="Compact"/>
            </w:pPr>
            <w:r>
              <w:t xml:space="preserve">assignment, worksheet, homework, grade</w:t>
            </w:r>
          </w:p>
        </w:tc>
      </w:tr>
    </w:tbl>
    <w:bookmarkEnd w:id="39"/>
    <w:bookmarkStart w:id="42" w:name="sentence-style"/>
    <w:p>
      <w:pPr>
        <w:pStyle w:val="Heading2"/>
      </w:pPr>
      <w:r>
        <w:t xml:space="preserve">Sentence style</w:t>
      </w:r>
    </w:p>
    <w:p>
      <w:pPr>
        <w:pStyle w:val="Compact"/>
        <w:numPr>
          <w:ilvl w:val="0"/>
          <w:numId w:val="1002"/>
        </w:numPr>
      </w:pPr>
      <w:r>
        <w:rPr>
          <w:b/>
          <w:bCs/>
        </w:rPr>
        <w:t xml:space="preserve">Short, active sentences.</w:t>
      </w:r>
      <w:r>
        <w:t xml:space="preserve"> </w:t>
      </w:r>
      <w:r>
        <w:t xml:space="preserve">Maintain an average of 15–20 words per sentence and use active, affirmative constructions</w:t>
      </w:r>
      <w:hyperlink r:id="rId22">
        <w:r>
          <w:rPr>
            <w:rStyle w:val="Hyperlink"/>
          </w:rPr>
          <w:t xml:space="preserve">[2]</w:t>
        </w:r>
      </w:hyperlink>
      <w:r>
        <w:t xml:space="preserve">. Avoid passive voice unless necessary.</w:t>
      </w:r>
    </w:p>
    <w:p>
      <w:pPr>
        <w:pStyle w:val="Compact"/>
        <w:numPr>
          <w:ilvl w:val="0"/>
          <w:numId w:val="1002"/>
        </w:numPr>
      </w:pPr>
      <w:r>
        <w:rPr>
          <w:b/>
          <w:bCs/>
        </w:rPr>
        <w:t xml:space="preserve">One idea per paragraph.</w:t>
      </w:r>
      <w:r>
        <w:t xml:space="preserve"> </w:t>
      </w:r>
      <w:r>
        <w:t xml:space="preserve">Each paragraph should cover a single topic</w:t>
      </w:r>
      <w:hyperlink r:id="rId23">
        <w:r>
          <w:rPr>
            <w:rStyle w:val="Hyperlink"/>
          </w:rPr>
          <w:t xml:space="preserve">[3]</w:t>
        </w:r>
      </w:hyperlink>
      <w:r>
        <w:t xml:space="preserve">. Use headings or bullet points to break up information.</w:t>
      </w:r>
    </w:p>
    <w:p>
      <w:pPr>
        <w:pStyle w:val="Compact"/>
        <w:numPr>
          <w:ilvl w:val="0"/>
          <w:numId w:val="1002"/>
        </w:numPr>
      </w:pPr>
      <w:r>
        <w:rPr>
          <w:b/>
          <w:bCs/>
        </w:rPr>
        <w:t xml:space="preserve">Conversational yet premium.</w:t>
      </w:r>
      <w:r>
        <w:t xml:space="preserve"> </w:t>
      </w:r>
      <w:r>
        <w:t xml:space="preserve">Write as if speaking to an intelligent peer—friendly but not flippant. Use first‑person phrases in calls to action (e.g., “Save my spot”)</w:t>
      </w:r>
      <w:hyperlink r:id="rId33">
        <w:r>
          <w:rPr>
            <w:rStyle w:val="Hyperlink"/>
          </w:rPr>
          <w:t xml:space="preserve">[13]</w:t>
        </w:r>
      </w:hyperlink>
      <w:r>
        <w:t xml:space="preserve">.</w:t>
      </w:r>
    </w:p>
    <w:p>
      <w:pPr>
        <w:pStyle w:val="Compact"/>
        <w:numPr>
          <w:ilvl w:val="0"/>
          <w:numId w:val="1002"/>
        </w:numPr>
      </w:pPr>
      <w:r>
        <w:rPr>
          <w:b/>
          <w:bCs/>
        </w:rPr>
        <w:t xml:space="preserve">Concrete and specific.</w:t>
      </w:r>
      <w:r>
        <w:t xml:space="preserve"> </w:t>
      </w:r>
      <w:r>
        <w:t xml:space="preserve">Use lexically concrete language that describes observable behaviours and options</w:t>
      </w:r>
      <w:hyperlink r:id="rId40">
        <w:r>
          <w:rPr>
            <w:rStyle w:val="Hyperlink"/>
          </w:rPr>
          <w:t xml:space="preserve">[17]</w:t>
        </w:r>
      </w:hyperlink>
      <w:r>
        <w:t xml:space="preserve">. This aids comprehension and autonomy without being prescriptive</w:t>
      </w:r>
      <w:hyperlink r:id="rId26">
        <w:r>
          <w:rPr>
            <w:rStyle w:val="Hyperlink"/>
          </w:rPr>
          <w:t xml:space="preserve">[6]</w:t>
        </w:r>
      </w:hyperlink>
      <w:r>
        <w:t xml:space="preserve">.</w:t>
      </w:r>
    </w:p>
    <w:p>
      <w:pPr>
        <w:pStyle w:val="Compact"/>
        <w:numPr>
          <w:ilvl w:val="0"/>
          <w:numId w:val="1002"/>
        </w:numPr>
      </w:pPr>
      <w:r>
        <w:rPr>
          <w:b/>
          <w:bCs/>
        </w:rPr>
        <w:t xml:space="preserve">Use hedging and qualifiers.</w:t>
      </w:r>
      <w:r>
        <w:t xml:space="preserve"> </w:t>
      </w:r>
      <w:r>
        <w:t xml:space="preserve">When presenting AI insights, use hedging words (“might,” “could”) to show uncertainty and invite collaboration.</w:t>
      </w:r>
    </w:p>
    <w:p>
      <w:pPr>
        <w:pStyle w:val="Compact"/>
        <w:numPr>
          <w:ilvl w:val="0"/>
          <w:numId w:val="1002"/>
        </w:numPr>
      </w:pPr>
      <w:r>
        <w:rPr>
          <w:b/>
          <w:bCs/>
        </w:rPr>
        <w:t xml:space="preserve">Avoid jargon and define terms.</w:t>
      </w:r>
      <w:r>
        <w:t xml:space="preserve"> </w:t>
      </w:r>
      <w:r>
        <w:t xml:space="preserve">Replace specialised terms with everyday words</w:t>
      </w:r>
      <w:hyperlink r:id="rId21">
        <w:r>
          <w:rPr>
            <w:rStyle w:val="Hyperlink"/>
          </w:rPr>
          <w:t xml:space="preserve">[1]</w:t>
        </w:r>
      </w:hyperlink>
      <w:r>
        <w:t xml:space="preserve"> </w:t>
      </w:r>
      <w:r>
        <w:t xml:space="preserve">and define unavoidable concepts where you use them</w:t>
      </w:r>
      <w:hyperlink r:id="rId41">
        <w:r>
          <w:rPr>
            <w:rStyle w:val="Hyperlink"/>
          </w:rPr>
          <w:t xml:space="preserve">[18]</w:t>
        </w:r>
      </w:hyperlink>
      <w:r>
        <w:t xml:space="preserve">.</w:t>
      </w:r>
    </w:p>
    <w:bookmarkEnd w:id="42"/>
    <w:bookmarkStart w:id="47" w:name="asking-deep-questions"/>
    <w:p>
      <w:pPr>
        <w:pStyle w:val="Heading2"/>
      </w:pPr>
      <w:r>
        <w:t xml:space="preserve">Asking deep questions</w:t>
      </w:r>
    </w:p>
    <w:p>
      <w:pPr>
        <w:pStyle w:val="FirstParagraph"/>
      </w:pPr>
      <w:r>
        <w:t xml:space="preserve">When asking the user to reflect, follow MI and reflective coaching practices:</w:t>
      </w:r>
    </w:p>
    <w:p>
      <w:pPr>
        <w:pStyle w:val="Compact"/>
        <w:numPr>
          <w:ilvl w:val="0"/>
          <w:numId w:val="1003"/>
        </w:numPr>
      </w:pPr>
      <w:r>
        <w:rPr>
          <w:b/>
          <w:bCs/>
        </w:rPr>
        <w:t xml:space="preserve">Open‑ended questions.</w:t>
      </w:r>
      <w:r>
        <w:t xml:space="preserve"> </w:t>
      </w:r>
      <w:r>
        <w:t xml:space="preserve">Avoid yes/no questions; instead ask, “What makes you think it might be time for a change?”</w:t>
      </w:r>
      <w:hyperlink r:id="rId43">
        <w:r>
          <w:rPr>
            <w:rStyle w:val="Hyperlink"/>
          </w:rPr>
          <w:t xml:space="preserve">[19]</w:t>
        </w:r>
      </w:hyperlink>
      <w:r>
        <w:t xml:space="preserve"> </w:t>
      </w:r>
      <w:r>
        <w:t xml:space="preserve">or “How has this been affecting you lately?”</w:t>
      </w:r>
      <w:hyperlink r:id="rId43">
        <w:r>
          <w:rPr>
            <w:rStyle w:val="Hyperlink"/>
          </w:rPr>
          <w:t xml:space="preserve">[20]</w:t>
        </w:r>
      </w:hyperlink>
      <w:r>
        <w:t xml:space="preserve">.</w:t>
      </w:r>
    </w:p>
    <w:p>
      <w:pPr>
        <w:pStyle w:val="Compact"/>
        <w:numPr>
          <w:ilvl w:val="0"/>
          <w:numId w:val="1003"/>
        </w:numPr>
      </w:pPr>
      <w:r>
        <w:rPr>
          <w:b/>
          <w:bCs/>
        </w:rPr>
        <w:t xml:space="preserve">Affirm strengths.</w:t>
      </w:r>
      <w:r>
        <w:t xml:space="preserve"> </w:t>
      </w:r>
      <w:r>
        <w:t xml:space="preserve">Notice and reflect the user’s efforts: “You’ve been thinking carefully about this”</w:t>
      </w:r>
      <w:hyperlink r:id="rId44">
        <w:r>
          <w:rPr>
            <w:rStyle w:val="Hyperlink"/>
          </w:rPr>
          <w:t xml:space="preserve">[21]</w:t>
        </w:r>
      </w:hyperlink>
      <w:r>
        <w:t xml:space="preserve">. Acknowledge courage and persistence to build confidence.</w:t>
      </w:r>
    </w:p>
    <w:p>
      <w:pPr>
        <w:pStyle w:val="Compact"/>
        <w:numPr>
          <w:ilvl w:val="0"/>
          <w:numId w:val="1003"/>
        </w:numPr>
      </w:pPr>
      <w:r>
        <w:rPr>
          <w:b/>
          <w:bCs/>
        </w:rPr>
        <w:t xml:space="preserve">Reflect feelings and meanings.</w:t>
      </w:r>
      <w:r>
        <w:t xml:space="preserve"> </w:t>
      </w:r>
      <w:r>
        <w:t xml:space="preserve">Rephrase the user’s statements to show understanding: “It sounds like the side effects have been discouraging”</w:t>
      </w:r>
      <w:hyperlink r:id="rId45">
        <w:r>
          <w:rPr>
            <w:rStyle w:val="Hyperlink"/>
          </w:rPr>
          <w:t xml:space="preserve">[22]</w:t>
        </w:r>
      </w:hyperlink>
      <w:r>
        <w:t xml:space="preserve">. Reflect both content and underlying emotions.</w:t>
      </w:r>
    </w:p>
    <w:p>
      <w:pPr>
        <w:pStyle w:val="Compact"/>
        <w:numPr>
          <w:ilvl w:val="0"/>
          <w:numId w:val="1003"/>
        </w:numPr>
      </w:pPr>
      <w:r>
        <w:rPr>
          <w:b/>
          <w:bCs/>
        </w:rPr>
        <w:t xml:space="preserve">Summarize and invite corrections.</w:t>
      </w:r>
      <w:r>
        <w:t xml:space="preserve"> </w:t>
      </w:r>
      <w:r>
        <w:t xml:space="preserve">Periodically summarize what you’ve heard: “So, you’re worried about how this habit affects your health but also feel afraid of making too many changes at once—did I get that right?”</w:t>
      </w:r>
      <w:hyperlink r:id="rId46">
        <w:r>
          <w:rPr>
            <w:rStyle w:val="Hyperlink"/>
          </w:rPr>
          <w:t xml:space="preserve">[23]</w:t>
        </w:r>
      </w:hyperlink>
      <w:r>
        <w:t xml:space="preserve">.</w:t>
      </w:r>
    </w:p>
    <w:p>
      <w:pPr>
        <w:pStyle w:val="Compact"/>
        <w:numPr>
          <w:ilvl w:val="0"/>
          <w:numId w:val="1003"/>
        </w:numPr>
      </w:pPr>
      <w:r>
        <w:rPr>
          <w:b/>
          <w:bCs/>
        </w:rPr>
        <w:t xml:space="preserve">GROW structure.</w:t>
      </w:r>
      <w:r>
        <w:t xml:space="preserve"> </w:t>
      </w:r>
      <w:r>
        <w:t xml:space="preserve">Use the GROW model to structure questions: explore the Goal (desired outcome), Reality (current situation), Options (possible actions) and Way forward (next steps)</w:t>
      </w:r>
      <w:hyperlink r:id="rId31">
        <w:r>
          <w:rPr>
            <w:rStyle w:val="Hyperlink"/>
          </w:rPr>
          <w:t xml:space="preserve">[11]</w:t>
        </w:r>
      </w:hyperlink>
      <w:r>
        <w:t xml:space="preserve">.</w:t>
      </w:r>
    </w:p>
    <w:p>
      <w:pPr>
        <w:pStyle w:val="Compact"/>
        <w:numPr>
          <w:ilvl w:val="0"/>
          <w:numId w:val="1003"/>
        </w:numPr>
      </w:pPr>
      <w:r>
        <w:rPr>
          <w:b/>
          <w:bCs/>
        </w:rPr>
        <w:t xml:space="preserve">Support autonomy.</w:t>
      </w:r>
      <w:r>
        <w:t xml:space="preserve"> </w:t>
      </w:r>
      <w:r>
        <w:t xml:space="preserve">Phrase questions to offer choice rather than directives: “You might explore…,” “What options feel most achievable?” Use “you may” rather than “you should”</w:t>
      </w:r>
      <w:hyperlink r:id="rId26">
        <w:r>
          <w:rPr>
            <w:rStyle w:val="Hyperlink"/>
          </w:rPr>
          <w:t xml:space="preserve">[6]</w:t>
        </w:r>
      </w:hyperlink>
      <w:r>
        <w:t xml:space="preserve">.</w:t>
      </w:r>
    </w:p>
    <w:p>
      <w:pPr>
        <w:pStyle w:val="Compact"/>
        <w:numPr>
          <w:ilvl w:val="0"/>
          <w:numId w:val="1003"/>
        </w:numPr>
      </w:pPr>
      <w:r>
        <w:rPr>
          <w:b/>
          <w:bCs/>
        </w:rPr>
        <w:t xml:space="preserve">Non‑judgmental observations.</w:t>
      </w:r>
      <w:r>
        <w:t xml:space="preserve"> </w:t>
      </w:r>
      <w:r>
        <w:t xml:space="preserve">Describe observable behaviours without evaluation: “I noticed you stayed up late three nights this week” instead of “You’re not disciplined.” Base questions on observations rather than judgements</w:t>
      </w:r>
      <w:hyperlink r:id="rId30">
        <w:r>
          <w:rPr>
            <w:rStyle w:val="Hyperlink"/>
          </w:rPr>
          <w:t xml:space="preserve">[10]</w:t>
        </w:r>
      </w:hyperlink>
      <w:r>
        <w:t xml:space="preserve">.</w:t>
      </w:r>
    </w:p>
    <w:bookmarkEnd w:id="47"/>
    <w:bookmarkStart w:id="48" w:name="explaining-ai-insights"/>
    <w:p>
      <w:pPr>
        <w:pStyle w:val="Heading2"/>
      </w:pPr>
      <w:r>
        <w:t xml:space="preserve">Explaining AI insights</w:t>
      </w:r>
    </w:p>
    <w:p>
      <w:pPr>
        <w:pStyle w:val="Compact"/>
        <w:numPr>
          <w:ilvl w:val="0"/>
          <w:numId w:val="1004"/>
        </w:numPr>
      </w:pPr>
      <w:r>
        <w:rPr>
          <w:b/>
          <w:bCs/>
        </w:rPr>
        <w:t xml:space="preserve">State the AI’s role clearly.</w:t>
      </w:r>
      <w:r>
        <w:t xml:space="preserve"> </w:t>
      </w:r>
      <w:r>
        <w:t xml:space="preserve">Explain that insights come from the AI analysing data patterns (“The AI noticed that your energy tends to dip on days with less sleep”).</w:t>
      </w:r>
    </w:p>
    <w:p>
      <w:pPr>
        <w:pStyle w:val="Compact"/>
        <w:numPr>
          <w:ilvl w:val="0"/>
          <w:numId w:val="1004"/>
        </w:numPr>
      </w:pPr>
      <w:r>
        <w:rPr>
          <w:b/>
          <w:bCs/>
        </w:rPr>
        <w:t xml:space="preserve">Use hedging to show uncertainty.</w:t>
      </w:r>
      <w:r>
        <w:t xml:space="preserve"> </w:t>
      </w:r>
      <w:r>
        <w:t xml:space="preserve">Emphasise that patterns are possibilities, not diagnoses: “This might suggest that shorter sleep could be linked to lower energy.”</w:t>
      </w:r>
    </w:p>
    <w:p>
      <w:pPr>
        <w:pStyle w:val="Compact"/>
        <w:numPr>
          <w:ilvl w:val="0"/>
          <w:numId w:val="1004"/>
        </w:numPr>
      </w:pPr>
      <w:r>
        <w:rPr>
          <w:b/>
          <w:bCs/>
        </w:rPr>
        <w:t xml:space="preserve">Invite the user’s interpretation.</w:t>
      </w:r>
      <w:r>
        <w:t xml:space="preserve"> </w:t>
      </w:r>
      <w:r>
        <w:t xml:space="preserve">Follow up with an open question: “Does that resonate with your experience?” or “What do you think influences your energy on those days?”</w:t>
      </w:r>
    </w:p>
    <w:p>
      <w:pPr>
        <w:pStyle w:val="Compact"/>
        <w:numPr>
          <w:ilvl w:val="0"/>
          <w:numId w:val="1004"/>
        </w:numPr>
      </w:pPr>
      <w:r>
        <w:rPr>
          <w:b/>
          <w:bCs/>
        </w:rPr>
        <w:t xml:space="preserve">Avoid authority or clinical language.</w:t>
      </w:r>
      <w:r>
        <w:t xml:space="preserve"> </w:t>
      </w:r>
      <w:r>
        <w:t xml:space="preserve">Do not say, “The system detected a disorder”; instead state, “The data shows a potential pattern.”</w:t>
      </w:r>
    </w:p>
    <w:p>
      <w:pPr>
        <w:pStyle w:val="Compact"/>
        <w:numPr>
          <w:ilvl w:val="0"/>
          <w:numId w:val="1004"/>
        </w:numPr>
      </w:pPr>
      <w:r>
        <w:rPr>
          <w:b/>
          <w:bCs/>
        </w:rPr>
        <w:t xml:space="preserve">Encourage user agency.</w:t>
      </w:r>
      <w:r>
        <w:t xml:space="preserve"> </w:t>
      </w:r>
      <w:r>
        <w:t xml:space="preserve">Offer options: “You might choose to track this pattern further” or “Would you like to explore ways to adjust sleep?”</w:t>
      </w:r>
    </w:p>
    <w:bookmarkEnd w:id="48"/>
    <w:bookmarkStart w:id="49" w:name="describing-a-possible-pattern-safely"/>
    <w:p>
      <w:pPr>
        <w:pStyle w:val="Heading2"/>
      </w:pPr>
      <w:r>
        <w:t xml:space="preserve">Describing a possible pattern safely</w:t>
      </w:r>
    </w:p>
    <w:p>
      <w:pPr>
        <w:pStyle w:val="Compact"/>
        <w:numPr>
          <w:ilvl w:val="0"/>
          <w:numId w:val="1005"/>
        </w:numPr>
      </w:pPr>
      <w:r>
        <w:t xml:space="preserve">Use tentative language—“possible pattern,” “could be connected,” “may indicate”—to avoid overstatement.</w:t>
      </w:r>
    </w:p>
    <w:p>
      <w:pPr>
        <w:pStyle w:val="Compact"/>
        <w:numPr>
          <w:ilvl w:val="0"/>
          <w:numId w:val="1005"/>
        </w:numPr>
      </w:pPr>
      <w:r>
        <w:t xml:space="preserve">Explain the data basis (“In the last two weeks, days with fewer than six hours of sleep corresponded to more low‑mood entries”).</w:t>
      </w:r>
    </w:p>
    <w:p>
      <w:pPr>
        <w:pStyle w:val="Compact"/>
        <w:numPr>
          <w:ilvl w:val="0"/>
          <w:numId w:val="1005"/>
        </w:numPr>
      </w:pPr>
      <w:r>
        <w:t xml:space="preserve">Avoid diagnostic or deterministic statements (“This means you are depressed”).</w:t>
      </w:r>
    </w:p>
    <w:p>
      <w:pPr>
        <w:pStyle w:val="Compact"/>
        <w:numPr>
          <w:ilvl w:val="0"/>
          <w:numId w:val="1005"/>
        </w:numPr>
      </w:pPr>
      <w:r>
        <w:t xml:space="preserve">Encourage the user to reflect on other factors (“Are there other reasons this might happen?”).</w:t>
      </w:r>
    </w:p>
    <w:p>
      <w:pPr>
        <w:pStyle w:val="Compact"/>
        <w:numPr>
          <w:ilvl w:val="0"/>
          <w:numId w:val="1005"/>
        </w:numPr>
      </w:pPr>
      <w:r>
        <w:t xml:space="preserve">Acknowledge incomplete information (“This observation doesn’t capture everything about your experience; only you know the full context”).</w:t>
      </w:r>
    </w:p>
    <w:bookmarkEnd w:id="49"/>
    <w:bookmarkStart w:id="50" w:name="showing-uncertainty"/>
    <w:p>
      <w:pPr>
        <w:pStyle w:val="Heading2"/>
      </w:pPr>
      <w:r>
        <w:t xml:space="preserve">Showing uncertainty</w:t>
      </w:r>
    </w:p>
    <w:p>
      <w:pPr>
        <w:pStyle w:val="Compact"/>
        <w:numPr>
          <w:ilvl w:val="0"/>
          <w:numId w:val="1006"/>
        </w:numPr>
      </w:pPr>
      <w:r>
        <w:t xml:space="preserve">Use qualifiers such as “might,” “could,” “perhaps,” “appears,” and “suggests.”</w:t>
      </w:r>
    </w:p>
    <w:p>
      <w:pPr>
        <w:pStyle w:val="Compact"/>
        <w:numPr>
          <w:ilvl w:val="0"/>
          <w:numId w:val="1006"/>
        </w:numPr>
      </w:pPr>
      <w:r>
        <w:t xml:space="preserve">Provide ranges or approximate values when giving numbers (e.g., “between 10 and 15 days”).</w:t>
      </w:r>
    </w:p>
    <w:p>
      <w:pPr>
        <w:pStyle w:val="Compact"/>
        <w:numPr>
          <w:ilvl w:val="0"/>
          <w:numId w:val="1006"/>
        </w:numPr>
      </w:pPr>
      <w:r>
        <w:t xml:space="preserve">Admit limits of AI analysis: “The AI can’t know for sure; it can only identify correlations in the data.”</w:t>
      </w:r>
    </w:p>
    <w:p>
      <w:pPr>
        <w:pStyle w:val="Compact"/>
        <w:numPr>
          <w:ilvl w:val="0"/>
          <w:numId w:val="1006"/>
        </w:numPr>
      </w:pPr>
      <w:r>
        <w:t xml:space="preserve">Invite user feedback: “Let me know if this doesn’t match your experience.”</w:t>
      </w:r>
    </w:p>
    <w:bookmarkEnd w:id="50"/>
    <w:bookmarkStart w:id="51" w:name="letting-users-reject-ai-insights"/>
    <w:p>
      <w:pPr>
        <w:pStyle w:val="Heading2"/>
      </w:pPr>
      <w:r>
        <w:t xml:space="preserve">Letting users reject AI insights</w:t>
      </w:r>
    </w:p>
    <w:p>
      <w:pPr>
        <w:pStyle w:val="Compact"/>
        <w:numPr>
          <w:ilvl w:val="0"/>
          <w:numId w:val="1007"/>
        </w:numPr>
      </w:pPr>
      <w:r>
        <w:t xml:space="preserve">Explicitly acknowledge that the user is in control: “These insights are suggestions; you decide whether they’re useful.”</w:t>
      </w:r>
    </w:p>
    <w:p>
      <w:pPr>
        <w:pStyle w:val="Compact"/>
        <w:numPr>
          <w:ilvl w:val="0"/>
          <w:numId w:val="1007"/>
        </w:numPr>
      </w:pPr>
      <w:r>
        <w:t xml:space="preserve">Provide an easy option to dismiss or skip an insight (“No thanks” or “Not relevant right now”).</w:t>
      </w:r>
    </w:p>
    <w:p>
      <w:pPr>
        <w:pStyle w:val="Compact"/>
        <w:numPr>
          <w:ilvl w:val="0"/>
          <w:numId w:val="1007"/>
        </w:numPr>
      </w:pPr>
      <w:r>
        <w:t xml:space="preserve">Encourage feedback on the insight’s relevance (“Does this resonate? If not, please ignore it”).</w:t>
      </w:r>
    </w:p>
    <w:p>
      <w:pPr>
        <w:pStyle w:val="Compact"/>
        <w:numPr>
          <w:ilvl w:val="0"/>
          <w:numId w:val="1007"/>
        </w:numPr>
      </w:pPr>
      <w:r>
        <w:t xml:space="preserve">Normalize rejection: “Not every pattern will fit—discard what doesn’t serve you.”</w:t>
      </w:r>
    </w:p>
    <w:bookmarkEnd w:id="51"/>
    <w:bookmarkStart w:id="52" w:name="talking-about-goals"/>
    <w:p>
      <w:pPr>
        <w:pStyle w:val="Heading2"/>
      </w:pPr>
      <w:r>
        <w:t xml:space="preserve">Talking about goals</w:t>
      </w:r>
    </w:p>
    <w:p>
      <w:pPr>
        <w:pStyle w:val="Compact"/>
        <w:numPr>
          <w:ilvl w:val="0"/>
          <w:numId w:val="1008"/>
        </w:numPr>
      </w:pPr>
      <w:r>
        <w:rPr>
          <w:b/>
          <w:bCs/>
        </w:rPr>
        <w:t xml:space="preserve">Collaborative framing.</w:t>
      </w:r>
      <w:r>
        <w:t xml:space="preserve"> </w:t>
      </w:r>
      <w:r>
        <w:t xml:space="preserve">Goals should be chosen by the user, not imposed. Ask: “What would you like to work toward?” or “What’s most important for you right now?”</w:t>
      </w:r>
    </w:p>
    <w:p>
      <w:pPr>
        <w:pStyle w:val="Compact"/>
        <w:numPr>
          <w:ilvl w:val="0"/>
          <w:numId w:val="1008"/>
        </w:numPr>
      </w:pPr>
      <w:r>
        <w:rPr>
          <w:b/>
          <w:bCs/>
        </w:rPr>
        <w:t xml:space="preserve">Values alignment.</w:t>
      </w:r>
      <w:r>
        <w:t xml:space="preserve"> </w:t>
      </w:r>
      <w:r>
        <w:t xml:space="preserve">Invite reflection on values: “How does this goal align with what matters most to you?”</w:t>
      </w:r>
    </w:p>
    <w:p>
      <w:pPr>
        <w:pStyle w:val="Compact"/>
        <w:numPr>
          <w:ilvl w:val="0"/>
          <w:numId w:val="1008"/>
        </w:numPr>
      </w:pPr>
      <w:r>
        <w:rPr>
          <w:b/>
          <w:bCs/>
        </w:rPr>
        <w:t xml:space="preserve">Small, flexible steps.</w:t>
      </w:r>
      <w:r>
        <w:t xml:space="preserve"> </w:t>
      </w:r>
      <w:r>
        <w:t xml:space="preserve">Suggest experimenting with small actions and adjustments rather than rigid milestones.</w:t>
      </w:r>
    </w:p>
    <w:p>
      <w:pPr>
        <w:pStyle w:val="Compact"/>
        <w:numPr>
          <w:ilvl w:val="0"/>
          <w:numId w:val="1008"/>
        </w:numPr>
      </w:pPr>
      <w:r>
        <w:rPr>
          <w:b/>
          <w:bCs/>
        </w:rPr>
        <w:t xml:space="preserve">Avoid productivity clichés.</w:t>
      </w:r>
      <w:r>
        <w:t xml:space="preserve"> </w:t>
      </w:r>
      <w:r>
        <w:t xml:space="preserve">Focus on meaning and wellbeing rather than efficiency or performance. Replace “crush your goals” with “explore meaningful progress.”</w:t>
      </w:r>
    </w:p>
    <w:p>
      <w:pPr>
        <w:pStyle w:val="Compact"/>
        <w:numPr>
          <w:ilvl w:val="0"/>
          <w:numId w:val="1008"/>
        </w:numPr>
      </w:pPr>
      <w:r>
        <w:rPr>
          <w:b/>
          <w:bCs/>
        </w:rPr>
        <w:t xml:space="preserve">Reflect progress.</w:t>
      </w:r>
      <w:r>
        <w:t xml:space="preserve"> </w:t>
      </w:r>
      <w:r>
        <w:t xml:space="preserve">Celebrate incremental achievements (“You logged your mood three times this week—that shows commitment”).</w:t>
      </w:r>
    </w:p>
    <w:bookmarkEnd w:id="52"/>
    <w:bookmarkStart w:id="53" w:name="talking-about-avoidance"/>
    <w:p>
      <w:pPr>
        <w:pStyle w:val="Heading2"/>
      </w:pPr>
      <w:r>
        <w:t xml:space="preserve">Talking about avoidance</w:t>
      </w:r>
    </w:p>
    <w:p>
      <w:pPr>
        <w:pStyle w:val="Compact"/>
        <w:numPr>
          <w:ilvl w:val="0"/>
          <w:numId w:val="1009"/>
        </w:numPr>
      </w:pPr>
      <w:r>
        <w:t xml:space="preserve">Recognise avoidance as protective rather than “bad.” Use curious questions: “What led you to skip journaling this week?” or “Was there something you were protecting yourself from?”</w:t>
      </w:r>
    </w:p>
    <w:p>
      <w:pPr>
        <w:pStyle w:val="Compact"/>
        <w:numPr>
          <w:ilvl w:val="0"/>
          <w:numId w:val="1009"/>
        </w:numPr>
      </w:pPr>
      <w:r>
        <w:t xml:space="preserve">Acknowledge ambivalence: “It sounds like part of you wants to engage, and another part feels hesitant.”</w:t>
      </w:r>
    </w:p>
    <w:p>
      <w:pPr>
        <w:pStyle w:val="Compact"/>
        <w:numPr>
          <w:ilvl w:val="0"/>
          <w:numId w:val="1009"/>
        </w:numPr>
      </w:pPr>
      <w:r>
        <w:t xml:space="preserve">Avoid labels like “procrastination” or “lazy.” Focus on needs driving avoidance (“It seems you needed rest or felt overwhelmed”).</w:t>
      </w:r>
    </w:p>
    <w:p>
      <w:pPr>
        <w:pStyle w:val="Compact"/>
        <w:numPr>
          <w:ilvl w:val="0"/>
          <w:numId w:val="1009"/>
        </w:numPr>
      </w:pPr>
      <w:r>
        <w:t xml:space="preserve">Invite gentle experimentation: “Would you like to explore what makes the task feel heavy, and perhaps adjust it?”</w:t>
      </w:r>
    </w:p>
    <w:bookmarkEnd w:id="53"/>
    <w:bookmarkStart w:id="54" w:name="talking-about-needs"/>
    <w:p>
      <w:pPr>
        <w:pStyle w:val="Heading2"/>
      </w:pPr>
      <w:r>
        <w:t xml:space="preserve">Talking about needs</w:t>
      </w:r>
    </w:p>
    <w:p>
      <w:pPr>
        <w:pStyle w:val="Compact"/>
        <w:numPr>
          <w:ilvl w:val="0"/>
          <w:numId w:val="1010"/>
        </w:numPr>
      </w:pPr>
      <w:r>
        <w:t xml:space="preserve">Frame needs as universal human requirements rather than weaknesses. Use NVC structure: observations, feelings, needs, requests</w:t>
      </w:r>
      <w:hyperlink r:id="rId28">
        <w:r>
          <w:rPr>
            <w:rStyle w:val="Hyperlink"/>
          </w:rPr>
          <w:t xml:space="preserve">[8]</w:t>
        </w:r>
      </w:hyperlink>
      <w:r>
        <w:t xml:space="preserve">.</w:t>
      </w:r>
    </w:p>
    <w:p>
      <w:pPr>
        <w:pStyle w:val="Compact"/>
        <w:numPr>
          <w:ilvl w:val="0"/>
          <w:numId w:val="1010"/>
        </w:numPr>
      </w:pPr>
      <w:r>
        <w:t xml:space="preserve">Ask: “What do you need right now?” or “What would help you feel supported?”</w:t>
      </w:r>
    </w:p>
    <w:p>
      <w:pPr>
        <w:pStyle w:val="Compact"/>
        <w:numPr>
          <w:ilvl w:val="0"/>
          <w:numId w:val="1010"/>
        </w:numPr>
      </w:pPr>
      <w:r>
        <w:t xml:space="preserve">Recognise competing needs: “Part of you needs rest, and part of you craves productivity.”</w:t>
      </w:r>
    </w:p>
    <w:p>
      <w:pPr>
        <w:pStyle w:val="Compact"/>
        <w:numPr>
          <w:ilvl w:val="0"/>
          <w:numId w:val="1010"/>
        </w:numPr>
      </w:pPr>
      <w:r>
        <w:t xml:space="preserve">Avoid implying selfishness; emphasise that meeting one’s needs fosters better engagement with others.</w:t>
      </w:r>
    </w:p>
    <w:bookmarkEnd w:id="54"/>
    <w:bookmarkStart w:id="55" w:name="talking-about-identity"/>
    <w:p>
      <w:pPr>
        <w:pStyle w:val="Heading2"/>
      </w:pPr>
      <w:r>
        <w:t xml:space="preserve">Talking about identity</w:t>
      </w:r>
    </w:p>
    <w:p>
      <w:pPr>
        <w:pStyle w:val="Compact"/>
        <w:numPr>
          <w:ilvl w:val="0"/>
          <w:numId w:val="1011"/>
        </w:numPr>
      </w:pPr>
      <w:r>
        <w:t xml:space="preserve">Use language that supports self‑definition rather than fixed labels. Ask: “How would you describe yourself when you feel most like you?”</w:t>
      </w:r>
    </w:p>
    <w:p>
      <w:pPr>
        <w:pStyle w:val="Compact"/>
        <w:numPr>
          <w:ilvl w:val="0"/>
          <w:numId w:val="1011"/>
        </w:numPr>
      </w:pPr>
      <w:r>
        <w:t xml:space="preserve">Avoid pathologizing identity (“You are a procrastinator”). Instead, describe behaviours (“You’ve noticed patterns of delay”).</w:t>
      </w:r>
    </w:p>
    <w:p>
      <w:pPr>
        <w:pStyle w:val="Compact"/>
        <w:numPr>
          <w:ilvl w:val="0"/>
          <w:numId w:val="1011"/>
        </w:numPr>
      </w:pPr>
      <w:r>
        <w:t xml:space="preserve">Encourage exploration of identities and roles (“How does being a parent/artist/professional shape your experience?”). Emphasise that identity is fluid.</w:t>
      </w:r>
    </w:p>
    <w:p>
      <w:pPr>
        <w:pStyle w:val="Compact"/>
        <w:numPr>
          <w:ilvl w:val="0"/>
          <w:numId w:val="1011"/>
        </w:numPr>
      </w:pPr>
      <w:r>
        <w:t xml:space="preserve">Avoid stereotypes; let users choose the language they resonate with.</w:t>
      </w:r>
    </w:p>
    <w:bookmarkEnd w:id="55"/>
    <w:bookmarkStart w:id="56" w:name="talking-about-bad-days"/>
    <w:p>
      <w:pPr>
        <w:pStyle w:val="Heading2"/>
      </w:pPr>
      <w:r>
        <w:t xml:space="preserve">Talking about bad days</w:t>
      </w:r>
    </w:p>
    <w:p>
      <w:pPr>
        <w:pStyle w:val="Compact"/>
        <w:numPr>
          <w:ilvl w:val="0"/>
          <w:numId w:val="1012"/>
        </w:numPr>
      </w:pPr>
      <w:r>
        <w:t xml:space="preserve">Normalise fluctuations: “Everyone has days that feel heavy; it’s part of being human.”</w:t>
      </w:r>
    </w:p>
    <w:p>
      <w:pPr>
        <w:pStyle w:val="Compact"/>
        <w:numPr>
          <w:ilvl w:val="0"/>
          <w:numId w:val="1012"/>
        </w:numPr>
      </w:pPr>
      <w:r>
        <w:t xml:space="preserve">Validate feelings without judgment: “It sounds like today was difficult. That’s completely understandable.”</w:t>
      </w:r>
    </w:p>
    <w:p>
      <w:pPr>
        <w:pStyle w:val="Compact"/>
        <w:numPr>
          <w:ilvl w:val="0"/>
          <w:numId w:val="1012"/>
        </w:numPr>
      </w:pPr>
      <w:r>
        <w:t xml:space="preserve">Invite self‑compassion: “How can you care for yourself today?”</w:t>
      </w:r>
    </w:p>
    <w:p>
      <w:pPr>
        <w:pStyle w:val="Compact"/>
        <w:numPr>
          <w:ilvl w:val="0"/>
          <w:numId w:val="1012"/>
        </w:numPr>
      </w:pPr>
      <w:r>
        <w:t xml:space="preserve">Suggest gentle actions like rest, hydration, or reaching out to someone. Avoid suggesting productivity on a bad day.</w:t>
      </w:r>
    </w:p>
    <w:bookmarkEnd w:id="56"/>
    <w:bookmarkStart w:id="57" w:name="talking-about-privacy"/>
    <w:p>
      <w:pPr>
        <w:pStyle w:val="Heading2"/>
      </w:pPr>
      <w:r>
        <w:t xml:space="preserve">Talking about privacy</w:t>
      </w:r>
    </w:p>
    <w:p>
      <w:pPr>
        <w:pStyle w:val="Compact"/>
        <w:numPr>
          <w:ilvl w:val="0"/>
          <w:numId w:val="1013"/>
        </w:numPr>
      </w:pPr>
      <w:r>
        <w:t xml:space="preserve">Be transparent about data practices. Clear, honest microcopy is essential for sensitive topics</w:t>
      </w:r>
      <w:hyperlink r:id="rId35">
        <w:r>
          <w:rPr>
            <w:rStyle w:val="Hyperlink"/>
          </w:rPr>
          <w:t xml:space="preserve">[15]</w:t>
        </w:r>
      </w:hyperlink>
      <w:r>
        <w:t xml:space="preserve">. Explain why data is collected, how it’s stored and protected, and how users can control or delete it</w:t>
      </w:r>
      <w:hyperlink r:id="rId36">
        <w:r>
          <w:rPr>
            <w:rStyle w:val="Hyperlink"/>
          </w:rPr>
          <w:t xml:space="preserve">[16]</w:t>
        </w:r>
      </w:hyperlink>
      <w:r>
        <w:t xml:space="preserve">.</w:t>
      </w:r>
    </w:p>
    <w:p>
      <w:pPr>
        <w:pStyle w:val="Compact"/>
        <w:numPr>
          <w:ilvl w:val="0"/>
          <w:numId w:val="1013"/>
        </w:numPr>
      </w:pPr>
      <w:r>
        <w:t xml:space="preserve">Reassure users: “Your data is private and secure. You control what you share.”</w:t>
      </w:r>
    </w:p>
    <w:p>
      <w:pPr>
        <w:pStyle w:val="Compact"/>
        <w:numPr>
          <w:ilvl w:val="0"/>
          <w:numId w:val="1013"/>
        </w:numPr>
      </w:pPr>
      <w:r>
        <w:t xml:space="preserve">Provide easy access to privacy settings and allow opt‑outs.</w:t>
      </w:r>
    </w:p>
    <w:p>
      <w:pPr>
        <w:pStyle w:val="Compact"/>
        <w:numPr>
          <w:ilvl w:val="0"/>
          <w:numId w:val="1013"/>
        </w:numPr>
      </w:pPr>
      <w:r>
        <w:t xml:space="preserve">Avoid hidden clauses or dark patterns; present crucial information prominently rather than hiding it in tooltips</w:t>
      </w:r>
      <w:hyperlink r:id="rId35">
        <w:r>
          <w:rPr>
            <w:rStyle w:val="Hyperlink"/>
          </w:rPr>
          <w:t xml:space="preserve">[15]</w:t>
        </w:r>
      </w:hyperlink>
      <w:r>
        <w:t xml:space="preserve">.</w:t>
      </w:r>
    </w:p>
    <w:bookmarkEnd w:id="57"/>
    <w:bookmarkStart w:id="58" w:name="talking-about-emergency-boundaries"/>
    <w:p>
      <w:pPr>
        <w:pStyle w:val="Heading2"/>
      </w:pPr>
      <w:r>
        <w:t xml:space="preserve">Talking about emergency boundaries</w:t>
      </w:r>
    </w:p>
    <w:p>
      <w:pPr>
        <w:pStyle w:val="Compact"/>
        <w:numPr>
          <w:ilvl w:val="0"/>
          <w:numId w:val="1014"/>
        </w:numPr>
      </w:pPr>
      <w:r>
        <w:t xml:space="preserve">Clarify that the app does not provide emergency or crisis care. Use clear warnings: “BecomingOS cannot respond to emergencies.”</w:t>
      </w:r>
    </w:p>
    <w:p>
      <w:pPr>
        <w:pStyle w:val="Compact"/>
        <w:numPr>
          <w:ilvl w:val="0"/>
          <w:numId w:val="1014"/>
        </w:numPr>
      </w:pPr>
      <w:r>
        <w:t xml:space="preserve">Provide resources and actions: “If you are in immediate danger or experiencing a crisis, please contact emergency services or a crisis hotline.”</w:t>
      </w:r>
    </w:p>
    <w:p>
      <w:pPr>
        <w:pStyle w:val="Compact"/>
        <w:numPr>
          <w:ilvl w:val="0"/>
          <w:numId w:val="1014"/>
        </w:numPr>
      </w:pPr>
      <w:r>
        <w:t xml:space="preserve">Avoid minimising or dismissing distress. Acknowledge seriousness (“It sounds like you’re dealing with heavy feelings”) while gently redirecting to appropriate support.</w:t>
      </w:r>
    </w:p>
    <w:p>
      <w:pPr>
        <w:pStyle w:val="Compact"/>
        <w:numPr>
          <w:ilvl w:val="0"/>
          <w:numId w:val="1014"/>
        </w:numPr>
      </w:pPr>
      <w:r>
        <w:t xml:space="preserve">Remind users that they have control over how they use the app and can pause or seek other support at any time.</w:t>
      </w:r>
    </w:p>
    <w:bookmarkEnd w:id="58"/>
    <w:bookmarkStart w:id="67" w:name="examples-bad-vs.-better-wording"/>
    <w:p>
      <w:pPr>
        <w:pStyle w:val="Heading2"/>
      </w:pPr>
      <w:r>
        <w:t xml:space="preserve">Examples: bad vs. better wording</w:t>
      </w:r>
    </w:p>
    <w:p>
      <w:pPr>
        <w:pStyle w:val="FirstParagraph"/>
      </w:pPr>
      <w:r>
        <w:t xml:space="preserve">The following examples illustrate unsafe or poor wording contrasted with improved BecomingOS wording.</w:t>
      </w:r>
    </w:p>
    <w:bookmarkStart w:id="59" w:name="ai-insights"/>
    <w:p>
      <w:pPr>
        <w:pStyle w:val="Heading3"/>
      </w:pPr>
      <w:r>
        <w:t xml:space="preserve">AI insights</w:t>
      </w:r>
    </w:p>
    <w:p>
      <w:pPr>
        <w:pStyle w:val="FirstParagraph"/>
      </w:pPr>
      <w:r>
        <w:rPr>
          <w:b/>
          <w:bCs/>
        </w:rPr>
        <w:t xml:space="preserve">Bad:</w:t>
      </w:r>
    </w:p>
    <w:p>
      <w:pPr>
        <w:pStyle w:val="BlockText"/>
      </w:pPr>
      <w:r>
        <w:rPr>
          <w:i/>
          <w:iCs/>
        </w:rPr>
        <w:t xml:space="preserve">“The system detected signs of depression. You need to exercise more.”</w:t>
      </w:r>
    </w:p>
    <w:p>
      <w:pPr>
        <w:pStyle w:val="Compact"/>
        <w:numPr>
          <w:ilvl w:val="0"/>
          <w:numId w:val="1015"/>
        </w:numPr>
      </w:pPr>
      <w:r>
        <w:t xml:space="preserve">Uses a diagnostic label (“depression”) and directive (“you need to”).</w:t>
      </w:r>
    </w:p>
    <w:p>
      <w:pPr>
        <w:pStyle w:val="FirstParagraph"/>
      </w:pPr>
      <w:r>
        <w:rPr>
          <w:b/>
          <w:bCs/>
        </w:rPr>
        <w:t xml:space="preserve">Better:</w:t>
      </w:r>
    </w:p>
    <w:p>
      <w:pPr>
        <w:pStyle w:val="BlockText"/>
      </w:pPr>
      <w:r>
        <w:rPr>
          <w:i/>
          <w:iCs/>
        </w:rPr>
        <w:t xml:space="preserve">“The AI noticed you’ve been logging lower mood on days with little movement. This might suggest a connection. Does this resonate with your experience?”</w:t>
      </w:r>
    </w:p>
    <w:p>
      <w:pPr>
        <w:pStyle w:val="Compact"/>
        <w:numPr>
          <w:ilvl w:val="0"/>
          <w:numId w:val="1016"/>
        </w:numPr>
      </w:pPr>
      <w:r>
        <w:t xml:space="preserve">Describes an observation, uses hedging (“might”), invites reflection and avoids diagnosis.</w:t>
      </w:r>
    </w:p>
    <w:bookmarkEnd w:id="59"/>
    <w:bookmarkStart w:id="60" w:name="questions"/>
    <w:p>
      <w:pPr>
        <w:pStyle w:val="Heading3"/>
      </w:pPr>
      <w:r>
        <w:t xml:space="preserve">Questions</w:t>
      </w:r>
    </w:p>
    <w:p>
      <w:pPr>
        <w:pStyle w:val="FirstParagraph"/>
      </w:pPr>
      <w:r>
        <w:rPr>
          <w:b/>
          <w:bCs/>
        </w:rPr>
        <w:t xml:space="preserve">Bad:</w:t>
      </w:r>
    </w:p>
    <w:p>
      <w:pPr>
        <w:pStyle w:val="BlockText"/>
      </w:pPr>
      <w:r>
        <w:rPr>
          <w:i/>
          <w:iCs/>
        </w:rPr>
        <w:t xml:space="preserve">“Why didn’t you complete your tasks this week?”</w:t>
      </w:r>
    </w:p>
    <w:p>
      <w:pPr>
        <w:pStyle w:val="Compact"/>
        <w:numPr>
          <w:ilvl w:val="0"/>
          <w:numId w:val="1017"/>
        </w:numPr>
      </w:pPr>
      <w:r>
        <w:t xml:space="preserve">Sounds accusatory and focuses on failure.</w:t>
      </w:r>
    </w:p>
    <w:p>
      <w:pPr>
        <w:pStyle w:val="FirstParagraph"/>
      </w:pPr>
      <w:r>
        <w:rPr>
          <w:b/>
          <w:bCs/>
        </w:rPr>
        <w:t xml:space="preserve">Better:</w:t>
      </w:r>
    </w:p>
    <w:p>
      <w:pPr>
        <w:pStyle w:val="BlockText"/>
      </w:pPr>
      <w:r>
        <w:rPr>
          <w:i/>
          <w:iCs/>
        </w:rPr>
        <w:t xml:space="preserve">“What got in the way of your intentions this week? What did you need instead?”</w:t>
      </w:r>
    </w:p>
    <w:p>
      <w:pPr>
        <w:pStyle w:val="Compact"/>
        <w:numPr>
          <w:ilvl w:val="0"/>
          <w:numId w:val="1018"/>
        </w:numPr>
      </w:pPr>
      <w:r>
        <w:t xml:space="preserve">Curious, non‑judgmental and acknowledges underlying needs.</w:t>
      </w:r>
    </w:p>
    <w:bookmarkEnd w:id="60"/>
    <w:bookmarkStart w:id="61" w:name="goals"/>
    <w:p>
      <w:pPr>
        <w:pStyle w:val="Heading3"/>
      </w:pPr>
      <w:r>
        <w:t xml:space="preserve">Goals</w:t>
      </w:r>
    </w:p>
    <w:p>
      <w:pPr>
        <w:pStyle w:val="FirstParagraph"/>
      </w:pPr>
      <w:r>
        <w:rPr>
          <w:b/>
          <w:bCs/>
        </w:rPr>
        <w:t xml:space="preserve">Bad:</w:t>
      </w:r>
    </w:p>
    <w:p>
      <w:pPr>
        <w:pStyle w:val="BlockText"/>
      </w:pPr>
      <w:r>
        <w:rPr>
          <w:i/>
          <w:iCs/>
        </w:rPr>
        <w:t xml:space="preserve">“Set a goal to journal daily. You must commit.”</w:t>
      </w:r>
    </w:p>
    <w:p>
      <w:pPr>
        <w:pStyle w:val="Compact"/>
        <w:numPr>
          <w:ilvl w:val="0"/>
          <w:numId w:val="1019"/>
        </w:numPr>
      </w:pPr>
      <w:r>
        <w:t xml:space="preserve">Prescriptive and controlling.</w:t>
      </w:r>
    </w:p>
    <w:p>
      <w:pPr>
        <w:pStyle w:val="FirstParagraph"/>
      </w:pPr>
      <w:r>
        <w:rPr>
          <w:b/>
          <w:bCs/>
        </w:rPr>
        <w:t xml:space="preserve">Better:</w:t>
      </w:r>
    </w:p>
    <w:p>
      <w:pPr>
        <w:pStyle w:val="BlockText"/>
      </w:pPr>
      <w:r>
        <w:rPr>
          <w:i/>
          <w:iCs/>
        </w:rPr>
        <w:t xml:space="preserve">“What kind of journaling routine feels doable for you? Perhaps start small and see how it goes.”</w:t>
      </w:r>
    </w:p>
    <w:p>
      <w:pPr>
        <w:pStyle w:val="Compact"/>
        <w:numPr>
          <w:ilvl w:val="0"/>
          <w:numId w:val="1020"/>
        </w:numPr>
      </w:pPr>
      <w:r>
        <w:t xml:space="preserve">Supports autonomy and suggests experimentation.</w:t>
      </w:r>
    </w:p>
    <w:bookmarkEnd w:id="61"/>
    <w:bookmarkStart w:id="62" w:name="avoidance"/>
    <w:p>
      <w:pPr>
        <w:pStyle w:val="Heading3"/>
      </w:pPr>
      <w:r>
        <w:t xml:space="preserve">Avoidance</w:t>
      </w:r>
    </w:p>
    <w:p>
      <w:pPr>
        <w:pStyle w:val="FirstParagraph"/>
      </w:pPr>
      <w:r>
        <w:rPr>
          <w:b/>
          <w:bCs/>
        </w:rPr>
        <w:t xml:space="preserve">Bad:</w:t>
      </w:r>
    </w:p>
    <w:p>
      <w:pPr>
        <w:pStyle w:val="BlockText"/>
      </w:pPr>
      <w:r>
        <w:rPr>
          <w:i/>
          <w:iCs/>
        </w:rPr>
        <w:t xml:space="preserve">“You’re procrastinating again. Stop avoiding your responsibilities.”</w:t>
      </w:r>
    </w:p>
    <w:p>
      <w:pPr>
        <w:pStyle w:val="Compact"/>
        <w:numPr>
          <w:ilvl w:val="0"/>
          <w:numId w:val="1021"/>
        </w:numPr>
      </w:pPr>
      <w:r>
        <w:t xml:space="preserve">Labels and shames the user.</w:t>
      </w:r>
    </w:p>
    <w:p>
      <w:pPr>
        <w:pStyle w:val="FirstParagraph"/>
      </w:pPr>
      <w:r>
        <w:rPr>
          <w:b/>
          <w:bCs/>
        </w:rPr>
        <w:t xml:space="preserve">Better:</w:t>
      </w:r>
    </w:p>
    <w:p>
      <w:pPr>
        <w:pStyle w:val="BlockText"/>
      </w:pPr>
      <w:r>
        <w:rPr>
          <w:i/>
          <w:iCs/>
        </w:rPr>
        <w:t xml:space="preserve">“It seems you didn’t feel up to journaling recently. What was happening for you? Would exploring a different time or method be helpful?”</w:t>
      </w:r>
    </w:p>
    <w:p>
      <w:pPr>
        <w:pStyle w:val="Compact"/>
        <w:numPr>
          <w:ilvl w:val="0"/>
          <w:numId w:val="1022"/>
        </w:numPr>
      </w:pPr>
      <w:r>
        <w:t xml:space="preserve">Recognises feelings and invites problem‑solving.</w:t>
      </w:r>
    </w:p>
    <w:bookmarkEnd w:id="62"/>
    <w:bookmarkStart w:id="63" w:name="needs-and-identity"/>
    <w:p>
      <w:pPr>
        <w:pStyle w:val="Heading3"/>
      </w:pPr>
      <w:r>
        <w:t xml:space="preserve">Needs and identity</w:t>
      </w:r>
    </w:p>
    <w:p>
      <w:pPr>
        <w:pStyle w:val="FirstParagraph"/>
      </w:pPr>
      <w:r>
        <w:rPr>
          <w:b/>
          <w:bCs/>
        </w:rPr>
        <w:t xml:space="preserve">Bad:</w:t>
      </w:r>
    </w:p>
    <w:p>
      <w:pPr>
        <w:pStyle w:val="BlockText"/>
      </w:pPr>
      <w:r>
        <w:rPr>
          <w:i/>
          <w:iCs/>
        </w:rPr>
        <w:t xml:space="preserve">“You need to stop being so lazy and take care of yourself.”</w:t>
      </w:r>
    </w:p>
    <w:p>
      <w:pPr>
        <w:pStyle w:val="Compact"/>
        <w:numPr>
          <w:ilvl w:val="0"/>
          <w:numId w:val="1023"/>
        </w:numPr>
      </w:pPr>
      <w:r>
        <w:t xml:space="preserve">Shaming, labels the person.</w:t>
      </w:r>
    </w:p>
    <w:p>
      <w:pPr>
        <w:pStyle w:val="FirstParagraph"/>
      </w:pPr>
      <w:r>
        <w:rPr>
          <w:b/>
          <w:bCs/>
        </w:rPr>
        <w:t xml:space="preserve">Better:</w:t>
      </w:r>
    </w:p>
    <w:p>
      <w:pPr>
        <w:pStyle w:val="BlockText"/>
      </w:pPr>
      <w:r>
        <w:rPr>
          <w:i/>
          <w:iCs/>
        </w:rPr>
        <w:t xml:space="preserve">“It sounds like you needed rest. How can you balance rest with activities that energise you?”</w:t>
      </w:r>
    </w:p>
    <w:p>
      <w:pPr>
        <w:pStyle w:val="Compact"/>
        <w:numPr>
          <w:ilvl w:val="0"/>
          <w:numId w:val="1024"/>
        </w:numPr>
      </w:pPr>
      <w:r>
        <w:t xml:space="preserve">Validates needs and invites exploration.</w:t>
      </w:r>
    </w:p>
    <w:bookmarkEnd w:id="63"/>
    <w:bookmarkStart w:id="64" w:name="bad-days"/>
    <w:p>
      <w:pPr>
        <w:pStyle w:val="Heading3"/>
      </w:pPr>
      <w:r>
        <w:t xml:space="preserve">Bad days</w:t>
      </w:r>
    </w:p>
    <w:p>
      <w:pPr>
        <w:pStyle w:val="FirstParagraph"/>
      </w:pPr>
      <w:r>
        <w:rPr>
          <w:b/>
          <w:bCs/>
        </w:rPr>
        <w:t xml:space="preserve">Bad:</w:t>
      </w:r>
    </w:p>
    <w:p>
      <w:pPr>
        <w:pStyle w:val="BlockText"/>
      </w:pPr>
      <w:r>
        <w:rPr>
          <w:i/>
          <w:iCs/>
        </w:rPr>
        <w:t xml:space="preserve">“It was a bad day. Try harder tomorrow.”</w:t>
      </w:r>
    </w:p>
    <w:p>
      <w:pPr>
        <w:pStyle w:val="Compact"/>
        <w:numPr>
          <w:ilvl w:val="0"/>
          <w:numId w:val="1025"/>
        </w:numPr>
      </w:pPr>
      <w:r>
        <w:t xml:space="preserve">Minimises difficulty and implies failure.</w:t>
      </w:r>
    </w:p>
    <w:p>
      <w:pPr>
        <w:pStyle w:val="FirstParagraph"/>
      </w:pPr>
      <w:r>
        <w:rPr>
          <w:b/>
          <w:bCs/>
        </w:rPr>
        <w:t xml:space="preserve">Better:</w:t>
      </w:r>
    </w:p>
    <w:p>
      <w:pPr>
        <w:pStyle w:val="BlockText"/>
      </w:pPr>
      <w:r>
        <w:rPr>
          <w:i/>
          <w:iCs/>
        </w:rPr>
        <w:t xml:space="preserve">“Some days are tough. What kindness can you offer yourself right now? Would reaching out to a friend or taking a break help?”</w:t>
      </w:r>
    </w:p>
    <w:p>
      <w:pPr>
        <w:pStyle w:val="Compact"/>
        <w:numPr>
          <w:ilvl w:val="0"/>
          <w:numId w:val="1026"/>
        </w:numPr>
      </w:pPr>
      <w:r>
        <w:t xml:space="preserve">Normalises and encourages self‑compassion.</w:t>
      </w:r>
    </w:p>
    <w:bookmarkEnd w:id="64"/>
    <w:bookmarkStart w:id="65" w:name="privacy-and-safety"/>
    <w:p>
      <w:pPr>
        <w:pStyle w:val="Heading3"/>
      </w:pPr>
      <w:r>
        <w:t xml:space="preserve">Privacy and safety</w:t>
      </w:r>
    </w:p>
    <w:p>
      <w:pPr>
        <w:pStyle w:val="FirstParagraph"/>
      </w:pPr>
      <w:r>
        <w:rPr>
          <w:b/>
          <w:bCs/>
        </w:rPr>
        <w:t xml:space="preserve">Bad:</w:t>
      </w:r>
    </w:p>
    <w:p>
      <w:pPr>
        <w:pStyle w:val="BlockText"/>
      </w:pPr>
      <w:r>
        <w:rPr>
          <w:i/>
          <w:iCs/>
        </w:rPr>
        <w:t xml:space="preserve">“We might share your data with partners. Read the terms.”</w:t>
      </w:r>
    </w:p>
    <w:p>
      <w:pPr>
        <w:pStyle w:val="Compact"/>
        <w:numPr>
          <w:ilvl w:val="0"/>
          <w:numId w:val="1027"/>
        </w:numPr>
      </w:pPr>
      <w:r>
        <w:t xml:space="preserve">Vague and hidden.</w:t>
      </w:r>
    </w:p>
    <w:p>
      <w:pPr>
        <w:pStyle w:val="FirstParagraph"/>
      </w:pPr>
      <w:r>
        <w:rPr>
          <w:b/>
          <w:bCs/>
        </w:rPr>
        <w:t xml:space="preserve">Better:</w:t>
      </w:r>
    </w:p>
    <w:p>
      <w:pPr>
        <w:pStyle w:val="BlockText"/>
      </w:pPr>
      <w:r>
        <w:rPr>
          <w:i/>
          <w:iCs/>
        </w:rPr>
        <w:t xml:space="preserve">“Your data is private. We don’t share it without your consent. See how we protect your information in our privacy settings.”</w:t>
      </w:r>
    </w:p>
    <w:p>
      <w:pPr>
        <w:pStyle w:val="Compact"/>
        <w:numPr>
          <w:ilvl w:val="0"/>
          <w:numId w:val="1028"/>
        </w:numPr>
      </w:pPr>
      <w:r>
        <w:t xml:space="preserve">Transparent and reassuring.</w:t>
      </w:r>
    </w:p>
    <w:bookmarkEnd w:id="65"/>
    <w:bookmarkStart w:id="66" w:name="emergency-boundaries"/>
    <w:p>
      <w:pPr>
        <w:pStyle w:val="Heading3"/>
      </w:pPr>
      <w:r>
        <w:t xml:space="preserve">Emergency boundaries</w:t>
      </w:r>
    </w:p>
    <w:p>
      <w:pPr>
        <w:pStyle w:val="FirstParagraph"/>
      </w:pPr>
      <w:r>
        <w:rPr>
          <w:b/>
          <w:bCs/>
        </w:rPr>
        <w:t xml:space="preserve">Bad:</w:t>
      </w:r>
    </w:p>
    <w:p>
      <w:pPr>
        <w:pStyle w:val="BlockText"/>
      </w:pPr>
      <w:r>
        <w:rPr>
          <w:i/>
          <w:iCs/>
        </w:rPr>
        <w:t xml:space="preserve">“If you’re in crisis, chat with our AI for support.”</w:t>
      </w:r>
    </w:p>
    <w:p>
      <w:pPr>
        <w:pStyle w:val="Compact"/>
        <w:numPr>
          <w:ilvl w:val="0"/>
          <w:numId w:val="1029"/>
        </w:numPr>
      </w:pPr>
      <w:r>
        <w:t xml:space="preserve">Misleading and risky.</w:t>
      </w:r>
    </w:p>
    <w:p>
      <w:pPr>
        <w:pStyle w:val="FirstParagraph"/>
      </w:pPr>
      <w:r>
        <w:rPr>
          <w:b/>
          <w:bCs/>
        </w:rPr>
        <w:t xml:space="preserve">Better:</w:t>
      </w:r>
    </w:p>
    <w:p>
      <w:pPr>
        <w:pStyle w:val="BlockText"/>
      </w:pPr>
      <w:r>
        <w:rPr>
          <w:i/>
          <w:iCs/>
        </w:rPr>
        <w:t xml:space="preserve">“BecomingOS isn’t a crisis service. If you’re in immediate danger or need urgent help, please contact emergency services or a crisis hotline.”</w:t>
      </w:r>
    </w:p>
    <w:p>
      <w:pPr>
        <w:pStyle w:val="Compact"/>
        <w:numPr>
          <w:ilvl w:val="0"/>
          <w:numId w:val="1030"/>
        </w:numPr>
      </w:pPr>
      <w:r>
        <w:t xml:space="preserve">Clear about limitations and directs to appropriate resources.</w:t>
      </w:r>
    </w:p>
    <w:bookmarkEnd w:id="66"/>
    <w:bookmarkEnd w:id="67"/>
    <w:bookmarkStart w:id="68" w:name="conclusion"/>
    <w:p>
      <w:pPr>
        <w:pStyle w:val="Heading2"/>
      </w:pPr>
      <w:r>
        <w:t xml:space="preserve">Conclusion</w:t>
      </w:r>
    </w:p>
    <w:p>
      <w:pPr>
        <w:pStyle w:val="FirstParagraph"/>
      </w:pPr>
      <w:r>
        <w:t xml:space="preserve">BecomingOS’s voice balances clarity, empathy and autonomy. It uses plain language, open questions and reflective listening to engage users as equal partners. It avoids clinical jargon, shaming or controlling language and instead invites choice, acknowledges feelings and supports self‑discovery. Transparency about data and boundaries builds trust, while careful microcopy and onboarding design create a premium yet warm experience. By following this guide, the app can communicate AI insights and behavioural suggestions in a way that is calming, non‑clinical, direct and autonomy‑supportive.</w:t>
      </w:r>
    </w:p>
    <w:bookmarkEnd w:id="68"/>
    <w:bookmarkEnd w:id="69"/>
    <w:bookmarkEnd w:id="70"/>
    <w:p>
      <w:r>
        <w:pict>
          <v:rect style="width:0;height:1.5pt" o:hralign="center" o:hrstd="t" o:hr="t"/>
        </w:pict>
      </w:r>
    </w:p>
    <w:bookmarkStart w:id="78" w:name="citations"/>
    <w:p>
      <w:pPr>
        <w:pStyle w:val="FirstParagraph"/>
      </w:pPr>
      <w:hyperlink r:id="rId21">
        <w:r>
          <w:rPr>
            <w:rStyle w:val="Hyperlink"/>
          </w:rPr>
          <w:t xml:space="preserve">[1]</w:t>
        </w:r>
      </w:hyperlink>
      <w:r>
        <w:t xml:space="preserve"> </w:t>
      </w:r>
      <w:hyperlink r:id="rId41">
        <w:r>
          <w:rPr>
            <w:rStyle w:val="Hyperlink"/>
          </w:rPr>
          <w:t xml:space="preserve">[18]</w:t>
        </w:r>
      </w:hyperlink>
      <w:r>
        <w:t xml:space="preserve"> </w:t>
      </w:r>
      <w:r>
        <w:t xml:space="preserve">Avoid jargon | Digital.gov</w:t>
      </w:r>
    </w:p>
    <w:p>
      <w:pPr>
        <w:pStyle w:val="BodyText"/>
      </w:pPr>
      <w:hyperlink r:id="rId71">
        <w:r>
          <w:rPr>
            <w:rStyle w:val="Hyperlink"/>
          </w:rPr>
          <w:t xml:space="preserve">https://digital.gov/guides/plain-language/principles/avoid-jargon</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r>
        <w:t xml:space="preserve">Plain Language</w:t>
      </w:r>
    </w:p>
    <w:p>
      <w:pPr>
        <w:pStyle w:val="BodyText"/>
      </w:pPr>
      <w:hyperlink r:id="rId72">
        <w:r>
          <w:rPr>
            <w:rStyle w:val="Hyperlink"/>
          </w:rPr>
          <w:t xml:space="preserve">https://www.opm.gov/information-management/plain-language/</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43">
        <w:r>
          <w:rPr>
            <w:rStyle w:val="Hyperlink"/>
          </w:rPr>
          <w:t xml:space="preserve">[19]</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hyperlink r:id="rId45">
        <w:r>
          <w:rPr>
            <w:rStyle w:val="Hyperlink"/>
          </w:rPr>
          <w:t xml:space="preserve">[22]</w:t>
        </w:r>
      </w:hyperlink>
      <w:r>
        <w:t xml:space="preserve"> </w:t>
      </w:r>
      <w:hyperlink r:id="rId46">
        <w:r>
          <w:rPr>
            <w:rStyle w:val="Hyperlink"/>
          </w:rPr>
          <w:t xml:space="preserve">[23]</w:t>
        </w:r>
      </w:hyperlink>
      <w:r>
        <w:t xml:space="preserve"> </w:t>
      </w:r>
      <w:r>
        <w:t xml:space="preserve">Motivational Interviewing: What It Is &amp; Core Techniques</w:t>
      </w:r>
    </w:p>
    <w:p>
      <w:pPr>
        <w:pStyle w:val="BodyText"/>
      </w:pPr>
      <w:hyperlink r:id="rId73">
        <w:r>
          <w:rPr>
            <w:rStyle w:val="Hyperlink"/>
          </w:rPr>
          <w:t xml:space="preserve">https://citizenadvocates.net/blog/motivational-interviewing/</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40">
        <w:r>
          <w:rPr>
            <w:rStyle w:val="Hyperlink"/>
          </w:rPr>
          <w:t xml:space="preserve">[17]</w:t>
        </w:r>
      </w:hyperlink>
      <w:r>
        <w:t xml:space="preserve"> </w:t>
      </w:r>
      <w:r>
        <w:t xml:space="preserve">Supporting Autonomy; Language &amp; Feelings – thehealthybehaviourchangeblog</w:t>
      </w:r>
    </w:p>
    <w:p>
      <w:pPr>
        <w:pStyle w:val="BodyText"/>
      </w:pPr>
      <w:hyperlink r:id="rId74">
        <w:r>
          <w:rPr>
            <w:rStyle w:val="Hyperlink"/>
          </w:rPr>
          <w:t xml:space="preserve">https://thehealthybehaviourchangeblog.wordpress.com/2016/09/30/supporting-autonomy-language-feelings/</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r>
        <w:t xml:space="preserve">Nonviolent Communication - by Marshall Rosenberg | Derek Sivers</w:t>
      </w:r>
    </w:p>
    <w:p>
      <w:pPr>
        <w:pStyle w:val="BodyText"/>
      </w:pPr>
      <w:hyperlink r:id="rId75">
        <w:r>
          <w:rPr>
            <w:rStyle w:val="Hyperlink"/>
          </w:rPr>
          <w:t xml:space="preserve">https://sive.rs/book/NonviolentCommunication</w:t>
        </w:r>
      </w:hyperlink>
    </w:p>
    <w:p>
      <w:pPr>
        <w:pStyle w:val="BodyText"/>
      </w:pPr>
      <w:hyperlink r:id="rId31">
        <w:r>
          <w:rPr>
            <w:rStyle w:val="Hyperlink"/>
          </w:rPr>
          <w:t xml:space="preserve">[11]</w:t>
        </w:r>
      </w:hyperlink>
      <w:r>
        <w:t xml:space="preserve"> </w:t>
      </w:r>
      <w:r>
        <w:t xml:space="preserve">Self-Coaching Model: 56 Questions &amp; Tools (+ CTFAR Model)</w:t>
      </w:r>
    </w:p>
    <w:p>
      <w:pPr>
        <w:pStyle w:val="BodyText"/>
      </w:pPr>
      <w:hyperlink r:id="rId76">
        <w:r>
          <w:rPr>
            <w:rStyle w:val="Hyperlink"/>
          </w:rPr>
          <w:t xml:space="preserve">https://positivepsychology.com/self-coaching-model/</w:t>
        </w:r>
      </w:hyperlink>
    </w:p>
    <w:p>
      <w:pPr>
        <w:pStyle w:val="BodyText"/>
      </w:pP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r>
        <w:t xml:space="preserve">How To Improve Your Microcopy: UX Writing Tips For Non-UX Writers — Smashing Magazine</w:t>
      </w:r>
    </w:p>
    <w:p>
      <w:pPr>
        <w:pStyle w:val="BodyText"/>
      </w:pPr>
      <w:hyperlink r:id="rId77">
        <w:r>
          <w:rPr>
            <w:rStyle w:val="Hyperlink"/>
          </w:rPr>
          <w:t xml:space="preserve">https://www.smashingmagazine.com/2024/06/how-improve-microcopy-ux-writing-tips-non-ux-writers/</w:t>
        </w:r>
      </w:hyperlink>
    </w:p>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3" Target="https://citizenadvocates.net/blog/motivational-interviewing/" TargetMode="External" /><Relationship Type="http://schemas.openxmlformats.org/officeDocument/2006/relationships/hyperlink" Id="rId45" Target="https://citizenadvocates.net/blog/motivational-interviewing/#:~:text=" TargetMode="External" /><Relationship Type="http://schemas.openxmlformats.org/officeDocument/2006/relationships/hyperlink" Id="rId44" Target="https://citizenadvocates.net/blog/motivational-interviewing/#:~:text=Affirmations%20acknowledge%20a%20person%E2%80%99s%20strengths%2C,existing%20abilities%20that%20support%20change" TargetMode="External" /><Relationship Type="http://schemas.openxmlformats.org/officeDocument/2006/relationships/hyperlink" Id="rId24" Target="https://citizenadvocates.net/blog/motivational-interviewing/#:~:text=Motivational%20interviewing%20uses%20four%20foundational,invite%20meaningful%20conversation%20about%20change" TargetMode="External" /><Relationship Type="http://schemas.openxmlformats.org/officeDocument/2006/relationships/hyperlink" Id="rId43" Target="https://citizenadvocates.net/blog/motivational-interviewing/#:~:text=Open,what%20truly%20matters%20to%20them" TargetMode="External" /><Relationship Type="http://schemas.openxmlformats.org/officeDocument/2006/relationships/hyperlink" Id="rId46" Target="https://citizenadvocates.net/blog/motivational-interviewing/#:~:text=Summaries%20tie%20together%20several%20parts,highlight%20ambivalence%20or%20emerging%20motivation" TargetMode="External" /><Relationship Type="http://schemas.openxmlformats.org/officeDocument/2006/relationships/hyperlink" Id="rId25" Target="https://citizenadvocates.net/blog/motivational-interviewing/#:~:text=What%20Is%20Motivational%20Interviewing%3F" TargetMode="External" /><Relationship Type="http://schemas.openxmlformats.org/officeDocument/2006/relationships/hyperlink" Id="rId71" Target="https://digital.gov/guides/plain-language/principles/avoid-jargon" TargetMode="External" /><Relationship Type="http://schemas.openxmlformats.org/officeDocument/2006/relationships/hyperlink" Id="rId21" Target="https://digital.gov/guides/plain-language/principles/avoid-jargon#:~:text=Avoid%20jargon" TargetMode="External" /><Relationship Type="http://schemas.openxmlformats.org/officeDocument/2006/relationships/hyperlink" Id="rId41" Target="https://digital.gov/guides/plain-language/principles/avoid-jargon#:~:text=When%20you%20have%20no%20way,sure%20to%20define%20your%20terms" TargetMode="External" /><Relationship Type="http://schemas.openxmlformats.org/officeDocument/2006/relationships/hyperlink" Id="rId76" Target="https://positivepsychology.com/self-coaching-model/" TargetMode="External" /><Relationship Type="http://schemas.openxmlformats.org/officeDocument/2006/relationships/hyperlink" Id="rId31" Target="https://positivepsychology.com/self-coaching-model/#:~:text=The%20GROW%20model" TargetMode="External" /><Relationship Type="http://schemas.openxmlformats.org/officeDocument/2006/relationships/hyperlink" Id="rId75" Target="https://sive.rs/book/NonviolentCommunication" TargetMode="External" /><Relationship Type="http://schemas.openxmlformats.org/officeDocument/2006/relationships/hyperlink" Id="rId28" Target="https://sive.rs/book/NonviolentCommunication#:~:text=Clarify%20what%20you%20observe%2C%20feel%2C,rather%20than%20diagnosing%20and%20judging" TargetMode="External" /><Relationship Type="http://schemas.openxmlformats.org/officeDocument/2006/relationships/hyperlink" Id="rId30" Target="https://sive.rs/book/NonviolentCommunication#:~:text=Don%E2%80%99t%20mix%20together%20what%20someone,resist%20whatever%20you%20are%20saying" TargetMode="External" /><Relationship Type="http://schemas.openxmlformats.org/officeDocument/2006/relationships/hyperlink" Id="rId29" Target="https://sive.rs/book/NonviolentCommunication#:~:text=Replace%20language%20that%20implies%20lack,with%20language%20that%20acknowledges%20choice" TargetMode="External" /><Relationship Type="http://schemas.openxmlformats.org/officeDocument/2006/relationships/hyperlink" Id="rId74" Target="https://thehealthybehaviourchangeblog.wordpress.com/2016/09/30/supporting-autonomy-language-feelings/" TargetMode="External" /><Relationship Type="http://schemas.openxmlformats.org/officeDocument/2006/relationships/hyperlink" Id="rId27" Target="https://thehealthybehaviourchangeblog.wordpress.com/2016/09/30/supporting-autonomy-language-feelings/#:~:text=Non,associated%20with%20extrinsically%20motivated%20responses" TargetMode="External" /><Relationship Type="http://schemas.openxmlformats.org/officeDocument/2006/relationships/hyperlink" Id="rId26" Target="https://thehealthybehaviourchangeblog.wordpress.com/2016/09/30/supporting-autonomy-language-feelings/#:~:text=Non,to%20feel%20the%20stress%20and" TargetMode="External" /><Relationship Type="http://schemas.openxmlformats.org/officeDocument/2006/relationships/hyperlink" Id="rId40" Target="https://thehealthybehaviourchangeblog.wordpress.com/2016/09/30/supporting-autonomy-language-feelings/#:~:text=reactance,in%20a%20task%20or%20not" TargetMode="External" /><Relationship Type="http://schemas.openxmlformats.org/officeDocument/2006/relationships/hyperlink" Id="rId72" Target="https://www.opm.gov/information-management/plain-language/" TargetMode="External" /><Relationship Type="http://schemas.openxmlformats.org/officeDocument/2006/relationships/hyperlink" Id="rId23" Target="https://www.opm.gov/information-management/plain-language/#:~:text=,express%20complex%20or%20highly%20technical" TargetMode="External" /><Relationship Type="http://schemas.openxmlformats.org/officeDocument/2006/relationships/hyperlink" Id="rId22" Target="https://www.opm.gov/information-management/plain-language/#:~:text=,you%20are%20trying%20to%20convey" TargetMode="External" /><Relationship Type="http://schemas.openxmlformats.org/officeDocument/2006/relationships/hyperlink" Id="rId77" Target="https://www.smashingmagazine.com/2024/06/how-improve-microcopy-ux-writing-tips-non-ux-writers/" TargetMode="External" /><Relationship Type="http://schemas.openxmlformats.org/officeDocument/2006/relationships/hyperlink" Id="rId35" Target="https://www.smashingmagazine.com/2024/06/how-improve-microcopy-ux-writing-tips-non-ux-writers/#:~:text=Be%20Especially%20Transparent%20And%20Clear,It%20Comes%20To%20Sensitive%20Topics" TargetMode="External" /><Relationship Type="http://schemas.openxmlformats.org/officeDocument/2006/relationships/hyperlink" Id="rId33" Target="https://www.smashingmagazine.com/2024/06/how-improve-microcopy-ux-writing-tips-non-ux-writers/#:~:text=For%20example%2C%20if%20your%20screen,resonates%20with%20their%20thoughts%20and" TargetMode="External" /><Relationship Type="http://schemas.openxmlformats.org/officeDocument/2006/relationships/hyperlink" Id="rId36" Target="https://www.smashingmagazine.com/2024/06/how-improve-microcopy-ux-writing-tips-non-ux-writers/#:~:text=So%2C%20when%20creating%20microcopy%20on,sensitive%20topics" TargetMode="External" /><Relationship Type="http://schemas.openxmlformats.org/officeDocument/2006/relationships/hyperlink" Id="rId34" Target="https://www.smashingmagazine.com/2024/06/how-improve-microcopy-ux-writing-tips-non-ux-writers/#:~:text=The%20button%20label%20should%20reflect,user%20clicks%20or%20taps%20it" TargetMode="External" /><Relationship Type="http://schemas.openxmlformats.org/officeDocument/2006/relationships/hyperlink" Id="rId32" Target="https://www.smashingmagazine.com/2024/06/how-improve-microcopy-ux-writing-tips-non-ux-writers/#:~:text=When%20crafting%20microcopy%2C%20think%20of,product%20and%20your%20user%2C%20where" TargetMode="External" /></Relationships>
</file>

<file path=word/_rels/footnotes.xml.rels><?xml version="1.0" encoding="UTF-8"?><Relationships xmlns="http://schemas.openxmlformats.org/package/2006/relationships"><Relationship Type="http://schemas.openxmlformats.org/officeDocument/2006/relationships/hyperlink" Id="rId73" Target="https://citizenadvocates.net/blog/motivational-interviewing/" TargetMode="External" /><Relationship Type="http://schemas.openxmlformats.org/officeDocument/2006/relationships/hyperlink" Id="rId45" Target="https://citizenadvocates.net/blog/motivational-interviewing/#:~:text=" TargetMode="External" /><Relationship Type="http://schemas.openxmlformats.org/officeDocument/2006/relationships/hyperlink" Id="rId44" Target="https://citizenadvocates.net/blog/motivational-interviewing/#:~:text=Affirmations%20acknowledge%20a%20person%E2%80%99s%20strengths%2C,existing%20abilities%20that%20support%20change" TargetMode="External" /><Relationship Type="http://schemas.openxmlformats.org/officeDocument/2006/relationships/hyperlink" Id="rId24" Target="https://citizenadvocates.net/blog/motivational-interviewing/#:~:text=Motivational%20interviewing%20uses%20four%20foundational,invite%20meaningful%20conversation%20about%20change" TargetMode="External" /><Relationship Type="http://schemas.openxmlformats.org/officeDocument/2006/relationships/hyperlink" Id="rId43" Target="https://citizenadvocates.net/blog/motivational-interviewing/#:~:text=Open,what%20truly%20matters%20to%20them" TargetMode="External" /><Relationship Type="http://schemas.openxmlformats.org/officeDocument/2006/relationships/hyperlink" Id="rId46" Target="https://citizenadvocates.net/blog/motivational-interviewing/#:~:text=Summaries%20tie%20together%20several%20parts,highlight%20ambivalence%20or%20emerging%20motivation" TargetMode="External" /><Relationship Type="http://schemas.openxmlformats.org/officeDocument/2006/relationships/hyperlink" Id="rId25" Target="https://citizenadvocates.net/blog/motivational-interviewing/#:~:text=What%20Is%20Motivational%20Interviewing%3F" TargetMode="External" /><Relationship Type="http://schemas.openxmlformats.org/officeDocument/2006/relationships/hyperlink" Id="rId71" Target="https://digital.gov/guides/plain-language/principles/avoid-jargon" TargetMode="External" /><Relationship Type="http://schemas.openxmlformats.org/officeDocument/2006/relationships/hyperlink" Id="rId21" Target="https://digital.gov/guides/plain-language/principles/avoid-jargon#:~:text=Avoid%20jargon" TargetMode="External" /><Relationship Type="http://schemas.openxmlformats.org/officeDocument/2006/relationships/hyperlink" Id="rId41" Target="https://digital.gov/guides/plain-language/principles/avoid-jargon#:~:text=When%20you%20have%20no%20way,sure%20to%20define%20your%20terms" TargetMode="External" /><Relationship Type="http://schemas.openxmlformats.org/officeDocument/2006/relationships/hyperlink" Id="rId76" Target="https://positivepsychology.com/self-coaching-model/" TargetMode="External" /><Relationship Type="http://schemas.openxmlformats.org/officeDocument/2006/relationships/hyperlink" Id="rId31" Target="https://positivepsychology.com/self-coaching-model/#:~:text=The%20GROW%20model" TargetMode="External" /><Relationship Type="http://schemas.openxmlformats.org/officeDocument/2006/relationships/hyperlink" Id="rId75" Target="https://sive.rs/book/NonviolentCommunication" TargetMode="External" /><Relationship Type="http://schemas.openxmlformats.org/officeDocument/2006/relationships/hyperlink" Id="rId28" Target="https://sive.rs/book/NonviolentCommunication#:~:text=Clarify%20what%20you%20observe%2C%20feel%2C,rather%20than%20diagnosing%20and%20judging" TargetMode="External" /><Relationship Type="http://schemas.openxmlformats.org/officeDocument/2006/relationships/hyperlink" Id="rId30" Target="https://sive.rs/book/NonviolentCommunication#:~:text=Don%E2%80%99t%20mix%20together%20what%20someone,resist%20whatever%20you%20are%20saying" TargetMode="External" /><Relationship Type="http://schemas.openxmlformats.org/officeDocument/2006/relationships/hyperlink" Id="rId29" Target="https://sive.rs/book/NonviolentCommunication#:~:text=Replace%20language%20that%20implies%20lack,with%20language%20that%20acknowledges%20choice" TargetMode="External" /><Relationship Type="http://schemas.openxmlformats.org/officeDocument/2006/relationships/hyperlink" Id="rId74" Target="https://thehealthybehaviourchangeblog.wordpress.com/2016/09/30/supporting-autonomy-language-feelings/" TargetMode="External" /><Relationship Type="http://schemas.openxmlformats.org/officeDocument/2006/relationships/hyperlink" Id="rId27" Target="https://thehealthybehaviourchangeblog.wordpress.com/2016/09/30/supporting-autonomy-language-feelings/#:~:text=Non,associated%20with%20extrinsically%20motivated%20responses" TargetMode="External" /><Relationship Type="http://schemas.openxmlformats.org/officeDocument/2006/relationships/hyperlink" Id="rId26" Target="https://thehealthybehaviourchangeblog.wordpress.com/2016/09/30/supporting-autonomy-language-feelings/#:~:text=Non,to%20feel%20the%20stress%20and" TargetMode="External" /><Relationship Type="http://schemas.openxmlformats.org/officeDocument/2006/relationships/hyperlink" Id="rId40" Target="https://thehealthybehaviourchangeblog.wordpress.com/2016/09/30/supporting-autonomy-language-feelings/#:~:text=reactance,in%20a%20task%20or%20not" TargetMode="External" /><Relationship Type="http://schemas.openxmlformats.org/officeDocument/2006/relationships/hyperlink" Id="rId72" Target="https://www.opm.gov/information-management/plain-language/" TargetMode="External" /><Relationship Type="http://schemas.openxmlformats.org/officeDocument/2006/relationships/hyperlink" Id="rId23" Target="https://www.opm.gov/information-management/plain-language/#:~:text=,express%20complex%20or%20highly%20technical" TargetMode="External" /><Relationship Type="http://schemas.openxmlformats.org/officeDocument/2006/relationships/hyperlink" Id="rId22" Target="https://www.opm.gov/information-management/plain-language/#:~:text=,you%20are%20trying%20to%20convey" TargetMode="External" /><Relationship Type="http://schemas.openxmlformats.org/officeDocument/2006/relationships/hyperlink" Id="rId77" Target="https://www.smashingmagazine.com/2024/06/how-improve-microcopy-ux-writing-tips-non-ux-writers/" TargetMode="External" /><Relationship Type="http://schemas.openxmlformats.org/officeDocument/2006/relationships/hyperlink" Id="rId35" Target="https://www.smashingmagazine.com/2024/06/how-improve-microcopy-ux-writing-tips-non-ux-writers/#:~:text=Be%20Especially%20Transparent%20And%20Clear,It%20Comes%20To%20Sensitive%20Topics" TargetMode="External" /><Relationship Type="http://schemas.openxmlformats.org/officeDocument/2006/relationships/hyperlink" Id="rId33" Target="https://www.smashingmagazine.com/2024/06/how-improve-microcopy-ux-writing-tips-non-ux-writers/#:~:text=For%20example%2C%20if%20your%20screen,resonates%20with%20their%20thoughts%20and" TargetMode="External" /><Relationship Type="http://schemas.openxmlformats.org/officeDocument/2006/relationships/hyperlink" Id="rId36" Target="https://www.smashingmagazine.com/2024/06/how-improve-microcopy-ux-writing-tips-non-ux-writers/#:~:text=So%2C%20when%20creating%20microcopy%20on,sensitive%20topics" TargetMode="External" /><Relationship Type="http://schemas.openxmlformats.org/officeDocument/2006/relationships/hyperlink" Id="rId34" Target="https://www.smashingmagazine.com/2024/06/how-improve-microcopy-ux-writing-tips-non-ux-writers/#:~:text=The%20button%20label%20should%20reflect,user%20clicks%20or%20taps%20it" TargetMode="External" /><Relationship Type="http://schemas.openxmlformats.org/officeDocument/2006/relationships/hyperlink" Id="rId32" Target="https://www.smashingmagazine.com/2024/06/how-improve-microcopy-ux-writing-tips-non-ux-writers/#:~:text=When%20crafting%20microcopy%2C%20think%20of,product%20and%20your%20user%2C%20whe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2026-05-14T12:29:52Z</dcterms:created>
  <dcterms:modified xsi:type="dcterms:W3CDTF">2026-05-14T12:29:52Z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