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6995023afcd5ce1691ebb6660403d4acadc2740"/>
    <w:p>
      <w:pPr>
        <w:pStyle w:val="Heading1"/>
      </w:pPr>
      <w:r>
        <w:t xml:space="preserve">Behaviour Change Evidence Map for BecomingOS</w:t>
      </w:r>
    </w:p>
    <w:bookmarkStart w:id="21" w:name="introduction"/>
    <w:p>
      <w:pPr>
        <w:pStyle w:val="Heading2"/>
      </w:pPr>
      <w:r>
        <w:t xml:space="preserve">Introduction</w:t>
      </w:r>
    </w:p>
    <w:p>
      <w:pPr>
        <w:pStyle w:val="FirstParagraph"/>
      </w:pPr>
      <w:r>
        <w:t xml:space="preserve">BecomingOS wants to help people improve their behaviour without crossing into therapy or diagnosis. The current product concept uses modules such as</w:t>
      </w:r>
      <w:r>
        <w:t xml:space="preserve"> </w:t>
      </w:r>
      <w:r>
        <w:rPr>
          <w:b/>
          <w:bCs/>
        </w:rPr>
        <w:t xml:space="preserve">values, morals, pleasure, pain, desire, needs, identity, positive patterns, negative patterns, goals, calendar alignment, review loops</w:t>
      </w:r>
      <w:r>
        <w:t xml:space="preserve"> </w:t>
      </w:r>
      <w:r>
        <w:t xml:space="preserve">and</w:t>
      </w:r>
      <w:r>
        <w:t xml:space="preserve"> </w:t>
      </w:r>
      <w:r>
        <w:rPr>
          <w:b/>
          <w:bCs/>
        </w:rPr>
        <w:t xml:space="preserve">decision support</w:t>
      </w:r>
      <w:r>
        <w:t xml:space="preserve">.</w:t>
      </w:r>
      <w:r>
        <w:br/>
      </w:r>
      <w:r>
        <w:t xml:space="preserve">To assess whether this structure is sound, we reviewed evidence from behavioural science.</w:t>
      </w:r>
    </w:p>
    <w:p>
      <w:pPr>
        <w:pStyle w:val="BodyText"/>
      </w:pPr>
      <w:r>
        <w:t xml:space="preserve">The following sections summarise major behaviour‑change frameworks and theories, showing what each says, why it matters for the product, the modules it supports, suggested questions and AI inferences, risks of misuse, and whether it belongs in a minimum viable product (MVP). Evidence has been drawn from peer‑reviewed literature, systematic reviews and authoritative texts up to May 2026.</w:t>
      </w:r>
    </w:p>
    <w:bookmarkEnd w:id="21"/>
    <w:bookmarkStart w:id="47" w:name="evidence-map-by-framework"/>
    <w:p>
      <w:pPr>
        <w:pStyle w:val="Heading2"/>
      </w:pPr>
      <w:r>
        <w:t xml:space="preserve">1 Evidence map by framework</w:t>
      </w:r>
    </w:p>
    <w:bookmarkStart w:id="23" w:name="X7b1d73b63471a5b9be4d72258490d1e1dd2ac3f"/>
    <w:p>
      <w:pPr>
        <w:pStyle w:val="Heading3"/>
      </w:pPr>
      <w:r>
        <w:t xml:space="preserve">1.1 COM‑B model (Capability–Opportunity–Motivation → Behaviour)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Evidence &amp; insights</w:t>
            </w:r>
          </w:p>
        </w:tc>
        <w:tc>
          <w:tcPr/>
          <w:p>
            <w:pPr>
              <w:pStyle w:val="Compact"/>
            </w:pPr>
            <w:r>
              <w:t xml:space="preserve">Implications for BecomingOS</w:t>
            </w:r>
          </w:p>
        </w:tc>
      </w:tr>
      <w:tr>
        <w:tc>
          <w:tcPr/>
          <w:p>
            <w:pPr>
              <w:pStyle w:val="Compact"/>
            </w:pPr>
            <w:r>
              <w:rPr>
                <w:b/>
                <w:bCs/>
              </w:rPr>
              <w:t xml:space="preserve">What the model says (evidence)</w:t>
            </w:r>
          </w:p>
        </w:tc>
        <w:tc>
          <w:tcPr/>
          <w:p>
            <w:pPr>
              <w:pStyle w:val="Compact"/>
            </w:pPr>
            <w:r>
              <w:t xml:space="preserve">The COM‑B model proposes that behaviour (B) results from the interaction of three conditions:</w:t>
            </w:r>
            <w:r>
              <w:t xml:space="preserve"> </w:t>
            </w:r>
            <w:r>
              <w:rPr>
                <w:b/>
                <w:bCs/>
              </w:rPr>
              <w:t xml:space="preserve">capability, opportunity</w:t>
            </w:r>
            <w:r>
              <w:t xml:space="preserve"> </w:t>
            </w:r>
            <w:r>
              <w:t xml:space="preserve">and</w:t>
            </w:r>
            <w:r>
              <w:t xml:space="preserve"> </w:t>
            </w:r>
            <w:r>
              <w:rPr>
                <w:b/>
                <w:bCs/>
              </w:rPr>
              <w:t xml:space="preserve">motivation</w:t>
            </w:r>
            <w:hyperlink r:id="rId22">
              <w:r>
                <w:rPr>
                  <w:rStyle w:val="Hyperlink"/>
                </w:rPr>
                <w:t xml:space="preserve">[1]</w:t>
              </w:r>
            </w:hyperlink>
            <w:r>
              <w:t xml:space="preserve">. Capability includes physical and psychological capacity (knowledge and skills). Opportunity includes physical and social factors outside the individual that enable or prompt behaviour</w:t>
            </w:r>
            <w:hyperlink r:id="rId22">
              <w:r>
                <w:rPr>
                  <w:rStyle w:val="Hyperlink"/>
                </w:rPr>
                <w:t xml:space="preserve">[1]</w:t>
              </w:r>
            </w:hyperlink>
            <w:r>
              <w:t xml:space="preserve">. Motivation encompasses both reflective processes (conscious evaluations and plans) and automatic processes (emotions, habits, impulses)</w:t>
            </w:r>
            <w:hyperlink r:id="rId22">
              <w:r>
                <w:rPr>
                  <w:rStyle w:val="Hyperlink"/>
                </w:rPr>
                <w:t xml:space="preserve">[1]</w:t>
              </w:r>
            </w:hyperlink>
            <w:r>
              <w:t xml:space="preserve">. The COM‑B system emphasises that interventions may need to change one or more components; the components interact (e.g., opportunity influences motivation)</w:t>
            </w:r>
            <w:hyperlink r:id="rId22">
              <w:r>
                <w:rPr>
                  <w:rStyle w:val="Hyperlink"/>
                </w:rPr>
                <w:t xml:space="preserve">[1]</w:t>
              </w:r>
            </w:hyperlink>
            <w:r>
              <w:t xml:space="preserve">.</w:t>
            </w:r>
          </w:p>
        </w:tc>
        <w:tc>
          <w:tcPr/>
          <w:p>
            <w:pPr>
              <w:pStyle w:val="Compact"/>
            </w:pPr>
            <w:r>
              <w:rPr>
                <w:b/>
                <w:bCs/>
              </w:rPr>
              <w:t xml:space="preserve">Why it matters</w:t>
            </w:r>
            <w:r>
              <w:t xml:space="preserve">: COM‑B provides a parsimonious, evidence‑based framework for identifying barriers to behaviour and selecting interventions. It expands beyond willpower to include skills and context.</w:t>
            </w:r>
            <w:r>
              <w:t xml:space="preserve"> </w:t>
            </w:r>
            <w:r>
              <w:rPr>
                <w:b/>
                <w:bCs/>
              </w:rPr>
              <w:t xml:space="preserve">Modules supported</w:t>
            </w:r>
            <w:r>
              <w:t xml:space="preserve">: values/identity (motivation), positive/negative patterns (automatic motivation), goals and calendar alignment (reflective motivation), decision support (identifying capability/opportunity gaps).</w:t>
            </w:r>
          </w:p>
        </w:tc>
      </w:tr>
      <w:tr>
        <w:tc>
          <w:tcPr/>
          <w:p>
            <w:pPr>
              <w:pStyle w:val="Compact"/>
            </w:pPr>
            <w:r>
              <w:rPr>
                <w:b/>
                <w:bCs/>
              </w:rPr>
              <w:t xml:space="preserve">Suggested questions</w:t>
            </w:r>
          </w:p>
        </w:tc>
        <w:tc>
          <w:tcPr/>
          <w:p>
            <w:pPr>
              <w:pStyle w:val="Compact"/>
            </w:pPr>
            <w:r>
              <w:rPr>
                <w:i/>
                <w:iCs/>
              </w:rPr>
              <w:t xml:space="preserve">Capability</w:t>
            </w:r>
            <w:r>
              <w:t xml:space="preserve">: “What knowledge or skills would help you perform this behaviour?” / “Are there environmental or social factors that make this easier or harder?”</w:t>
            </w:r>
          </w:p>
        </w:tc>
        <w:tc>
          <w:tcPr/>
          <w:p>
            <w:pPr>
              <w:pStyle w:val="Compact"/>
            </w:pPr>
          </w:p>
        </w:tc>
      </w:tr>
      <w:tr>
        <w:tc>
          <w:tcPr/>
          <w:p>
            <w:pPr>
              <w:pStyle w:val="Compact"/>
            </w:pPr>
            <w:r>
              <w:rPr>
                <w:i/>
                <w:iCs/>
              </w:rPr>
              <w:t xml:space="preserve">Opportunity</w:t>
            </w:r>
            <w:r>
              <w:t xml:space="preserve">: “Do you have access to tools or supportive people for this?” / “What in your environment prompts or prevents you?”</w:t>
            </w:r>
          </w:p>
        </w:tc>
        <w:tc>
          <w:tcPr/>
          <w:p>
            <w:pPr>
              <w:pStyle w:val="Compact"/>
            </w:pPr>
          </w:p>
        </w:tc>
        <w:tc>
          <w:tcPr/>
          <w:p>
            <w:pPr>
              <w:pStyle w:val="Compact"/>
            </w:pPr>
          </w:p>
        </w:tc>
      </w:tr>
      <w:tr>
        <w:tc>
          <w:tcPr/>
          <w:p>
            <w:pPr>
              <w:pStyle w:val="Compact"/>
            </w:pPr>
            <w:r>
              <w:rPr>
                <w:i/>
                <w:iCs/>
              </w:rPr>
              <w:t xml:space="preserve">Motivation</w:t>
            </w:r>
            <w:r>
              <w:t xml:space="preserve">: “What benefits do you expect from this change?” / “How do you feel when you think about doing it?”</w:t>
            </w:r>
          </w:p>
        </w:tc>
        <w:tc>
          <w:tcPr/>
          <w:p>
            <w:pPr>
              <w:pStyle w:val="Compact"/>
            </w:pPr>
          </w:p>
        </w:tc>
        <w:tc>
          <w:tcPr/>
          <w:p>
            <w:pPr>
              <w:pStyle w:val="Compact"/>
            </w:pPr>
          </w:p>
        </w:tc>
      </w:tr>
      <w:tr>
        <w:tc>
          <w:tcPr/>
          <w:p>
            <w:pPr>
              <w:pStyle w:val="Compact"/>
            </w:pPr>
            <w:r>
              <w:rPr>
                <w:b/>
                <w:bCs/>
              </w:rPr>
              <w:t xml:space="preserve">AI should infer</w:t>
            </w:r>
          </w:p>
        </w:tc>
        <w:tc>
          <w:tcPr/>
          <w:p>
            <w:pPr>
              <w:pStyle w:val="Compact"/>
            </w:pPr>
            <w:r>
              <w:t xml:space="preserve">Identify whether the user lacks knowledge/skills (capability) versus facing external barriers (opportunity) versus lacking reflective or automatic motivation. Generate practical suggestions (skill‑building, environmental restructuring, reminders) rather than assuming lack of willpower.</w:t>
            </w:r>
          </w:p>
        </w:tc>
        <w:tc>
          <w:tcPr/>
          <w:p>
            <w:pPr>
              <w:pStyle w:val="Compact"/>
            </w:pPr>
          </w:p>
        </w:tc>
      </w:tr>
      <w:tr>
        <w:tc>
          <w:tcPr/>
          <w:p>
            <w:pPr>
              <w:pStyle w:val="Compact"/>
            </w:pPr>
            <w:r>
              <w:rPr>
                <w:b/>
                <w:bCs/>
              </w:rPr>
              <w:t xml:space="preserve">AI should not infer</w:t>
            </w:r>
          </w:p>
        </w:tc>
        <w:tc>
          <w:tcPr/>
          <w:p>
            <w:pPr>
              <w:pStyle w:val="Compact"/>
            </w:pPr>
            <w:r>
              <w:t xml:space="preserve">Do</w:t>
            </w:r>
            <w:r>
              <w:t xml:space="preserve"> </w:t>
            </w:r>
            <w:r>
              <w:rPr>
                <w:b/>
                <w:bCs/>
              </w:rPr>
              <w:t xml:space="preserve">not</w:t>
            </w:r>
            <w:r>
              <w:t xml:space="preserve"> </w:t>
            </w:r>
            <w:r>
              <w:t xml:space="preserve">diagnose psychological or psychiatric disorders. Avoid assuming that lack of behaviour implies laziness or moral failing. Avoid inferring sensitive personal data (health conditions, mental health) beyond what is explicitly shared.</w:t>
            </w:r>
          </w:p>
        </w:tc>
        <w:tc>
          <w:tcPr/>
          <w:p>
            <w:pPr>
              <w:pStyle w:val="Compact"/>
            </w:pPr>
          </w:p>
        </w:tc>
      </w:tr>
      <w:tr>
        <w:tc>
          <w:tcPr/>
          <w:p>
            <w:pPr>
              <w:pStyle w:val="Compact"/>
            </w:pPr>
            <w:r>
              <w:rPr>
                <w:b/>
                <w:bCs/>
              </w:rPr>
              <w:t xml:space="preserve">Risks of misuse</w:t>
            </w:r>
          </w:p>
        </w:tc>
        <w:tc>
          <w:tcPr/>
          <w:p>
            <w:pPr>
              <w:pStyle w:val="Compact"/>
            </w:pPr>
            <w:r>
              <w:t xml:space="preserve">Overemphasising motivation could lead to blaming the user for failures. Failing to consider opportunity might cause unrealistic plans. Misinterpreting capability as intelligence.</w:t>
            </w:r>
          </w:p>
        </w:tc>
        <w:tc>
          <w:tcPr/>
          <w:p>
            <w:pPr>
              <w:pStyle w:val="Compact"/>
            </w:pPr>
          </w:p>
        </w:tc>
      </w:tr>
      <w:tr>
        <w:tc>
          <w:tcPr/>
          <w:p>
            <w:pPr>
              <w:pStyle w:val="Compact"/>
            </w:pPr>
            <w:r>
              <w:rPr>
                <w:b/>
                <w:bCs/>
              </w:rPr>
              <w:t xml:space="preserve">Include in MVP?</w:t>
            </w:r>
          </w:p>
        </w:tc>
        <w:tc>
          <w:tcPr/>
          <w:p>
            <w:pPr>
              <w:pStyle w:val="Compact"/>
            </w:pPr>
            <w:r>
              <w:rPr>
                <w:b/>
                <w:bCs/>
              </w:rPr>
              <w:t xml:space="preserve">Yes.</w:t>
            </w:r>
            <w:r>
              <w:t xml:space="preserve"> </w:t>
            </w:r>
            <w:r>
              <w:t xml:space="preserve">COM‑B is a strong foundation for mapping user barriers and tailoring support. Modules could be reorganised around capability, opportunity and motivation rather than abstract categories like “morals” or “pain.”</w:t>
            </w:r>
          </w:p>
        </w:tc>
        <w:tc>
          <w:tcPr/>
          <w:p>
            <w:pPr>
              <w:pStyle w:val="Compact"/>
            </w:pPr>
          </w:p>
        </w:tc>
      </w:tr>
    </w:tbl>
    <w:bookmarkEnd w:id="23"/>
    <w:bookmarkStart w:id="25" w:name="behaviour-change-wheel-bcw"/>
    <w:p>
      <w:pPr>
        <w:pStyle w:val="Heading3"/>
      </w:pPr>
      <w:r>
        <w:t xml:space="preserve">1.2 Behaviour Change Wheel (BCW)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Evidence &amp; insights</w:t>
            </w:r>
          </w:p>
        </w:tc>
        <w:tc>
          <w:tcPr/>
          <w:p>
            <w:pPr>
              <w:pStyle w:val="Compact"/>
            </w:pPr>
            <w:r>
              <w:t xml:space="preserve">Implications for BecomingOS</w:t>
            </w:r>
          </w:p>
        </w:tc>
      </w:tr>
      <w:tr>
        <w:tc>
          <w:tcPr/>
          <w:p>
            <w:pPr>
              <w:pStyle w:val="Compact"/>
            </w:pPr>
            <w:r>
              <w:rPr>
                <w:b/>
                <w:bCs/>
              </w:rPr>
              <w:t xml:space="preserve">What it says</w:t>
            </w:r>
          </w:p>
        </w:tc>
        <w:tc>
          <w:tcPr/>
          <w:p>
            <w:pPr>
              <w:pStyle w:val="Compact"/>
            </w:pPr>
            <w:r>
              <w:t xml:space="preserve">The Behaviour Change Wheel (BCW) builds on COM‑B. At its centre is the COM‑B system; around it are nine</w:t>
            </w:r>
            <w:r>
              <w:t xml:space="preserve"> </w:t>
            </w:r>
            <w:r>
              <w:rPr>
                <w:b/>
                <w:bCs/>
              </w:rPr>
              <w:t xml:space="preserve">intervention functions</w:t>
            </w:r>
            <w:r>
              <w:t xml:space="preserve">—education, persuasion, incentivisation, coercion, training, restriction, environmental restructuring, modelling, and enablement—and seven</w:t>
            </w:r>
            <w:r>
              <w:t xml:space="preserve"> </w:t>
            </w:r>
            <w:r>
              <w:rPr>
                <w:b/>
                <w:bCs/>
              </w:rPr>
              <w:t xml:space="preserve">policy categories</w:t>
            </w:r>
            <w:r>
              <w:t xml:space="preserve"> </w:t>
            </w:r>
            <w:r>
              <w:t xml:space="preserve">(e.g., communication, guidelines, legislation, service provision)</w:t>
            </w:r>
            <w:hyperlink r:id="rId24">
              <w:r>
                <w:rPr>
                  <w:rStyle w:val="Hyperlink"/>
                </w:rPr>
                <w:t xml:space="preserve">[2]</w:t>
              </w:r>
            </w:hyperlink>
            <w:r>
              <w:t xml:space="preserve">. The framework links behavioural determinants to intervention functions to guide policy design. Education and training improve capability; persuasion and incentivisation target motivation; environmental restructuring addresses opportunity</w:t>
            </w:r>
            <w:hyperlink r:id="rId24">
              <w:r>
                <w:rPr>
                  <w:rStyle w:val="Hyperlink"/>
                </w:rPr>
                <w:t xml:space="preserve">[2]</w:t>
              </w:r>
            </w:hyperlink>
            <w:r>
              <w:t xml:space="preserve">.</w:t>
            </w:r>
          </w:p>
        </w:tc>
        <w:tc>
          <w:tcPr/>
          <w:p>
            <w:pPr>
              <w:pStyle w:val="Compact"/>
            </w:pPr>
            <w:r>
              <w:rPr>
                <w:b/>
                <w:bCs/>
              </w:rPr>
              <w:t xml:space="preserve">Why it matters</w:t>
            </w:r>
            <w:r>
              <w:t xml:space="preserve">: The BCW encourages a systematic choice of techniques. Many apps focus on persuasion/incentivisation; BCW reminds designers to consider training and environmental restructuring.</w:t>
            </w:r>
            <w:r>
              <w:t xml:space="preserve"> </w:t>
            </w:r>
            <w:r>
              <w:rPr>
                <w:b/>
                <w:bCs/>
              </w:rPr>
              <w:t xml:space="preserve">Modules supported</w:t>
            </w:r>
            <w:r>
              <w:t xml:space="preserve">: decision support (selecting suitable interventions), positive/negative patterns (identify which intervention functions match them).</w:t>
            </w:r>
          </w:p>
        </w:tc>
      </w:tr>
      <w:tr>
        <w:tc>
          <w:tcPr/>
          <w:p>
            <w:pPr>
              <w:pStyle w:val="Compact"/>
            </w:pPr>
            <w:r>
              <w:rPr>
                <w:b/>
                <w:bCs/>
              </w:rPr>
              <w:t xml:space="preserve">Suggested questions</w:t>
            </w:r>
          </w:p>
        </w:tc>
        <w:tc>
          <w:tcPr/>
          <w:p>
            <w:pPr>
              <w:pStyle w:val="Compact"/>
            </w:pPr>
            <w:r>
              <w:t xml:space="preserve">“Would learning more about this topic help?” (education), “What would make this enjoyable?” (incentivisation), “Are there role models you could emulate?” (modelling), “What environmental changes could support you?” (restructuring).</w:t>
            </w:r>
          </w:p>
        </w:tc>
        <w:tc>
          <w:tcPr/>
          <w:p>
            <w:pPr>
              <w:pStyle w:val="Compact"/>
            </w:pPr>
          </w:p>
        </w:tc>
      </w:tr>
      <w:tr>
        <w:tc>
          <w:tcPr/>
          <w:p>
            <w:pPr>
              <w:pStyle w:val="Compact"/>
            </w:pPr>
            <w:r>
              <w:rPr>
                <w:b/>
                <w:bCs/>
              </w:rPr>
              <w:t xml:space="preserve">AI should infer</w:t>
            </w:r>
          </w:p>
        </w:tc>
        <w:tc>
          <w:tcPr/>
          <w:p>
            <w:pPr>
              <w:pStyle w:val="Compact"/>
            </w:pPr>
            <w:r>
              <w:t xml:space="preserve">Choose intervention functions appropriate to the user’s COM‑B profile. Offer options (e.g., educational content, habit‑tracking, social modelling) but let the user decide.</w:t>
            </w:r>
          </w:p>
        </w:tc>
        <w:tc>
          <w:tcPr/>
          <w:p>
            <w:pPr>
              <w:pStyle w:val="Compact"/>
            </w:pPr>
          </w:p>
        </w:tc>
      </w:tr>
      <w:tr>
        <w:tc>
          <w:tcPr/>
          <w:p>
            <w:pPr>
              <w:pStyle w:val="Compact"/>
            </w:pPr>
            <w:r>
              <w:rPr>
                <w:b/>
                <w:bCs/>
              </w:rPr>
              <w:t xml:space="preserve">AI should not infer</w:t>
            </w:r>
          </w:p>
        </w:tc>
        <w:tc>
          <w:tcPr/>
          <w:p>
            <w:pPr>
              <w:pStyle w:val="Compact"/>
            </w:pPr>
            <w:r>
              <w:t xml:space="preserve">Avoid coercive approaches (punishments, shaming), especially given the product’s non‑therapeutic scope.</w:t>
            </w:r>
          </w:p>
        </w:tc>
        <w:tc>
          <w:tcPr/>
          <w:p>
            <w:pPr>
              <w:pStyle w:val="Compact"/>
            </w:pPr>
          </w:p>
        </w:tc>
      </w:tr>
      <w:tr>
        <w:tc>
          <w:tcPr/>
          <w:p>
            <w:pPr>
              <w:pStyle w:val="Compact"/>
            </w:pPr>
            <w:r>
              <w:rPr>
                <w:b/>
                <w:bCs/>
              </w:rPr>
              <w:t xml:space="preserve">Risks of misuse</w:t>
            </w:r>
          </w:p>
        </w:tc>
        <w:tc>
          <w:tcPr/>
          <w:p>
            <w:pPr>
              <w:pStyle w:val="Compact"/>
            </w:pPr>
            <w:r>
              <w:t xml:space="preserve">If not implemented carefully, interventions like coercion or restriction can infringe autonomy or trigger harmful emotions.</w:t>
            </w:r>
          </w:p>
        </w:tc>
        <w:tc>
          <w:tcPr/>
          <w:p>
            <w:pPr>
              <w:pStyle w:val="Compact"/>
            </w:pPr>
          </w:p>
        </w:tc>
      </w:tr>
      <w:tr>
        <w:tc>
          <w:tcPr/>
          <w:p>
            <w:pPr>
              <w:pStyle w:val="Compact"/>
            </w:pPr>
            <w:r>
              <w:rPr>
                <w:b/>
                <w:bCs/>
              </w:rPr>
              <w:t xml:space="preserve">Include in MVP?</w:t>
            </w:r>
          </w:p>
        </w:tc>
        <w:tc>
          <w:tcPr/>
          <w:p>
            <w:pPr>
              <w:pStyle w:val="Compact"/>
            </w:pPr>
            <w:r>
              <w:rPr>
                <w:b/>
                <w:bCs/>
              </w:rPr>
              <w:t xml:space="preserve">Yes.</w:t>
            </w:r>
            <w:r>
              <w:t xml:space="preserve"> </w:t>
            </w:r>
            <w:r>
              <w:t xml:space="preserve">Use a simplified version focused on education, training, environmental restructuring, incentivisation and modelling. Avoid coercion/restriction for ethical reasons.</w:t>
            </w:r>
          </w:p>
        </w:tc>
        <w:tc>
          <w:tcPr/>
          <w:p>
            <w:pPr>
              <w:pStyle w:val="Compact"/>
            </w:pPr>
          </w:p>
        </w:tc>
      </w:tr>
    </w:tbl>
    <w:bookmarkEnd w:id="25"/>
    <w:bookmarkStart w:id="27" w:name="implementation-intentions-ifthen-plans"/>
    <w:p>
      <w:pPr>
        <w:pStyle w:val="Heading3"/>
      </w:pPr>
      <w:r>
        <w:t xml:space="preserve">1.3 Implementation intentions (If‑then plans)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Evidence &amp; insights</w:t>
            </w:r>
          </w:p>
        </w:tc>
        <w:tc>
          <w:tcPr/>
          <w:p>
            <w:pPr>
              <w:pStyle w:val="Compact"/>
            </w:pPr>
            <w:r>
              <w:t xml:space="preserve">Implications for BecomingOS</w:t>
            </w:r>
          </w:p>
        </w:tc>
      </w:tr>
      <w:tr>
        <w:tc>
          <w:tcPr/>
          <w:p>
            <w:pPr>
              <w:pStyle w:val="Compact"/>
            </w:pPr>
            <w:r>
              <w:rPr>
                <w:b/>
                <w:bCs/>
              </w:rPr>
              <w:t xml:space="preserve">What it says</w:t>
            </w:r>
          </w:p>
        </w:tc>
        <w:tc>
          <w:tcPr/>
          <w:p>
            <w:pPr>
              <w:pStyle w:val="Compact"/>
            </w:pPr>
            <w:r>
              <w:t xml:space="preserve">Implementation intentions are</w:t>
            </w:r>
            <w:r>
              <w:t xml:space="preserve"> </w:t>
            </w:r>
            <w:r>
              <w:rPr>
                <w:b/>
                <w:bCs/>
              </w:rPr>
              <w:t xml:space="preserve">“if‑then” plans</w:t>
            </w:r>
            <w:r>
              <w:t xml:space="preserve"> </w:t>
            </w:r>
            <w:r>
              <w:t xml:space="preserve">linking situational cues to goal‑directed actions (“If situation Y arises, then I will do behaviour Z to achieve goal X”)</w:t>
            </w:r>
            <w:hyperlink r:id="rId26">
              <w:r>
                <w:rPr>
                  <w:rStyle w:val="Hyperlink"/>
                </w:rPr>
                <w:t xml:space="preserve">[3]</w:t>
              </w:r>
            </w:hyperlink>
            <w:r>
              <w:t xml:space="preserve">. They are formed to</w:t>
            </w:r>
            <w:r>
              <w:t xml:space="preserve"> </w:t>
            </w:r>
            <w:r>
              <w:rPr>
                <w:b/>
                <w:bCs/>
              </w:rPr>
              <w:t xml:space="preserve">translate goals into action</w:t>
            </w:r>
            <w:r>
              <w:t xml:space="preserve"> </w:t>
            </w:r>
            <w:r>
              <w:t xml:space="preserve">by specifying when, where and how behaviour occurs</w:t>
            </w:r>
            <w:hyperlink r:id="rId26">
              <w:r>
                <w:rPr>
                  <w:rStyle w:val="Hyperlink"/>
                </w:rPr>
                <w:t xml:space="preserve">[3]</w:t>
              </w:r>
            </w:hyperlink>
            <w:r>
              <w:t xml:space="preserve">. Evidence shows that forming implementation intentions helps people remember to act, seize opportunities, and overcome self‑regulatory problems; it increases rates of goal attainment and is particularly effective when goal striving is challenging</w:t>
            </w:r>
            <w:hyperlink r:id="rId26">
              <w:r>
                <w:rPr>
                  <w:rStyle w:val="Hyperlink"/>
                </w:rPr>
                <w:t xml:space="preserve">[3]</w:t>
              </w:r>
            </w:hyperlink>
            <w:r>
              <w:t xml:space="preserve">.</w:t>
            </w:r>
          </w:p>
        </w:tc>
        <w:tc>
          <w:tcPr/>
          <w:p>
            <w:pPr>
              <w:pStyle w:val="Compact"/>
            </w:pPr>
          </w:p>
        </w:tc>
      </w:tr>
      <w:tr>
        <w:tc>
          <w:tcPr/>
          <w:p>
            <w:pPr>
              <w:pStyle w:val="Compact"/>
            </w:pPr>
            <w:r>
              <w:rPr>
                <w:b/>
                <w:bCs/>
              </w:rPr>
              <w:t xml:space="preserve">Why it matters</w:t>
            </w:r>
          </w:p>
        </w:tc>
        <w:tc>
          <w:tcPr/>
          <w:p>
            <w:pPr>
              <w:pStyle w:val="Compact"/>
            </w:pPr>
            <w:r>
              <w:t xml:space="preserve">Implementation intentions support goal‑setting and habit formation by automating responses to cues. They can be integrated into the</w:t>
            </w:r>
            <w:r>
              <w:t xml:space="preserve"> </w:t>
            </w:r>
            <w:r>
              <w:rPr>
                <w:b/>
                <w:bCs/>
              </w:rPr>
              <w:t xml:space="preserve">calendar alignment</w:t>
            </w:r>
            <w:r>
              <w:t xml:space="preserve"> </w:t>
            </w:r>
            <w:r>
              <w:t xml:space="preserve">and</w:t>
            </w:r>
            <w:r>
              <w:t xml:space="preserve"> </w:t>
            </w:r>
            <w:r>
              <w:rPr>
                <w:b/>
                <w:bCs/>
              </w:rPr>
              <w:t xml:space="preserve">review loop</w:t>
            </w:r>
            <w:r>
              <w:t xml:space="preserve"> </w:t>
            </w:r>
            <w:r>
              <w:t xml:space="preserve">modules by prompting users to specify triggers and actions.</w:t>
            </w:r>
          </w:p>
        </w:tc>
        <w:tc>
          <w:tcPr/>
          <w:p>
            <w:pPr>
              <w:pStyle w:val="Compact"/>
            </w:pPr>
          </w:p>
        </w:tc>
      </w:tr>
      <w:tr>
        <w:tc>
          <w:tcPr/>
          <w:p>
            <w:pPr>
              <w:pStyle w:val="Compact"/>
            </w:pPr>
            <w:r>
              <w:rPr>
                <w:b/>
                <w:bCs/>
              </w:rPr>
              <w:t xml:space="preserve">Suggested questions</w:t>
            </w:r>
          </w:p>
        </w:tc>
        <w:tc>
          <w:tcPr/>
          <w:p>
            <w:pPr>
              <w:pStyle w:val="Compact"/>
            </w:pPr>
            <w:r>
              <w:t xml:space="preserve">“When you encounter [specific situation], what action will you take?”; “What cue can remind you to act?”; “How will you handle barriers?”</w:t>
            </w:r>
          </w:p>
        </w:tc>
        <w:tc>
          <w:tcPr/>
          <w:p>
            <w:pPr>
              <w:pStyle w:val="Compact"/>
            </w:pPr>
          </w:p>
        </w:tc>
      </w:tr>
      <w:tr>
        <w:tc>
          <w:tcPr/>
          <w:p>
            <w:pPr>
              <w:pStyle w:val="Compact"/>
            </w:pPr>
            <w:r>
              <w:rPr>
                <w:b/>
                <w:bCs/>
              </w:rPr>
              <w:t xml:space="preserve">AI should infer</w:t>
            </w:r>
          </w:p>
        </w:tc>
        <w:tc>
          <w:tcPr/>
          <w:p>
            <w:pPr>
              <w:pStyle w:val="Compact"/>
            </w:pPr>
            <w:r>
              <w:t xml:space="preserve">Encourage users to create clear, specific if‑then statements. Identify critical cues (time, location, preceding behaviour) and link them to the desired action.</w:t>
            </w:r>
          </w:p>
        </w:tc>
        <w:tc>
          <w:tcPr/>
          <w:p>
            <w:pPr>
              <w:pStyle w:val="Compact"/>
            </w:pPr>
          </w:p>
        </w:tc>
      </w:tr>
      <w:tr>
        <w:tc>
          <w:tcPr/>
          <w:p>
            <w:pPr>
              <w:pStyle w:val="Compact"/>
            </w:pPr>
            <w:r>
              <w:rPr>
                <w:b/>
                <w:bCs/>
              </w:rPr>
              <w:t xml:space="preserve">AI should not infer</w:t>
            </w:r>
          </w:p>
        </w:tc>
        <w:tc>
          <w:tcPr/>
          <w:p>
            <w:pPr>
              <w:pStyle w:val="Compact"/>
            </w:pPr>
            <w:r>
              <w:t xml:space="preserve">Do not draft plans that require clinical decisions (e.g., medical treatments). Avoid assuming the user’s environment; ask instead.</w:t>
            </w:r>
          </w:p>
        </w:tc>
        <w:tc>
          <w:tcPr/>
          <w:p>
            <w:pPr>
              <w:pStyle w:val="Compact"/>
            </w:pPr>
          </w:p>
        </w:tc>
      </w:tr>
      <w:tr>
        <w:tc>
          <w:tcPr/>
          <w:p>
            <w:pPr>
              <w:pStyle w:val="Compact"/>
            </w:pPr>
            <w:r>
              <w:rPr>
                <w:b/>
                <w:bCs/>
              </w:rPr>
              <w:t xml:space="preserve">Risks of misuse</w:t>
            </w:r>
          </w:p>
        </w:tc>
        <w:tc>
          <w:tcPr/>
          <w:p>
            <w:pPr>
              <w:pStyle w:val="Compact"/>
            </w:pPr>
            <w:r>
              <w:t xml:space="preserve">Overly rigid plans may feel controlling. If cues are poorly chosen, they could trigger negative behaviours.</w:t>
            </w:r>
          </w:p>
        </w:tc>
        <w:tc>
          <w:tcPr/>
          <w:p>
            <w:pPr>
              <w:pStyle w:val="Compact"/>
            </w:pPr>
          </w:p>
        </w:tc>
      </w:tr>
      <w:tr>
        <w:tc>
          <w:tcPr/>
          <w:p>
            <w:pPr>
              <w:pStyle w:val="Compact"/>
            </w:pPr>
            <w:r>
              <w:rPr>
                <w:b/>
                <w:bCs/>
              </w:rPr>
              <w:t xml:space="preserve">Include in MVP?</w:t>
            </w:r>
          </w:p>
        </w:tc>
        <w:tc>
          <w:tcPr/>
          <w:p>
            <w:pPr>
              <w:pStyle w:val="Compact"/>
            </w:pPr>
            <w:r>
              <w:rPr>
                <w:b/>
                <w:bCs/>
              </w:rPr>
              <w:t xml:space="preserve">Yes.</w:t>
            </w:r>
            <w:r>
              <w:t xml:space="preserve"> </w:t>
            </w:r>
            <w:r>
              <w:t xml:space="preserve">Incorporate guided if‑then planning for goals, ensuring the user maintains autonomy.</w:t>
            </w:r>
          </w:p>
        </w:tc>
        <w:tc>
          <w:tcPr/>
          <w:p>
            <w:pPr>
              <w:pStyle w:val="Compact"/>
            </w:pPr>
          </w:p>
        </w:tc>
      </w:tr>
    </w:tbl>
    <w:bookmarkEnd w:id="27"/>
    <w:bookmarkStart w:id="29" w:name="habit-formation"/>
    <w:p>
      <w:pPr>
        <w:pStyle w:val="Heading3"/>
      </w:pPr>
      <w:r>
        <w:t xml:space="preserve">1.4 Habit formation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Evidence &amp; insights</w:t>
            </w:r>
          </w:p>
        </w:tc>
        <w:tc>
          <w:tcPr/>
          <w:p>
            <w:pPr>
              <w:pStyle w:val="Compact"/>
            </w:pPr>
            <w:r>
              <w:t xml:space="preserve">Implications for BecomingOS</w:t>
            </w:r>
          </w:p>
        </w:tc>
      </w:tr>
      <w:tr>
        <w:tc>
          <w:tcPr/>
          <w:p>
            <w:pPr>
              <w:pStyle w:val="Compact"/>
            </w:pPr>
            <w:r>
              <w:rPr>
                <w:b/>
                <w:bCs/>
              </w:rPr>
              <w:t xml:space="preserve">What it says</w:t>
            </w:r>
          </w:p>
        </w:tc>
        <w:tc>
          <w:tcPr/>
          <w:p>
            <w:pPr>
              <w:pStyle w:val="Compact"/>
            </w:pPr>
            <w:r>
              <w:t xml:space="preserve">Habit formation requires repeated behaviours in stable contexts until the behaviour becomes automatic. A 2024 systematic review found that</w:t>
            </w:r>
            <w:r>
              <w:t xml:space="preserve"> </w:t>
            </w:r>
            <w:r>
              <w:rPr>
                <w:b/>
                <w:bCs/>
              </w:rPr>
              <w:t xml:space="preserve">median habit formation times ranged from 59–66 days and mean times from 106–154 days, with substantial individual variability (4–335 days)</w:t>
            </w:r>
            <w:hyperlink r:id="rId28">
              <w:r>
                <w:rPr>
                  <w:rStyle w:val="Hyperlink"/>
                </w:rPr>
                <w:t xml:space="preserve">[4]</w:t>
              </w:r>
            </w:hyperlink>
            <w:r>
              <w:t xml:space="preserve">. Determinants influencing habit strength include</w:t>
            </w:r>
            <w:r>
              <w:t xml:space="preserve"> </w:t>
            </w:r>
            <w:r>
              <w:rPr>
                <w:b/>
                <w:bCs/>
              </w:rPr>
              <w:t xml:space="preserve">frequency and timing of practice, the type of habit, enjoyment, specific implementation plans, consistent context, and daily routines</w:t>
            </w:r>
            <w:hyperlink r:id="rId28">
              <w:r>
                <w:rPr>
                  <w:rStyle w:val="Hyperlink"/>
                </w:rPr>
                <w:t xml:space="preserve">[5]</w:t>
              </w:r>
            </w:hyperlink>
            <w:r>
              <w:t xml:space="preserve">. Interventions that combine behaviour repetition with supportive context and reward produce stronger habits. The myth that habits form in 21 days is not supported</w:t>
            </w:r>
            <w:hyperlink r:id="rId28">
              <w:r>
                <w:rPr>
                  <w:rStyle w:val="Hyperlink"/>
                </w:rPr>
                <w:t xml:space="preserve">[4]</w:t>
              </w:r>
            </w:hyperlink>
            <w:r>
              <w:t xml:space="preserve">.</w:t>
            </w:r>
          </w:p>
        </w:tc>
        <w:tc>
          <w:tcPr/>
          <w:p>
            <w:pPr>
              <w:pStyle w:val="Compact"/>
            </w:pPr>
          </w:p>
        </w:tc>
      </w:tr>
      <w:tr>
        <w:tc>
          <w:tcPr/>
          <w:p>
            <w:pPr>
              <w:pStyle w:val="Compact"/>
            </w:pPr>
            <w:r>
              <w:rPr>
                <w:b/>
                <w:bCs/>
              </w:rPr>
              <w:t xml:space="preserve">Why it matters</w:t>
            </w:r>
          </w:p>
        </w:tc>
        <w:tc>
          <w:tcPr/>
          <w:p>
            <w:pPr>
              <w:pStyle w:val="Compact"/>
            </w:pPr>
            <w:r>
              <w:t xml:space="preserve">Understanding the variability and determinants of habit formation helps the product set realistic expectations. Modules like</w:t>
            </w:r>
            <w:r>
              <w:t xml:space="preserve"> </w:t>
            </w:r>
            <w:r>
              <w:rPr>
                <w:b/>
                <w:bCs/>
              </w:rPr>
              <w:t xml:space="preserve">positive patterns</w:t>
            </w:r>
            <w:r>
              <w:t xml:space="preserve">,</w:t>
            </w:r>
            <w:r>
              <w:t xml:space="preserve"> </w:t>
            </w:r>
            <w:r>
              <w:rPr>
                <w:b/>
                <w:bCs/>
              </w:rPr>
              <w:t xml:space="preserve">calendar alignment</w:t>
            </w:r>
            <w:r>
              <w:t xml:space="preserve"> </w:t>
            </w:r>
            <w:r>
              <w:t xml:space="preserve">and</w:t>
            </w:r>
            <w:r>
              <w:t xml:space="preserve"> </w:t>
            </w:r>
            <w:r>
              <w:rPr>
                <w:b/>
                <w:bCs/>
              </w:rPr>
              <w:t xml:space="preserve">review loops</w:t>
            </w:r>
            <w:r>
              <w:t xml:space="preserve"> </w:t>
            </w:r>
            <w:r>
              <w:t xml:space="preserve">can support daily repetition and context stability. The product should highlight that habits require sustained practice over months.</w:t>
            </w:r>
          </w:p>
        </w:tc>
        <w:tc>
          <w:tcPr/>
          <w:p>
            <w:pPr>
              <w:pStyle w:val="Compact"/>
            </w:pPr>
          </w:p>
        </w:tc>
      </w:tr>
      <w:tr>
        <w:tc>
          <w:tcPr/>
          <w:p>
            <w:pPr>
              <w:pStyle w:val="Compact"/>
            </w:pPr>
            <w:r>
              <w:rPr>
                <w:b/>
                <w:bCs/>
              </w:rPr>
              <w:t xml:space="preserve">Suggested questions</w:t>
            </w:r>
          </w:p>
        </w:tc>
        <w:tc>
          <w:tcPr/>
          <w:p>
            <w:pPr>
              <w:pStyle w:val="Compact"/>
            </w:pPr>
            <w:r>
              <w:t xml:space="preserve">“How often will you perform this activity?”; “Where and when will you do it to make it easier to remember?”; “How can you make the behaviour enjoyable?”; “What will you do if you miss a day?”</w:t>
            </w:r>
          </w:p>
        </w:tc>
        <w:tc>
          <w:tcPr/>
          <w:p>
            <w:pPr>
              <w:pStyle w:val="Compact"/>
            </w:pPr>
          </w:p>
        </w:tc>
      </w:tr>
      <w:tr>
        <w:tc>
          <w:tcPr/>
          <w:p>
            <w:pPr>
              <w:pStyle w:val="Compact"/>
            </w:pPr>
            <w:r>
              <w:rPr>
                <w:b/>
                <w:bCs/>
              </w:rPr>
              <w:t xml:space="preserve">AI should infer</w:t>
            </w:r>
          </w:p>
        </w:tc>
        <w:tc>
          <w:tcPr/>
          <w:p>
            <w:pPr>
              <w:pStyle w:val="Compact"/>
            </w:pPr>
            <w:r>
              <w:t xml:space="preserve">Suggest small, regular practices, encourage consistent contexts, and monitor progress over at least 2 months. Recognise differences between simple and complex habits.</w:t>
            </w:r>
          </w:p>
        </w:tc>
        <w:tc>
          <w:tcPr/>
          <w:p>
            <w:pPr>
              <w:pStyle w:val="Compact"/>
            </w:pPr>
          </w:p>
        </w:tc>
      </w:tr>
      <w:tr>
        <w:tc>
          <w:tcPr/>
          <w:p>
            <w:pPr>
              <w:pStyle w:val="Compact"/>
            </w:pPr>
            <w:r>
              <w:rPr>
                <w:b/>
                <w:bCs/>
              </w:rPr>
              <w:t xml:space="preserve">AI should not infer</w:t>
            </w:r>
          </w:p>
        </w:tc>
        <w:tc>
          <w:tcPr/>
          <w:p>
            <w:pPr>
              <w:pStyle w:val="Compact"/>
            </w:pPr>
            <w:r>
              <w:t xml:space="preserve">Do not guarantee specific time frames (e.g., “21 days”) for habit formation; avoid implying failure if habits take longer.</w:t>
            </w:r>
          </w:p>
        </w:tc>
        <w:tc>
          <w:tcPr/>
          <w:p>
            <w:pPr>
              <w:pStyle w:val="Compact"/>
            </w:pPr>
          </w:p>
        </w:tc>
      </w:tr>
      <w:tr>
        <w:tc>
          <w:tcPr/>
          <w:p>
            <w:pPr>
              <w:pStyle w:val="Compact"/>
            </w:pPr>
            <w:r>
              <w:rPr>
                <w:b/>
                <w:bCs/>
              </w:rPr>
              <w:t xml:space="preserve">Risks of misuse</w:t>
            </w:r>
          </w:p>
        </w:tc>
        <w:tc>
          <w:tcPr/>
          <w:p>
            <w:pPr>
              <w:pStyle w:val="Compact"/>
            </w:pPr>
            <w:r>
              <w:t xml:space="preserve">Unrealistic expectations can lead to discouragement. Overemphasis on streaks may cause guilt or obsessive tracking.</w:t>
            </w:r>
          </w:p>
        </w:tc>
        <w:tc>
          <w:tcPr/>
          <w:p>
            <w:pPr>
              <w:pStyle w:val="Compact"/>
            </w:pPr>
          </w:p>
        </w:tc>
      </w:tr>
      <w:tr>
        <w:tc>
          <w:tcPr/>
          <w:p>
            <w:pPr>
              <w:pStyle w:val="Compact"/>
            </w:pPr>
            <w:r>
              <w:rPr>
                <w:b/>
                <w:bCs/>
              </w:rPr>
              <w:t xml:space="preserve">Include in MVP?</w:t>
            </w:r>
          </w:p>
        </w:tc>
        <w:tc>
          <w:tcPr/>
          <w:p>
            <w:pPr>
              <w:pStyle w:val="Compact"/>
            </w:pPr>
            <w:r>
              <w:rPr>
                <w:b/>
                <w:bCs/>
              </w:rPr>
              <w:t xml:space="preserve">Yes.</w:t>
            </w:r>
            <w:r>
              <w:t xml:space="preserve"> </w:t>
            </w:r>
            <w:r>
              <w:t xml:space="preserve">Provide habit‑tracking features, emphasising gradual progress and flexibility.</w:t>
            </w:r>
          </w:p>
        </w:tc>
        <w:tc>
          <w:tcPr/>
          <w:p>
            <w:pPr>
              <w:pStyle w:val="Compact"/>
            </w:pPr>
          </w:p>
        </w:tc>
      </w:tr>
    </w:tbl>
    <w:bookmarkEnd w:id="29"/>
    <w:bookmarkStart w:id="32" w:name="goalsetting-theory-locke-latham"/>
    <w:p>
      <w:pPr>
        <w:pStyle w:val="Heading3"/>
      </w:pPr>
      <w:r>
        <w:t xml:space="preserve">1.5 Goal‑setting theory (Locke &amp; Latham)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Evidence &amp; insights</w:t>
            </w:r>
          </w:p>
        </w:tc>
        <w:tc>
          <w:tcPr/>
          <w:p>
            <w:pPr>
              <w:pStyle w:val="Compact"/>
            </w:pPr>
            <w:r>
              <w:t xml:space="preserve">Implications for BecomingOS</w:t>
            </w:r>
          </w:p>
        </w:tc>
      </w:tr>
      <w:tr>
        <w:tc>
          <w:tcPr/>
          <w:p>
            <w:pPr>
              <w:pStyle w:val="Compact"/>
            </w:pPr>
            <w:r>
              <w:rPr>
                <w:b/>
                <w:bCs/>
              </w:rPr>
              <w:t xml:space="preserve">What it says</w:t>
            </w:r>
          </w:p>
        </w:tc>
        <w:tc>
          <w:tcPr/>
          <w:p>
            <w:pPr>
              <w:pStyle w:val="Compact"/>
            </w:pPr>
            <w:r>
              <w:t xml:space="preserve">Goal‑setting theory holds that</w:t>
            </w:r>
            <w:r>
              <w:t xml:space="preserve"> </w:t>
            </w:r>
            <w:r>
              <w:rPr>
                <w:b/>
                <w:bCs/>
              </w:rPr>
              <w:t xml:space="preserve">specific, difficult but attainable goals lead to higher performance than vague or easy goals</w:t>
            </w:r>
            <w:hyperlink r:id="rId30">
              <w:r>
                <w:rPr>
                  <w:rStyle w:val="Hyperlink"/>
                </w:rPr>
                <w:t xml:space="preserve">[6]</w:t>
              </w:r>
            </w:hyperlink>
            <w:r>
              <w:t xml:space="preserve">. Goals affect performance by four mechanisms: they</w:t>
            </w:r>
            <w:r>
              <w:t xml:space="preserve"> </w:t>
            </w:r>
            <w:r>
              <w:rPr>
                <w:b/>
                <w:bCs/>
              </w:rPr>
              <w:t xml:space="preserve">direct attention</w:t>
            </w:r>
            <w:r>
              <w:t xml:space="preserve"> </w:t>
            </w:r>
            <w:r>
              <w:t xml:space="preserve">toward relevant activities,</w:t>
            </w:r>
            <w:r>
              <w:t xml:space="preserve"> </w:t>
            </w:r>
            <w:r>
              <w:rPr>
                <w:b/>
                <w:bCs/>
              </w:rPr>
              <w:t xml:space="preserve">energise</w:t>
            </w:r>
            <w:r>
              <w:t xml:space="preserve"> </w:t>
            </w:r>
            <w:r>
              <w:t xml:space="preserve">effort,</w:t>
            </w:r>
            <w:r>
              <w:t xml:space="preserve"> </w:t>
            </w:r>
            <w:r>
              <w:rPr>
                <w:b/>
                <w:bCs/>
              </w:rPr>
              <w:t xml:space="preserve">increase persistence</w:t>
            </w:r>
            <w:r>
              <w:t xml:space="preserve">, and promote the discovery or use of</w:t>
            </w:r>
            <w:r>
              <w:t xml:space="preserve"> </w:t>
            </w:r>
            <w:r>
              <w:rPr>
                <w:b/>
                <w:bCs/>
              </w:rPr>
              <w:t xml:space="preserve">task‑relevant strategies</w:t>
            </w:r>
            <w:hyperlink r:id="rId31">
              <w:r>
                <w:rPr>
                  <w:rStyle w:val="Hyperlink"/>
                </w:rPr>
                <w:t xml:space="preserve">[7]</w:t>
              </w:r>
            </w:hyperlink>
            <w:r>
              <w:t xml:space="preserve">. Meta‑analyses show positive, linear relationships between goal difficulty and performance until ability limits are reached</w:t>
            </w:r>
            <w:hyperlink r:id="rId30">
              <w:r>
                <w:rPr>
                  <w:rStyle w:val="Hyperlink"/>
                </w:rPr>
                <w:t xml:space="preserve">[6]</w:t>
              </w:r>
            </w:hyperlink>
            <w:r>
              <w:t xml:space="preserve">. Feedback and self‑efficacy moderate these effects; people with higher self‑efficacy set higher goals and respond better to feedback</w:t>
            </w:r>
            <w:hyperlink r:id="rId31">
              <w:r>
                <w:rPr>
                  <w:rStyle w:val="Hyperlink"/>
                </w:rPr>
                <w:t xml:space="preserve">[8]</w:t>
              </w:r>
            </w:hyperlink>
            <w:r>
              <w:t xml:space="preserve">.</w:t>
            </w:r>
          </w:p>
        </w:tc>
        <w:tc>
          <w:tcPr/>
          <w:p>
            <w:pPr>
              <w:pStyle w:val="Compact"/>
            </w:pPr>
          </w:p>
        </w:tc>
      </w:tr>
      <w:tr>
        <w:tc>
          <w:tcPr/>
          <w:p>
            <w:pPr>
              <w:pStyle w:val="Compact"/>
            </w:pPr>
            <w:r>
              <w:rPr>
                <w:b/>
                <w:bCs/>
              </w:rPr>
              <w:t xml:space="preserve">Why it matters</w:t>
            </w:r>
          </w:p>
        </w:tc>
        <w:tc>
          <w:tcPr/>
          <w:p>
            <w:pPr>
              <w:pStyle w:val="Compact"/>
            </w:pPr>
            <w:r>
              <w:t xml:space="preserve">The goals module should encourage users to set specific, challenging goals aligned with their capability. Feedback loops are essential for monitoring progress and adjusting strategies.</w:t>
            </w:r>
          </w:p>
        </w:tc>
        <w:tc>
          <w:tcPr/>
          <w:p>
            <w:pPr>
              <w:pStyle w:val="Compact"/>
            </w:pPr>
          </w:p>
        </w:tc>
      </w:tr>
      <w:tr>
        <w:tc>
          <w:tcPr/>
          <w:p>
            <w:pPr>
              <w:pStyle w:val="Compact"/>
            </w:pPr>
            <w:r>
              <w:rPr>
                <w:b/>
                <w:bCs/>
              </w:rPr>
              <w:t xml:space="preserve">Suggested questions</w:t>
            </w:r>
          </w:p>
        </w:tc>
        <w:tc>
          <w:tcPr/>
          <w:p>
            <w:pPr>
              <w:pStyle w:val="Compact"/>
            </w:pPr>
            <w:r>
              <w:t xml:space="preserve">“What exactly do you want to achieve?”; “On a scale of difficulty, how challenging should this be?”; “How will you measure progress?”; “What strategies will you use?”</w:t>
            </w:r>
          </w:p>
        </w:tc>
        <w:tc>
          <w:tcPr/>
          <w:p>
            <w:pPr>
              <w:pStyle w:val="Compact"/>
            </w:pPr>
          </w:p>
        </w:tc>
      </w:tr>
      <w:tr>
        <w:tc>
          <w:tcPr/>
          <w:p>
            <w:pPr>
              <w:pStyle w:val="Compact"/>
            </w:pPr>
            <w:r>
              <w:rPr>
                <w:b/>
                <w:bCs/>
              </w:rPr>
              <w:t xml:space="preserve">AI should infer</w:t>
            </w:r>
          </w:p>
        </w:tc>
        <w:tc>
          <w:tcPr/>
          <w:p>
            <w:pPr>
              <w:pStyle w:val="Compact"/>
            </w:pPr>
            <w:r>
              <w:t xml:space="preserve">Help users break long‑term aspirations into specific, measurable goals. Recognise when goals are too easy or too difficult and suggest adjustments.</w:t>
            </w:r>
          </w:p>
        </w:tc>
        <w:tc>
          <w:tcPr/>
          <w:p>
            <w:pPr>
              <w:pStyle w:val="Compact"/>
            </w:pPr>
          </w:p>
        </w:tc>
      </w:tr>
      <w:tr>
        <w:tc>
          <w:tcPr/>
          <w:p>
            <w:pPr>
              <w:pStyle w:val="Compact"/>
            </w:pPr>
            <w:r>
              <w:rPr>
                <w:b/>
                <w:bCs/>
              </w:rPr>
              <w:t xml:space="preserve">AI should not infer</w:t>
            </w:r>
          </w:p>
        </w:tc>
        <w:tc>
          <w:tcPr/>
          <w:p>
            <w:pPr>
              <w:pStyle w:val="Compact"/>
            </w:pPr>
            <w:r>
              <w:t xml:space="preserve">Do not impose goals; avoid normative judgments (e.g., telling someone their goal is insufficient).</w:t>
            </w:r>
          </w:p>
        </w:tc>
        <w:tc>
          <w:tcPr/>
          <w:p>
            <w:pPr>
              <w:pStyle w:val="Compact"/>
            </w:pPr>
          </w:p>
        </w:tc>
      </w:tr>
      <w:tr>
        <w:tc>
          <w:tcPr/>
          <w:p>
            <w:pPr>
              <w:pStyle w:val="Compact"/>
            </w:pPr>
            <w:r>
              <w:rPr>
                <w:b/>
                <w:bCs/>
              </w:rPr>
              <w:t xml:space="preserve">Risks of misuse</w:t>
            </w:r>
          </w:p>
        </w:tc>
        <w:tc>
          <w:tcPr/>
          <w:p>
            <w:pPr>
              <w:pStyle w:val="Compact"/>
            </w:pPr>
            <w:r>
              <w:t xml:space="preserve">Setting goals that are unrealistically high can reduce self‑efficacy. Overly narrow goals may lead to tunnel vision or neglect of other important areas.</w:t>
            </w:r>
          </w:p>
        </w:tc>
        <w:tc>
          <w:tcPr/>
          <w:p>
            <w:pPr>
              <w:pStyle w:val="Compact"/>
            </w:pPr>
          </w:p>
        </w:tc>
      </w:tr>
      <w:tr>
        <w:tc>
          <w:tcPr/>
          <w:p>
            <w:pPr>
              <w:pStyle w:val="Compact"/>
            </w:pPr>
            <w:r>
              <w:rPr>
                <w:b/>
                <w:bCs/>
              </w:rPr>
              <w:t xml:space="preserve">Include in MVP?</w:t>
            </w:r>
          </w:p>
        </w:tc>
        <w:tc>
          <w:tcPr/>
          <w:p>
            <w:pPr>
              <w:pStyle w:val="Compact"/>
            </w:pPr>
            <w:r>
              <w:rPr>
                <w:b/>
                <w:bCs/>
              </w:rPr>
              <w:t xml:space="preserve">Yes.</w:t>
            </w:r>
            <w:r>
              <w:t xml:space="preserve"> </w:t>
            </w:r>
            <w:r>
              <w:t xml:space="preserve">Provide goal‑setting tools with prompts for specificity, difficulty, time frames and feedback.</w:t>
            </w:r>
          </w:p>
        </w:tc>
        <w:tc>
          <w:tcPr/>
          <w:p>
            <w:pPr>
              <w:pStyle w:val="Compact"/>
            </w:pPr>
          </w:p>
        </w:tc>
      </w:tr>
    </w:tbl>
    <w:bookmarkEnd w:id="32"/>
    <w:bookmarkStart w:id="34" w:name="identitybased-behaviour"/>
    <w:p>
      <w:pPr>
        <w:pStyle w:val="Heading3"/>
      </w:pPr>
      <w:r>
        <w:t xml:space="preserve">1.6 Identity‑based behaviour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Evidence &amp; insights</w:t>
            </w:r>
          </w:p>
        </w:tc>
        <w:tc>
          <w:tcPr/>
          <w:p>
            <w:pPr>
              <w:pStyle w:val="Compact"/>
            </w:pPr>
            <w:r>
              <w:t xml:space="preserve">Implications for BecomingOS</w:t>
            </w:r>
          </w:p>
        </w:tc>
      </w:tr>
      <w:tr>
        <w:tc>
          <w:tcPr/>
          <w:p>
            <w:pPr>
              <w:pStyle w:val="Compact"/>
            </w:pPr>
            <w:r>
              <w:rPr>
                <w:b/>
                <w:bCs/>
              </w:rPr>
              <w:t xml:space="preserve">What it says</w:t>
            </w:r>
          </w:p>
        </w:tc>
        <w:tc>
          <w:tcPr/>
          <w:p>
            <w:pPr>
              <w:pStyle w:val="Compact"/>
            </w:pPr>
            <w:r>
              <w:t xml:space="preserve">Behaviour is influenced by how people see themselves (self‑concept or identity). Recent studies indicate a positive correlation between habit strength and identity: a meta‑analysis found that individuals with strong identity‑related habits show greater consistency (effect size r≈0.55, large)</w:t>
            </w:r>
            <w:hyperlink r:id="rId33">
              <w:r>
                <w:rPr>
                  <w:rStyle w:val="Hyperlink"/>
                </w:rPr>
                <w:t xml:space="preserve">[9]</w:t>
              </w:r>
            </w:hyperlink>
            <w:r>
              <w:t xml:space="preserve">. Identity can act as a motivational resource; when a behaviour aligns with the person’s self‑image, it is more likely to persist. However, identity formation is influenced by culture and social context, and interventions must respect autonomy and diversity.</w:t>
            </w:r>
          </w:p>
        </w:tc>
        <w:tc>
          <w:tcPr/>
          <w:p>
            <w:pPr>
              <w:pStyle w:val="Compact"/>
            </w:pPr>
          </w:p>
        </w:tc>
      </w:tr>
      <w:tr>
        <w:tc>
          <w:tcPr/>
          <w:p>
            <w:pPr>
              <w:pStyle w:val="Compact"/>
            </w:pPr>
            <w:r>
              <w:rPr>
                <w:b/>
                <w:bCs/>
              </w:rPr>
              <w:t xml:space="preserve">Why it matters</w:t>
            </w:r>
          </w:p>
        </w:tc>
        <w:tc>
          <w:tcPr/>
          <w:p>
            <w:pPr>
              <w:pStyle w:val="Compact"/>
            </w:pPr>
            <w:r>
              <w:t xml:space="preserve">The</w:t>
            </w:r>
            <w:r>
              <w:t xml:space="preserve"> </w:t>
            </w:r>
            <w:r>
              <w:rPr>
                <w:b/>
                <w:bCs/>
              </w:rPr>
              <w:t xml:space="preserve">identity</w:t>
            </w:r>
            <w:r>
              <w:t xml:space="preserve"> </w:t>
            </w:r>
            <w:r>
              <w:t xml:space="preserve">module should help users articulate identities they value (e.g., “I am a runner,” “I am a kind person”) rather than prescribing identities. Aligning behaviours with chosen identities may enhance motivation and habit formation.</w:t>
            </w:r>
          </w:p>
        </w:tc>
        <w:tc>
          <w:tcPr/>
          <w:p>
            <w:pPr>
              <w:pStyle w:val="Compact"/>
            </w:pPr>
          </w:p>
        </w:tc>
      </w:tr>
      <w:tr>
        <w:tc>
          <w:tcPr/>
          <w:p>
            <w:pPr>
              <w:pStyle w:val="Compact"/>
            </w:pPr>
            <w:r>
              <w:rPr>
                <w:b/>
                <w:bCs/>
              </w:rPr>
              <w:t xml:space="preserve">Suggested questions</w:t>
            </w:r>
          </w:p>
        </w:tc>
        <w:tc>
          <w:tcPr/>
          <w:p>
            <w:pPr>
              <w:pStyle w:val="Compact"/>
            </w:pPr>
            <w:r>
              <w:t xml:space="preserve">“What kind of person do you want to be?”; “How does this behaviour fit with your sense of self?”; “Which of your roles or identities motivate you?”</w:t>
            </w:r>
          </w:p>
        </w:tc>
        <w:tc>
          <w:tcPr/>
          <w:p>
            <w:pPr>
              <w:pStyle w:val="Compact"/>
            </w:pPr>
          </w:p>
        </w:tc>
      </w:tr>
      <w:tr>
        <w:tc>
          <w:tcPr/>
          <w:p>
            <w:pPr>
              <w:pStyle w:val="Compact"/>
            </w:pPr>
            <w:r>
              <w:rPr>
                <w:b/>
                <w:bCs/>
              </w:rPr>
              <w:t xml:space="preserve">AI should infer</w:t>
            </w:r>
          </w:p>
        </w:tc>
        <w:tc>
          <w:tcPr/>
          <w:p>
            <w:pPr>
              <w:pStyle w:val="Compact"/>
            </w:pPr>
            <w:r>
              <w:t xml:space="preserve">Encourage users to reflect on identities they aspire to and connect behaviours to them. Recognise shifts in identity as progress.</w:t>
            </w:r>
          </w:p>
        </w:tc>
        <w:tc>
          <w:tcPr/>
          <w:p>
            <w:pPr>
              <w:pStyle w:val="Compact"/>
            </w:pPr>
          </w:p>
        </w:tc>
      </w:tr>
      <w:tr>
        <w:tc>
          <w:tcPr/>
          <w:p>
            <w:pPr>
              <w:pStyle w:val="Compact"/>
            </w:pPr>
            <w:r>
              <w:rPr>
                <w:b/>
                <w:bCs/>
              </w:rPr>
              <w:t xml:space="preserve">AI should not infer</w:t>
            </w:r>
          </w:p>
        </w:tc>
        <w:tc>
          <w:tcPr/>
          <w:p>
            <w:pPr>
              <w:pStyle w:val="Compact"/>
            </w:pPr>
            <w:r>
              <w:t xml:space="preserve">Avoid inferring personal identities (e.g., cultural, gender, political) without explicit user input. Do not impose identity labels.</w:t>
            </w:r>
          </w:p>
        </w:tc>
        <w:tc>
          <w:tcPr/>
          <w:p>
            <w:pPr>
              <w:pStyle w:val="Compact"/>
            </w:pPr>
          </w:p>
        </w:tc>
      </w:tr>
      <w:tr>
        <w:tc>
          <w:tcPr/>
          <w:p>
            <w:pPr>
              <w:pStyle w:val="Compact"/>
            </w:pPr>
            <w:r>
              <w:rPr>
                <w:b/>
                <w:bCs/>
              </w:rPr>
              <w:t xml:space="preserve">Risks of misuse</w:t>
            </w:r>
          </w:p>
        </w:tc>
        <w:tc>
          <w:tcPr/>
          <w:p>
            <w:pPr>
              <w:pStyle w:val="Compact"/>
            </w:pPr>
            <w:r>
              <w:t xml:space="preserve">Pressuring users to adopt identities may feel manipulative. Linking identity to behaviour might induce shame if behaviours lapse.</w:t>
            </w:r>
          </w:p>
        </w:tc>
        <w:tc>
          <w:tcPr/>
          <w:p>
            <w:pPr>
              <w:pStyle w:val="Compact"/>
            </w:pPr>
          </w:p>
        </w:tc>
      </w:tr>
      <w:tr>
        <w:tc>
          <w:tcPr/>
          <w:p>
            <w:pPr>
              <w:pStyle w:val="Compact"/>
            </w:pPr>
            <w:r>
              <w:rPr>
                <w:b/>
                <w:bCs/>
              </w:rPr>
              <w:t xml:space="preserve">Include in MVP?</w:t>
            </w:r>
          </w:p>
        </w:tc>
        <w:tc>
          <w:tcPr/>
          <w:p>
            <w:pPr>
              <w:pStyle w:val="Compact"/>
            </w:pPr>
            <w:r>
              <w:rPr>
                <w:b/>
                <w:bCs/>
              </w:rPr>
              <w:t xml:space="preserve">Yes,</w:t>
            </w:r>
            <w:r>
              <w:t xml:space="preserve"> </w:t>
            </w:r>
            <w:r>
              <w:t xml:space="preserve">but emphasise optional identity reflection rather than identity prescriptions.</w:t>
            </w:r>
          </w:p>
        </w:tc>
        <w:tc>
          <w:tcPr/>
          <w:p>
            <w:pPr>
              <w:pStyle w:val="Compact"/>
            </w:pPr>
          </w:p>
        </w:tc>
      </w:tr>
    </w:tbl>
    <w:bookmarkEnd w:id="34"/>
    <w:bookmarkStart w:id="38" w:name="selfregulation"/>
    <w:p>
      <w:pPr>
        <w:pStyle w:val="Heading3"/>
      </w:pPr>
      <w:r>
        <w:t xml:space="preserve">1.7 Self‑regulation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Evidence &amp; insights</w:t>
            </w:r>
          </w:p>
        </w:tc>
        <w:tc>
          <w:tcPr/>
          <w:p>
            <w:pPr>
              <w:pStyle w:val="Compact"/>
            </w:pPr>
            <w:r>
              <w:t xml:space="preserve">Implications for BecomingOS</w:t>
            </w:r>
          </w:p>
        </w:tc>
      </w:tr>
      <w:tr>
        <w:tc>
          <w:tcPr/>
          <w:p>
            <w:pPr>
              <w:pStyle w:val="Compact"/>
            </w:pPr>
            <w:r>
              <w:rPr>
                <w:b/>
                <w:bCs/>
              </w:rPr>
              <w:t xml:space="preserve">What it says</w:t>
            </w:r>
          </w:p>
        </w:tc>
        <w:tc>
          <w:tcPr/>
          <w:p>
            <w:pPr>
              <w:pStyle w:val="Compact"/>
            </w:pPr>
            <w:r>
              <w:t xml:space="preserve">Self‑regulation is the</w:t>
            </w:r>
            <w:r>
              <w:t xml:space="preserve"> </w:t>
            </w:r>
            <w:r>
              <w:rPr>
                <w:b/>
                <w:bCs/>
              </w:rPr>
              <w:t xml:space="preserve">ability to flexibly activate, monitor, inhibit, persevere and adapt one’s behaviour, attention, emotions and cognition</w:t>
            </w:r>
            <w:r>
              <w:t xml:space="preserve"> </w:t>
            </w:r>
            <w:r>
              <w:t xml:space="preserve">in response to internal cues, environmental stimuli and feedback</w:t>
            </w:r>
            <w:hyperlink r:id="rId35">
              <w:r>
                <w:rPr>
                  <w:rStyle w:val="Hyperlink"/>
                </w:rPr>
                <w:t xml:space="preserve">[10]</w:t>
              </w:r>
            </w:hyperlink>
            <w:r>
              <w:t xml:space="preserve">. It comprises</w:t>
            </w:r>
            <w:r>
              <w:t xml:space="preserve"> </w:t>
            </w:r>
            <w:r>
              <w:rPr>
                <w:b/>
                <w:bCs/>
              </w:rPr>
              <w:t xml:space="preserve">emotion regulation</w:t>
            </w:r>
            <w:r>
              <w:t xml:space="preserve">,</w:t>
            </w:r>
            <w:r>
              <w:t xml:space="preserve"> </w:t>
            </w:r>
            <w:r>
              <w:rPr>
                <w:b/>
                <w:bCs/>
              </w:rPr>
              <w:t xml:space="preserve">cognitive regulation</w:t>
            </w:r>
            <w:r>
              <w:t xml:space="preserve"> </w:t>
            </w:r>
            <w:r>
              <w:t xml:space="preserve">(attention, future orientation, impulsivity) and</w:t>
            </w:r>
            <w:r>
              <w:t xml:space="preserve"> </w:t>
            </w:r>
            <w:r>
              <w:rPr>
                <w:b/>
                <w:bCs/>
              </w:rPr>
              <w:t xml:space="preserve">self‑related processes</w:t>
            </w:r>
            <w:r>
              <w:t xml:space="preserve"> </w:t>
            </w:r>
            <w:r>
              <w:t xml:space="preserve">like self‑affirmation and self‑efficacy</w:t>
            </w:r>
            <w:hyperlink r:id="rId35">
              <w:r>
                <w:rPr>
                  <w:rStyle w:val="Hyperlink"/>
                </w:rPr>
                <w:t xml:space="preserve">[10]</w:t>
              </w:r>
            </w:hyperlink>
            <w:r>
              <w:t xml:space="preserve">. High trait self‑control predicts healthier habits</w:t>
            </w:r>
            <w:hyperlink r:id="rId36">
              <w:r>
                <w:rPr>
                  <w:rStyle w:val="Hyperlink"/>
                </w:rPr>
                <w:t xml:space="preserve">[11]</w:t>
              </w:r>
            </w:hyperlink>
            <w:r>
              <w:t xml:space="preserve">. Interventions can increase self‑regulation through goal setting, self‑monitoring, identifying barriers and creating action plans</w:t>
            </w:r>
            <w:hyperlink r:id="rId37">
              <w:r>
                <w:rPr>
                  <w:rStyle w:val="Hyperlink"/>
                </w:rPr>
                <w:t xml:space="preserve">[12]</w:t>
              </w:r>
            </w:hyperlink>
            <w:r>
              <w:t xml:space="preserve">.</w:t>
            </w:r>
          </w:p>
        </w:tc>
        <w:tc>
          <w:tcPr/>
          <w:p>
            <w:pPr>
              <w:pStyle w:val="Compact"/>
            </w:pPr>
          </w:p>
        </w:tc>
      </w:tr>
      <w:tr>
        <w:tc>
          <w:tcPr/>
          <w:p>
            <w:pPr>
              <w:pStyle w:val="Compact"/>
            </w:pPr>
            <w:r>
              <w:rPr>
                <w:b/>
                <w:bCs/>
              </w:rPr>
              <w:t xml:space="preserve">Why it matters</w:t>
            </w:r>
          </w:p>
        </w:tc>
        <w:tc>
          <w:tcPr/>
          <w:p>
            <w:pPr>
              <w:pStyle w:val="Compact"/>
            </w:pPr>
            <w:r>
              <w:t xml:space="preserve">Many modules (goals, positive/negative patterns, review loops) involve self‑regulation. The product should teach users to monitor progress, identify triggers, manage emotions and adjust strategies.</w:t>
            </w:r>
          </w:p>
        </w:tc>
        <w:tc>
          <w:tcPr/>
          <w:p>
            <w:pPr>
              <w:pStyle w:val="Compact"/>
            </w:pPr>
          </w:p>
        </w:tc>
      </w:tr>
      <w:tr>
        <w:tc>
          <w:tcPr/>
          <w:p>
            <w:pPr>
              <w:pStyle w:val="Compact"/>
            </w:pPr>
            <w:r>
              <w:rPr>
                <w:b/>
                <w:bCs/>
              </w:rPr>
              <w:t xml:space="preserve">Suggested questions</w:t>
            </w:r>
          </w:p>
        </w:tc>
        <w:tc>
          <w:tcPr/>
          <w:p>
            <w:pPr>
              <w:pStyle w:val="Compact"/>
            </w:pPr>
            <w:r>
              <w:t xml:space="preserve">“How did you feel before and after performing this behaviour?”; “What thought patterns help or hinder you?”; “What obstacles did you notice?”; “What strategies helped you stay on track?”</w:t>
            </w:r>
          </w:p>
        </w:tc>
        <w:tc>
          <w:tcPr/>
          <w:p>
            <w:pPr>
              <w:pStyle w:val="Compact"/>
            </w:pPr>
          </w:p>
        </w:tc>
      </w:tr>
      <w:tr>
        <w:tc>
          <w:tcPr/>
          <w:p>
            <w:pPr>
              <w:pStyle w:val="Compact"/>
            </w:pPr>
            <w:r>
              <w:rPr>
                <w:b/>
                <w:bCs/>
              </w:rPr>
              <w:t xml:space="preserve">AI should infer</w:t>
            </w:r>
          </w:p>
        </w:tc>
        <w:tc>
          <w:tcPr/>
          <w:p>
            <w:pPr>
              <w:pStyle w:val="Compact"/>
            </w:pPr>
            <w:r>
              <w:t xml:space="preserve">Recognise when the user needs support in managing emotions or attention (e.g., propose mindfulness or time‑management techniques). Suggest self‑monitoring and reflection tools.</w:t>
            </w:r>
          </w:p>
        </w:tc>
        <w:tc>
          <w:tcPr/>
          <w:p>
            <w:pPr>
              <w:pStyle w:val="Compact"/>
            </w:pPr>
          </w:p>
        </w:tc>
      </w:tr>
      <w:tr>
        <w:tc>
          <w:tcPr/>
          <w:p>
            <w:pPr>
              <w:pStyle w:val="Compact"/>
            </w:pPr>
            <w:r>
              <w:rPr>
                <w:b/>
                <w:bCs/>
              </w:rPr>
              <w:t xml:space="preserve">AI should not infer</w:t>
            </w:r>
          </w:p>
        </w:tc>
        <w:tc>
          <w:tcPr/>
          <w:p>
            <w:pPr>
              <w:pStyle w:val="Compact"/>
            </w:pPr>
            <w:r>
              <w:t xml:space="preserve">Do not provide clinical interventions for emotion regulation (e.g., therapy for trauma). Avoid diagnosing emotional states.</w:t>
            </w:r>
          </w:p>
        </w:tc>
        <w:tc>
          <w:tcPr/>
          <w:p>
            <w:pPr>
              <w:pStyle w:val="Compact"/>
            </w:pPr>
          </w:p>
        </w:tc>
      </w:tr>
      <w:tr>
        <w:tc>
          <w:tcPr/>
          <w:p>
            <w:pPr>
              <w:pStyle w:val="Compact"/>
            </w:pPr>
            <w:r>
              <w:rPr>
                <w:b/>
                <w:bCs/>
              </w:rPr>
              <w:t xml:space="preserve">Risks of misuse</w:t>
            </w:r>
          </w:p>
        </w:tc>
        <w:tc>
          <w:tcPr/>
          <w:p>
            <w:pPr>
              <w:pStyle w:val="Compact"/>
            </w:pPr>
            <w:r>
              <w:t xml:space="preserve">Excessive self‑monitoring can increase stress or obsessiveness. Encouraging constant adaptation without rest may lead to burnout.</w:t>
            </w:r>
          </w:p>
        </w:tc>
        <w:tc>
          <w:tcPr/>
          <w:p>
            <w:pPr>
              <w:pStyle w:val="Compact"/>
            </w:pPr>
          </w:p>
        </w:tc>
      </w:tr>
      <w:tr>
        <w:tc>
          <w:tcPr/>
          <w:p>
            <w:pPr>
              <w:pStyle w:val="Compact"/>
            </w:pPr>
            <w:r>
              <w:rPr>
                <w:b/>
                <w:bCs/>
              </w:rPr>
              <w:t xml:space="preserve">Include in MVP?</w:t>
            </w:r>
          </w:p>
        </w:tc>
        <w:tc>
          <w:tcPr/>
          <w:p>
            <w:pPr>
              <w:pStyle w:val="Compact"/>
            </w:pPr>
            <w:r>
              <w:rPr>
                <w:b/>
                <w:bCs/>
              </w:rPr>
              <w:t xml:space="preserve">Yes.</w:t>
            </w:r>
            <w:r>
              <w:t xml:space="preserve"> </w:t>
            </w:r>
            <w:r>
              <w:t xml:space="preserve">Incorporate simple self‑monitoring and reflection tools with clear boundaries.</w:t>
            </w:r>
          </w:p>
        </w:tc>
        <w:tc>
          <w:tcPr/>
          <w:p>
            <w:pPr>
              <w:pStyle w:val="Compact"/>
            </w:pPr>
          </w:p>
        </w:tc>
      </w:tr>
    </w:tbl>
    <w:bookmarkEnd w:id="38"/>
    <w:bookmarkStart w:id="41" w:name="Xd5ab48c9add72a4be5d8c1146e26a33b2e96159"/>
    <w:p>
      <w:pPr>
        <w:pStyle w:val="Heading3"/>
      </w:pPr>
      <w:r>
        <w:t xml:space="preserve">1.8 Motivation and reward (Self‑Determination Theory)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Evidence &amp; insights</w:t>
            </w:r>
          </w:p>
        </w:tc>
        <w:tc>
          <w:tcPr/>
          <w:p>
            <w:pPr>
              <w:pStyle w:val="Compact"/>
            </w:pPr>
            <w:r>
              <w:t xml:space="preserve">Implications for BecomingOS</w:t>
            </w:r>
          </w:p>
        </w:tc>
      </w:tr>
      <w:tr>
        <w:tc>
          <w:tcPr/>
          <w:p>
            <w:pPr>
              <w:pStyle w:val="Compact"/>
            </w:pPr>
            <w:r>
              <w:rPr>
                <w:b/>
                <w:bCs/>
              </w:rPr>
              <w:t xml:space="preserve">What it says</w:t>
            </w:r>
          </w:p>
        </w:tc>
        <w:tc>
          <w:tcPr/>
          <w:p>
            <w:pPr>
              <w:pStyle w:val="Compact"/>
            </w:pPr>
            <w:r>
              <w:t xml:space="preserve">Self‑Determination Theory (SDT) distinguishes</w:t>
            </w:r>
            <w:r>
              <w:t xml:space="preserve"> </w:t>
            </w:r>
            <w:r>
              <w:rPr>
                <w:b/>
                <w:bCs/>
              </w:rPr>
              <w:t xml:space="preserve">autonomous</w:t>
            </w:r>
            <w:r>
              <w:t xml:space="preserve"> </w:t>
            </w:r>
            <w:r>
              <w:t xml:space="preserve">motivation (acting out of choice and genuine interest) from</w:t>
            </w:r>
            <w:r>
              <w:t xml:space="preserve"> </w:t>
            </w:r>
            <w:r>
              <w:rPr>
                <w:b/>
                <w:bCs/>
              </w:rPr>
              <w:t xml:space="preserve">controlled</w:t>
            </w:r>
            <w:r>
              <w:t xml:space="preserve"> </w:t>
            </w:r>
            <w:r>
              <w:t xml:space="preserve">motivation (acting due to external or internal pressures)</w:t>
            </w:r>
            <w:hyperlink r:id="rId39">
              <w:r>
                <w:rPr>
                  <w:rStyle w:val="Hyperlink"/>
                </w:rPr>
                <w:t xml:space="preserve">[13]</w:t>
              </w:r>
            </w:hyperlink>
            <w:r>
              <w:t xml:space="preserve">. SDT posits that satisfying the basic psychological needs for</w:t>
            </w:r>
            <w:r>
              <w:t xml:space="preserve"> </w:t>
            </w:r>
            <w:r>
              <w:rPr>
                <w:b/>
                <w:bCs/>
              </w:rPr>
              <w:t xml:space="preserve">autonomy, competence and relatedness</w:t>
            </w:r>
            <w:r>
              <w:t xml:space="preserve"> </w:t>
            </w:r>
            <w:r>
              <w:t xml:space="preserve">fosters self‑determined motivation</w:t>
            </w:r>
            <w:hyperlink r:id="rId39">
              <w:r>
                <w:rPr>
                  <w:rStyle w:val="Hyperlink"/>
                </w:rPr>
                <w:t xml:space="preserve">[13]</w:t>
              </w:r>
            </w:hyperlink>
            <w:r>
              <w:t xml:space="preserve">. Research shows that</w:t>
            </w:r>
            <w:r>
              <w:t xml:space="preserve"> </w:t>
            </w:r>
            <w:r>
              <w:rPr>
                <w:b/>
                <w:bCs/>
              </w:rPr>
              <w:t xml:space="preserve">autonomous regulation</w:t>
            </w:r>
            <w:r>
              <w:t xml:space="preserve"> </w:t>
            </w:r>
            <w:r>
              <w:t xml:space="preserve">predicts adherence in health behaviours, whereas controlled motivation correlates with negative affect</w:t>
            </w:r>
            <w:hyperlink r:id="rId39">
              <w:r>
                <w:rPr>
                  <w:rStyle w:val="Hyperlink"/>
                </w:rPr>
                <w:t xml:space="preserve">[14]</w:t>
              </w:r>
            </w:hyperlink>
            <w:r>
              <w:t xml:space="preserve">. Organismic Integration Theory (a mini‑theory within SDT) describes how extrinsically motivated behaviours can become internalised along a continuum—from external regulation to introjected, identified and integrated regulation</w:t>
            </w:r>
            <w:hyperlink r:id="rId40">
              <w:r>
                <w:rPr>
                  <w:rStyle w:val="Hyperlink"/>
                </w:rPr>
                <w:t xml:space="preserve">[15]</w:t>
              </w:r>
            </w:hyperlink>
            <w:r>
              <w:t xml:space="preserve">.</w:t>
            </w:r>
          </w:p>
        </w:tc>
        <w:tc>
          <w:tcPr/>
          <w:p>
            <w:pPr>
              <w:pStyle w:val="Compact"/>
            </w:pPr>
          </w:p>
        </w:tc>
      </w:tr>
      <w:tr>
        <w:tc>
          <w:tcPr/>
          <w:p>
            <w:pPr>
              <w:pStyle w:val="Compact"/>
            </w:pPr>
            <w:r>
              <w:rPr>
                <w:b/>
                <w:bCs/>
              </w:rPr>
              <w:t xml:space="preserve">Why it matters</w:t>
            </w:r>
          </w:p>
        </w:tc>
        <w:tc>
          <w:tcPr/>
          <w:p>
            <w:pPr>
              <w:pStyle w:val="Compact"/>
            </w:pPr>
            <w:r>
              <w:t xml:space="preserve">The product should support autonomy (letting users choose goals), competence (celebrating progress, providing training) and relatedness (encouraging social support). Rewards should enhance intrinsic motivation rather than undermine it.</w:t>
            </w:r>
          </w:p>
        </w:tc>
        <w:tc>
          <w:tcPr/>
          <w:p>
            <w:pPr>
              <w:pStyle w:val="Compact"/>
            </w:pPr>
          </w:p>
        </w:tc>
      </w:tr>
      <w:tr>
        <w:tc>
          <w:tcPr/>
          <w:p>
            <w:pPr>
              <w:pStyle w:val="Compact"/>
            </w:pPr>
            <w:r>
              <w:rPr>
                <w:b/>
                <w:bCs/>
              </w:rPr>
              <w:t xml:space="preserve">Suggested questions</w:t>
            </w:r>
          </w:p>
        </w:tc>
        <w:tc>
          <w:tcPr/>
          <w:p>
            <w:pPr>
              <w:pStyle w:val="Compact"/>
            </w:pPr>
            <w:r>
              <w:t xml:space="preserve">“Why do you want to pursue this goal?”; “How can you make this activity personally meaningful?”; “Who can support you?”</w:t>
            </w:r>
          </w:p>
        </w:tc>
        <w:tc>
          <w:tcPr/>
          <w:p>
            <w:pPr>
              <w:pStyle w:val="Compact"/>
            </w:pPr>
          </w:p>
        </w:tc>
      </w:tr>
      <w:tr>
        <w:tc>
          <w:tcPr/>
          <w:p>
            <w:pPr>
              <w:pStyle w:val="Compact"/>
            </w:pPr>
            <w:r>
              <w:rPr>
                <w:b/>
                <w:bCs/>
              </w:rPr>
              <w:t xml:space="preserve">AI should infer</w:t>
            </w:r>
          </w:p>
        </w:tc>
        <w:tc>
          <w:tcPr/>
          <w:p>
            <w:pPr>
              <w:pStyle w:val="Compact"/>
            </w:pPr>
            <w:r>
              <w:t xml:space="preserve">Focus on promoting internalisation of extrinsic goals (e.g., helping users link externally required behaviours to personal values). Recognise the continuum of motivation.</w:t>
            </w:r>
          </w:p>
        </w:tc>
        <w:tc>
          <w:tcPr/>
          <w:p>
            <w:pPr>
              <w:pStyle w:val="Compact"/>
            </w:pPr>
          </w:p>
        </w:tc>
      </w:tr>
      <w:tr>
        <w:tc>
          <w:tcPr/>
          <w:p>
            <w:pPr>
              <w:pStyle w:val="Compact"/>
            </w:pPr>
            <w:r>
              <w:rPr>
                <w:b/>
                <w:bCs/>
              </w:rPr>
              <w:t xml:space="preserve">AI should not infer</w:t>
            </w:r>
          </w:p>
        </w:tc>
        <w:tc>
          <w:tcPr/>
          <w:p>
            <w:pPr>
              <w:pStyle w:val="Compact"/>
            </w:pPr>
            <w:r>
              <w:t xml:space="preserve">Avoid assuming that extrinsic rewards are always effective; don’t rely solely on gamification.</w:t>
            </w:r>
          </w:p>
        </w:tc>
        <w:tc>
          <w:tcPr/>
          <w:p>
            <w:pPr>
              <w:pStyle w:val="Compact"/>
            </w:pPr>
          </w:p>
        </w:tc>
      </w:tr>
      <w:tr>
        <w:tc>
          <w:tcPr/>
          <w:p>
            <w:pPr>
              <w:pStyle w:val="Compact"/>
            </w:pPr>
            <w:r>
              <w:rPr>
                <w:b/>
                <w:bCs/>
              </w:rPr>
              <w:t xml:space="preserve">Risks of misuse</w:t>
            </w:r>
          </w:p>
        </w:tc>
        <w:tc>
          <w:tcPr/>
          <w:p>
            <w:pPr>
              <w:pStyle w:val="Compact"/>
            </w:pPr>
            <w:r>
              <w:t xml:space="preserve">Over‑gamification can shift focus to external rewards, undermining intrinsic motivation. Pushing users into activities they do not value can reduce adherence.</w:t>
            </w:r>
          </w:p>
        </w:tc>
        <w:tc>
          <w:tcPr/>
          <w:p>
            <w:pPr>
              <w:pStyle w:val="Compact"/>
            </w:pPr>
          </w:p>
        </w:tc>
      </w:tr>
      <w:tr>
        <w:tc>
          <w:tcPr/>
          <w:p>
            <w:pPr>
              <w:pStyle w:val="Compact"/>
            </w:pPr>
            <w:r>
              <w:rPr>
                <w:b/>
                <w:bCs/>
              </w:rPr>
              <w:t xml:space="preserve">Include in MVP?</w:t>
            </w:r>
          </w:p>
        </w:tc>
        <w:tc>
          <w:tcPr/>
          <w:p>
            <w:pPr>
              <w:pStyle w:val="Compact"/>
            </w:pPr>
            <w:r>
              <w:rPr>
                <w:b/>
                <w:bCs/>
              </w:rPr>
              <w:t xml:space="preserve">Yes</w:t>
            </w:r>
            <w:r>
              <w:t xml:space="preserve">, with careful attention to autonomy and competence. Minimise controlled rewards; instead, emphasise self‑chosen goals and progress feedback.</w:t>
            </w:r>
          </w:p>
        </w:tc>
        <w:tc>
          <w:tcPr/>
          <w:p>
            <w:pPr>
              <w:pStyle w:val="Compact"/>
            </w:pPr>
          </w:p>
        </w:tc>
      </w:tr>
    </w:tbl>
    <w:bookmarkEnd w:id="41"/>
    <w:bookmarkStart w:id="45" w:name="avoidance-behaviour"/>
    <w:p>
      <w:pPr>
        <w:pStyle w:val="Heading3"/>
      </w:pPr>
      <w:r>
        <w:t xml:space="preserve">1.9 Avoidance behaviour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Evidence &amp; insights</w:t>
            </w:r>
          </w:p>
        </w:tc>
        <w:tc>
          <w:tcPr/>
          <w:p>
            <w:pPr>
              <w:pStyle w:val="Compact"/>
            </w:pPr>
            <w:r>
              <w:t xml:space="preserve">Implications for BecomingOS</w:t>
            </w:r>
          </w:p>
        </w:tc>
      </w:tr>
      <w:tr>
        <w:tc>
          <w:tcPr/>
          <w:p>
            <w:pPr>
              <w:pStyle w:val="Compact"/>
            </w:pPr>
            <w:r>
              <w:rPr>
                <w:b/>
                <w:bCs/>
              </w:rPr>
              <w:t xml:space="preserve">What it says</w:t>
            </w:r>
          </w:p>
        </w:tc>
        <w:tc>
          <w:tcPr/>
          <w:p>
            <w:pPr>
              <w:pStyle w:val="Compact"/>
            </w:pPr>
            <w:r>
              <w:t xml:space="preserve">Avoidance is a defensive response to perceived threats. It is adaptive when avoiding genuine dangers but becomes maladaptive when people avoid non‑threatening situations, which can lead to disability and hinder exposure to anxiety‑correcting information</w:t>
            </w:r>
            <w:hyperlink r:id="rId42">
              <w:r>
                <w:rPr>
                  <w:rStyle w:val="Hyperlink"/>
                </w:rPr>
                <w:t xml:space="preserve">[16]</w:t>
              </w:r>
            </w:hyperlink>
            <w:r>
              <w:t xml:space="preserve">. Excessive avoidance is central to many mental disorders</w:t>
            </w:r>
            <w:hyperlink r:id="rId43">
              <w:r>
                <w:rPr>
                  <w:rStyle w:val="Hyperlink"/>
                </w:rPr>
                <w:t xml:space="preserve">[17]</w:t>
              </w:r>
            </w:hyperlink>
            <w:r>
              <w:t xml:space="preserve">. Avoidance learning procedures show that avoidance behaviour prevents an aversive outcome (negative reinforcement) and differs from escape behaviour (which terminates an ongoing aversive event)</w:t>
            </w:r>
            <w:hyperlink r:id="rId44">
              <w:r>
                <w:rPr>
                  <w:rStyle w:val="Hyperlink"/>
                </w:rPr>
                <w:t xml:space="preserve">[18]</w:t>
              </w:r>
            </w:hyperlink>
            <w:r>
              <w:t xml:space="preserve">.</w:t>
            </w:r>
          </w:p>
        </w:tc>
        <w:tc>
          <w:tcPr/>
          <w:p>
            <w:pPr>
              <w:pStyle w:val="Compact"/>
            </w:pPr>
          </w:p>
        </w:tc>
      </w:tr>
      <w:tr>
        <w:tc>
          <w:tcPr/>
          <w:p>
            <w:pPr>
              <w:pStyle w:val="Compact"/>
            </w:pPr>
            <w:r>
              <w:rPr>
                <w:b/>
                <w:bCs/>
              </w:rPr>
              <w:t xml:space="preserve">Why it matters</w:t>
            </w:r>
          </w:p>
        </w:tc>
        <w:tc>
          <w:tcPr/>
          <w:p>
            <w:pPr>
              <w:pStyle w:val="Compact"/>
            </w:pPr>
            <w:r>
              <w:t xml:space="preserve">While the product is not therapeutic, it should recognise when avoidance impedes behaviour change (e.g., avoiding difficult tasks, feedback). Helping users gently approach challenges instead of avoiding them can support change.</w:t>
            </w:r>
          </w:p>
        </w:tc>
        <w:tc>
          <w:tcPr/>
          <w:p>
            <w:pPr>
              <w:pStyle w:val="Compact"/>
            </w:pPr>
          </w:p>
        </w:tc>
      </w:tr>
      <w:tr>
        <w:tc>
          <w:tcPr/>
          <w:p>
            <w:pPr>
              <w:pStyle w:val="Compact"/>
            </w:pPr>
            <w:r>
              <w:rPr>
                <w:b/>
                <w:bCs/>
              </w:rPr>
              <w:t xml:space="preserve">Suggested questions</w:t>
            </w:r>
          </w:p>
        </w:tc>
        <w:tc>
          <w:tcPr/>
          <w:p>
            <w:pPr>
              <w:pStyle w:val="Compact"/>
            </w:pPr>
            <w:r>
              <w:t xml:space="preserve">“Are there situations you tend to avoid when working on this goal?”; “What thoughts or emotions arise when you think about those situations?”; “What small step could you take to approach them?”</w:t>
            </w:r>
          </w:p>
        </w:tc>
        <w:tc>
          <w:tcPr/>
          <w:p>
            <w:pPr>
              <w:pStyle w:val="Compact"/>
            </w:pPr>
          </w:p>
        </w:tc>
      </w:tr>
      <w:tr>
        <w:tc>
          <w:tcPr/>
          <w:p>
            <w:pPr>
              <w:pStyle w:val="Compact"/>
            </w:pPr>
            <w:r>
              <w:rPr>
                <w:b/>
                <w:bCs/>
              </w:rPr>
              <w:t xml:space="preserve">AI should infer</w:t>
            </w:r>
          </w:p>
        </w:tc>
        <w:tc>
          <w:tcPr/>
          <w:p>
            <w:pPr>
              <w:pStyle w:val="Compact"/>
            </w:pPr>
            <w:r>
              <w:t xml:space="preserve">Encourage graded exposure to non‑threatening tasks (e.g., break tasks into smaller steps), emphasise safety and control.</w:t>
            </w:r>
          </w:p>
        </w:tc>
        <w:tc>
          <w:tcPr/>
          <w:p>
            <w:pPr>
              <w:pStyle w:val="Compact"/>
            </w:pPr>
          </w:p>
        </w:tc>
      </w:tr>
      <w:tr>
        <w:tc>
          <w:tcPr/>
          <w:p>
            <w:pPr>
              <w:pStyle w:val="Compact"/>
            </w:pPr>
            <w:r>
              <w:rPr>
                <w:b/>
                <w:bCs/>
              </w:rPr>
              <w:t xml:space="preserve">AI should not infer</w:t>
            </w:r>
          </w:p>
        </w:tc>
        <w:tc>
          <w:tcPr/>
          <w:p>
            <w:pPr>
              <w:pStyle w:val="Compact"/>
            </w:pPr>
            <w:r>
              <w:t xml:space="preserve">Do not treat or diagnose anxiety disorders. Avoid pressuring users to confront traumatic situations.</w:t>
            </w:r>
          </w:p>
        </w:tc>
        <w:tc>
          <w:tcPr/>
          <w:p>
            <w:pPr>
              <w:pStyle w:val="Compact"/>
            </w:pPr>
          </w:p>
        </w:tc>
      </w:tr>
      <w:tr>
        <w:tc>
          <w:tcPr/>
          <w:p>
            <w:pPr>
              <w:pStyle w:val="Compact"/>
            </w:pPr>
            <w:r>
              <w:rPr>
                <w:b/>
                <w:bCs/>
              </w:rPr>
              <w:t xml:space="preserve">Risks of misuse</w:t>
            </w:r>
          </w:p>
        </w:tc>
        <w:tc>
          <w:tcPr/>
          <w:p>
            <w:pPr>
              <w:pStyle w:val="Compact"/>
            </w:pPr>
            <w:r>
              <w:t xml:space="preserve">Prompting exposure without psychological support could trigger distress.</w:t>
            </w:r>
          </w:p>
        </w:tc>
        <w:tc>
          <w:tcPr/>
          <w:p>
            <w:pPr>
              <w:pStyle w:val="Compact"/>
            </w:pPr>
          </w:p>
        </w:tc>
      </w:tr>
      <w:tr>
        <w:tc>
          <w:tcPr/>
          <w:p>
            <w:pPr>
              <w:pStyle w:val="Compact"/>
            </w:pPr>
            <w:r>
              <w:rPr>
                <w:b/>
                <w:bCs/>
              </w:rPr>
              <w:t xml:space="preserve">Include in MVP?</w:t>
            </w:r>
          </w:p>
        </w:tc>
        <w:tc>
          <w:tcPr/>
          <w:p>
            <w:pPr>
              <w:pStyle w:val="Compact"/>
            </w:pPr>
            <w:r>
              <w:rPr>
                <w:b/>
                <w:bCs/>
              </w:rPr>
              <w:t xml:space="preserve">Partially.</w:t>
            </w:r>
            <w:r>
              <w:t xml:space="preserve"> </w:t>
            </w:r>
            <w:r>
              <w:t xml:space="preserve">The product can highlight avoidance tendencies but should not offer clinical exposure therapy.</w:t>
            </w:r>
          </w:p>
        </w:tc>
        <w:tc>
          <w:tcPr/>
          <w:p>
            <w:pPr>
              <w:pStyle w:val="Compact"/>
            </w:pPr>
          </w:p>
        </w:tc>
      </w:tr>
    </w:tbl>
    <w:bookmarkEnd w:id="45"/>
    <w:bookmarkStart w:id="46" w:name="reviewfeedback-loops"/>
    <w:p>
      <w:pPr>
        <w:pStyle w:val="Heading3"/>
      </w:pPr>
      <w:r>
        <w:t xml:space="preserve">1.10 Review/feedback loops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Evidence &amp; insights</w:t>
            </w:r>
          </w:p>
        </w:tc>
        <w:tc>
          <w:tcPr/>
          <w:p>
            <w:pPr>
              <w:pStyle w:val="Compact"/>
            </w:pPr>
            <w:r>
              <w:t xml:space="preserve">Implications for BecomingOS</w:t>
            </w:r>
          </w:p>
        </w:tc>
      </w:tr>
      <w:tr>
        <w:tc>
          <w:tcPr/>
          <w:p>
            <w:pPr>
              <w:pStyle w:val="Compact"/>
            </w:pPr>
            <w:r>
              <w:rPr>
                <w:b/>
                <w:bCs/>
              </w:rPr>
              <w:t xml:space="preserve">What it says</w:t>
            </w:r>
          </w:p>
        </w:tc>
        <w:tc>
          <w:tcPr/>
          <w:p>
            <w:pPr>
              <w:pStyle w:val="Compact"/>
            </w:pPr>
            <w:r>
              <w:t xml:space="preserve">Self‑regulation research stresses the importance of</w:t>
            </w:r>
            <w:r>
              <w:t xml:space="preserve"> </w:t>
            </w:r>
            <w:r>
              <w:rPr>
                <w:b/>
                <w:bCs/>
              </w:rPr>
              <w:t xml:space="preserve">monitoring behaviour and receiving feedback</w:t>
            </w:r>
            <w:r>
              <w:t xml:space="preserve"> </w:t>
            </w:r>
            <w:r>
              <w:t xml:space="preserve">to adjust strategies</w:t>
            </w:r>
            <w:hyperlink r:id="rId37">
              <w:r>
                <w:rPr>
                  <w:rStyle w:val="Hyperlink"/>
                </w:rPr>
                <w:t xml:space="preserve">[12]</w:t>
              </w:r>
            </w:hyperlink>
            <w:r>
              <w:t xml:space="preserve">. Reviewing progress helps identify barriers, reinforces successful strategies and supports habit formation. Feedback loops are a component of goal‑setting theory, enabling users to compare performance against standards</w:t>
            </w:r>
            <w:hyperlink r:id="rId31">
              <w:r>
                <w:rPr>
                  <w:rStyle w:val="Hyperlink"/>
                </w:rPr>
                <w:t xml:space="preserve">[7]</w:t>
              </w:r>
            </w:hyperlink>
            <w:r>
              <w:t xml:space="preserve">.</w:t>
            </w:r>
          </w:p>
        </w:tc>
        <w:tc>
          <w:tcPr/>
          <w:p>
            <w:pPr>
              <w:pStyle w:val="Compact"/>
            </w:pPr>
          </w:p>
        </w:tc>
      </w:tr>
      <w:tr>
        <w:tc>
          <w:tcPr/>
          <w:p>
            <w:pPr>
              <w:pStyle w:val="Compact"/>
            </w:pPr>
            <w:r>
              <w:rPr>
                <w:b/>
                <w:bCs/>
              </w:rPr>
              <w:t xml:space="preserve">Why it matters</w:t>
            </w:r>
          </w:p>
        </w:tc>
        <w:tc>
          <w:tcPr/>
          <w:p>
            <w:pPr>
              <w:pStyle w:val="Compact"/>
            </w:pPr>
            <w:r>
              <w:t xml:space="preserve">The</w:t>
            </w:r>
            <w:r>
              <w:t xml:space="preserve"> </w:t>
            </w:r>
            <w:r>
              <w:rPr>
                <w:b/>
                <w:bCs/>
              </w:rPr>
              <w:t xml:space="preserve">review loop</w:t>
            </w:r>
            <w:r>
              <w:t xml:space="preserve"> </w:t>
            </w:r>
            <w:r>
              <w:t xml:space="preserve">module should provide regular check‑ins where the AI asks about progress, feelings and obstacles. Feedback should be supportive and non‑judgemental, emphasising learning rather than failure.</w:t>
            </w:r>
          </w:p>
        </w:tc>
        <w:tc>
          <w:tcPr/>
          <w:p>
            <w:pPr>
              <w:pStyle w:val="Compact"/>
            </w:pPr>
          </w:p>
        </w:tc>
      </w:tr>
      <w:tr>
        <w:tc>
          <w:tcPr/>
          <w:p>
            <w:pPr>
              <w:pStyle w:val="Compact"/>
            </w:pPr>
            <w:r>
              <w:rPr>
                <w:b/>
                <w:bCs/>
              </w:rPr>
              <w:t xml:space="preserve">Suggested questions</w:t>
            </w:r>
          </w:p>
        </w:tc>
        <w:tc>
          <w:tcPr/>
          <w:p>
            <w:pPr>
              <w:pStyle w:val="Compact"/>
            </w:pPr>
            <w:r>
              <w:t xml:space="preserve">“How did your plan go this week?”; “What worked well?”; “What challenges arose and how can you adjust?”</w:t>
            </w:r>
          </w:p>
        </w:tc>
        <w:tc>
          <w:tcPr/>
          <w:p>
            <w:pPr>
              <w:pStyle w:val="Compact"/>
            </w:pPr>
          </w:p>
        </w:tc>
      </w:tr>
      <w:tr>
        <w:tc>
          <w:tcPr/>
          <w:p>
            <w:pPr>
              <w:pStyle w:val="Compact"/>
            </w:pPr>
            <w:r>
              <w:rPr>
                <w:b/>
                <w:bCs/>
              </w:rPr>
              <w:t xml:space="preserve">AI should infer</w:t>
            </w:r>
          </w:p>
        </w:tc>
        <w:tc>
          <w:tcPr/>
          <w:p>
            <w:pPr>
              <w:pStyle w:val="Compact"/>
            </w:pPr>
            <w:r>
              <w:t xml:space="preserve">Identify patterns from self‑reports, adjust suggestions, and highlight incremental improvements.</w:t>
            </w:r>
          </w:p>
        </w:tc>
        <w:tc>
          <w:tcPr/>
          <w:p>
            <w:pPr>
              <w:pStyle w:val="Compact"/>
            </w:pPr>
          </w:p>
        </w:tc>
      </w:tr>
      <w:tr>
        <w:tc>
          <w:tcPr/>
          <w:p>
            <w:pPr>
              <w:pStyle w:val="Compact"/>
            </w:pPr>
            <w:r>
              <w:rPr>
                <w:b/>
                <w:bCs/>
              </w:rPr>
              <w:t xml:space="preserve">AI should not infer</w:t>
            </w:r>
          </w:p>
        </w:tc>
        <w:tc>
          <w:tcPr/>
          <w:p>
            <w:pPr>
              <w:pStyle w:val="Compact"/>
            </w:pPr>
            <w:r>
              <w:t xml:space="preserve">Do not assume lack of progress equals non‑compliance; avoid shaming language.</w:t>
            </w:r>
          </w:p>
        </w:tc>
        <w:tc>
          <w:tcPr/>
          <w:p>
            <w:pPr>
              <w:pStyle w:val="Compact"/>
            </w:pPr>
          </w:p>
        </w:tc>
      </w:tr>
      <w:tr>
        <w:tc>
          <w:tcPr/>
          <w:p>
            <w:pPr>
              <w:pStyle w:val="Compact"/>
            </w:pPr>
            <w:r>
              <w:rPr>
                <w:b/>
                <w:bCs/>
              </w:rPr>
              <w:t xml:space="preserve">Risks of misuse</w:t>
            </w:r>
          </w:p>
        </w:tc>
        <w:tc>
          <w:tcPr/>
          <w:p>
            <w:pPr>
              <w:pStyle w:val="Compact"/>
            </w:pPr>
            <w:r>
              <w:t xml:space="preserve">Excessive monitoring can feel intrusive; poorly framed feedback may demotivate.</w:t>
            </w:r>
          </w:p>
        </w:tc>
        <w:tc>
          <w:tcPr/>
          <w:p>
            <w:pPr>
              <w:pStyle w:val="Compact"/>
            </w:pPr>
          </w:p>
        </w:tc>
      </w:tr>
      <w:tr>
        <w:tc>
          <w:tcPr/>
          <w:p>
            <w:pPr>
              <w:pStyle w:val="Compact"/>
            </w:pPr>
            <w:r>
              <w:rPr>
                <w:b/>
                <w:bCs/>
              </w:rPr>
              <w:t xml:space="preserve">Include in MVP?</w:t>
            </w:r>
          </w:p>
        </w:tc>
        <w:tc>
          <w:tcPr/>
          <w:p>
            <w:pPr>
              <w:pStyle w:val="Compact"/>
            </w:pPr>
            <w:r>
              <w:rPr>
                <w:b/>
                <w:bCs/>
              </w:rPr>
              <w:t xml:space="preserve">Yes.</w:t>
            </w:r>
            <w:r>
              <w:t xml:space="preserve"> </w:t>
            </w:r>
            <w:r>
              <w:t xml:space="preserve">Implement flexible review frequencies and allow users to opt‑out of feedback reminders.</w:t>
            </w:r>
          </w:p>
        </w:tc>
        <w:tc>
          <w:tcPr/>
          <w:p>
            <w:pPr>
              <w:pStyle w:val="Compact"/>
            </w:pPr>
          </w:p>
        </w:tc>
      </w:tr>
    </w:tbl>
    <w:bookmarkEnd w:id="46"/>
    <w:bookmarkEnd w:id="47"/>
    <w:bookmarkStart w:id="48" w:name="X6bf2488949fa6960a583f0da362fa4a92184c8b"/>
    <w:p>
      <w:pPr>
        <w:pStyle w:val="Heading2"/>
      </w:pPr>
      <w:r>
        <w:t xml:space="preserve">2 Recommended behaviour model for BecomingOS</w:t>
      </w:r>
    </w:p>
    <w:p>
      <w:pPr>
        <w:pStyle w:val="FirstParagraph"/>
      </w:pPr>
      <w:r>
        <w:rPr>
          <w:b/>
          <w:bCs/>
        </w:rPr>
        <w:t xml:space="preserve">Re‑anchor modules around COM‑B and complementary theories</w:t>
      </w:r>
      <w:r>
        <w:t xml:space="preserve">.</w:t>
      </w:r>
      <w:r>
        <w:br/>
      </w:r>
      <w:r>
        <w:t xml:space="preserve">The evidence suggests that behaviour change is best explained by the interplay of capability, opportunity and motivation. Implementation intentions and goal‑setting theory offer practical strategies for translating motivation into action; habit formation research highlights the need for repetition in stable contexts; self‑regulation and SDT emphasise feedback, autonomy and psychological needs. Identity and values influence motivation, while avoidance can derail progress.</w:t>
      </w:r>
    </w:p>
    <w:p>
      <w:pPr>
        <w:pStyle w:val="BodyText"/>
      </w:pPr>
      <w:r>
        <w:t xml:space="preserve">We recommend reorganising BecomingOS into</w:t>
      </w:r>
      <w:r>
        <w:t xml:space="preserve"> </w:t>
      </w:r>
      <w:r>
        <w:rPr>
          <w:b/>
          <w:bCs/>
        </w:rPr>
        <w:t xml:space="preserve">three pillars</w:t>
      </w:r>
      <w:r>
        <w:t xml:space="preserve">:</w:t>
      </w:r>
    </w:p>
    <w:p>
      <w:pPr>
        <w:numPr>
          <w:ilvl w:val="0"/>
          <w:numId w:val="1001"/>
        </w:numPr>
      </w:pPr>
      <w:r>
        <w:rPr>
          <w:b/>
          <w:bCs/>
        </w:rPr>
        <w:t xml:space="preserve">Understand</w:t>
      </w:r>
      <w:r>
        <w:t xml:space="preserve"> </w:t>
      </w:r>
      <w:r>
        <w:t xml:space="preserve">(assess capability, opportunity, motivation and identity).</w:t>
      </w:r>
    </w:p>
    <w:p>
      <w:pPr>
        <w:numPr>
          <w:ilvl w:val="0"/>
          <w:numId w:val="1001"/>
        </w:numPr>
      </w:pPr>
      <w:r>
        <w:t xml:space="preserve">Use questionnaires to explore user values, identities, needs, skills and environmental context.</w:t>
      </w:r>
    </w:p>
    <w:p>
      <w:pPr>
        <w:numPr>
          <w:ilvl w:val="0"/>
          <w:numId w:val="1001"/>
        </w:numPr>
      </w:pPr>
      <w:r>
        <w:t xml:space="preserve">Map positive and negative patterns into reflective and automatic motivation.</w:t>
      </w:r>
    </w:p>
    <w:p>
      <w:pPr>
        <w:numPr>
          <w:ilvl w:val="0"/>
          <w:numId w:val="1001"/>
        </w:numPr>
      </w:pPr>
      <w:r>
        <w:rPr>
          <w:b/>
          <w:bCs/>
        </w:rPr>
        <w:t xml:space="preserve">Plan &amp; Act</w:t>
      </w:r>
      <w:r>
        <w:t xml:space="preserve"> </w:t>
      </w:r>
      <w:r>
        <w:t xml:space="preserve">(set goals, form implementation intentions, schedule practices).</w:t>
      </w:r>
    </w:p>
    <w:p>
      <w:pPr>
        <w:numPr>
          <w:ilvl w:val="0"/>
          <w:numId w:val="1001"/>
        </w:numPr>
      </w:pPr>
      <w:r>
        <w:t xml:space="preserve">Guide users through setting specific, challenging goals aligned with values and identity.</w:t>
      </w:r>
    </w:p>
    <w:p>
      <w:pPr>
        <w:pStyle w:val="Compact"/>
        <w:numPr>
          <w:ilvl w:val="0"/>
          <w:numId w:val="1001"/>
        </w:numPr>
      </w:pPr>
      <w:r>
        <w:t xml:space="preserve">Help create if‑then plans and schedule them into the calendar.</w:t>
      </w:r>
    </w:p>
    <w:p>
      <w:pPr>
        <w:numPr>
          <w:ilvl w:val="0"/>
          <w:numId w:val="1001"/>
        </w:numPr>
      </w:pPr>
      <w:r>
        <w:t xml:space="preserve">Encourage repetition in stable contexts and support self‑selected habits.</w:t>
      </w:r>
    </w:p>
    <w:p>
      <w:pPr>
        <w:numPr>
          <w:ilvl w:val="0"/>
          <w:numId w:val="1001"/>
        </w:numPr>
      </w:pPr>
      <w:r>
        <w:rPr>
          <w:b/>
          <w:bCs/>
        </w:rPr>
        <w:t xml:space="preserve">Reflect &amp; Adjust</w:t>
      </w:r>
      <w:r>
        <w:t xml:space="preserve"> </w:t>
      </w:r>
      <w:r>
        <w:t xml:space="preserve">(review loops, feedback, self‑regulation).</w:t>
      </w:r>
    </w:p>
    <w:p>
      <w:pPr>
        <w:numPr>
          <w:ilvl w:val="0"/>
          <w:numId w:val="1001"/>
        </w:numPr>
      </w:pPr>
      <w:r>
        <w:t xml:space="preserve">Provide regular progress reviews, highlight successes, address barriers, and modify plans.</w:t>
      </w:r>
    </w:p>
    <w:p>
      <w:pPr>
        <w:pStyle w:val="Compact"/>
        <w:numPr>
          <w:ilvl w:val="0"/>
          <w:numId w:val="1001"/>
        </w:numPr>
      </w:pPr>
      <w:r>
        <w:t xml:space="preserve">Reinforce autonomy and competence, avoid controlling language, and recognise avoidance patterns.</w:t>
      </w:r>
    </w:p>
    <w:p>
      <w:pPr>
        <w:pStyle w:val="FirstParagraph"/>
      </w:pPr>
      <w:r>
        <w:t xml:space="preserve">This structure preserves existing modules (e.g., values, identity, goals) but aligns them with evidence‑based determinants. Morals, pleasure, pain, desire and needs can be reframed as elements of motivation (reflective and automatic). Calendar alignment and review loops support planning and reflection phases.</w:t>
      </w:r>
    </w:p>
    <w:bookmarkEnd w:id="48"/>
    <w:bookmarkStart w:id="49" w:name="modulebymodule-implications"/>
    <w:p>
      <w:pPr>
        <w:pStyle w:val="Heading2"/>
      </w:pPr>
      <w:r>
        <w:t xml:space="preserve">3 Module‑by‑module implications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 module</w:t>
            </w:r>
          </w:p>
        </w:tc>
        <w:tc>
          <w:tcPr/>
          <w:p>
            <w:pPr>
              <w:pStyle w:val="Compact"/>
            </w:pPr>
            <w:r>
              <w:t xml:space="preserve">Evidence‑based implications</w:t>
            </w:r>
          </w:p>
        </w:tc>
      </w:tr>
      <w:tr>
        <w:tc>
          <w:tcPr/>
          <w:p>
            <w:pPr>
              <w:pStyle w:val="Compact"/>
            </w:pPr>
            <w:r>
              <w:rPr>
                <w:b/>
                <w:bCs/>
              </w:rPr>
              <w:t xml:space="preserve">Values &amp; morals</w:t>
            </w:r>
          </w:p>
        </w:tc>
        <w:tc>
          <w:tcPr/>
          <w:p>
            <w:pPr>
              <w:pStyle w:val="Compact"/>
            </w:pPr>
            <w:r>
              <w:t xml:space="preserve">Integrate into the</w:t>
            </w:r>
            <w:r>
              <w:t xml:space="preserve"> </w:t>
            </w:r>
            <w:r>
              <w:rPr>
                <w:b/>
                <w:bCs/>
              </w:rPr>
              <w:t xml:space="preserve">motivation</w:t>
            </w:r>
            <w:r>
              <w:t xml:space="preserve"> </w:t>
            </w:r>
            <w:r>
              <w:t xml:space="preserve">component. Ask users what personally meaningful values drive their goals. Avoid moralising or judging; treat morals as personal standards. Link values to SDT’s autonomy and intrinsic motivation.</w:t>
            </w:r>
            <w:hyperlink r:id="rId39">
              <w:r>
                <w:rPr>
                  <w:rStyle w:val="Hyperlink"/>
                </w:rPr>
                <w:t xml:space="preserve">[13]</w:t>
              </w:r>
            </w:hyperlink>
          </w:p>
        </w:tc>
      </w:tr>
      <w:tr>
        <w:tc>
          <w:tcPr/>
          <w:p>
            <w:pPr>
              <w:pStyle w:val="Compact"/>
            </w:pPr>
            <w:r>
              <w:rPr>
                <w:b/>
                <w:bCs/>
              </w:rPr>
              <w:t xml:space="preserve">Pleasure &amp; pain</w:t>
            </w:r>
          </w:p>
        </w:tc>
        <w:tc>
          <w:tcPr/>
          <w:p>
            <w:pPr>
              <w:pStyle w:val="Compact"/>
            </w:pPr>
            <w:r>
              <w:t xml:space="preserve">Recognise that automatic motivation involves emotional responses and reward/punishment</w:t>
            </w:r>
            <w:hyperlink r:id="rId22">
              <w:r>
                <w:rPr>
                  <w:rStyle w:val="Hyperlink"/>
                </w:rPr>
                <w:t xml:space="preserve">[1]</w:t>
              </w:r>
            </w:hyperlink>
            <w:r>
              <w:t xml:space="preserve">. Assess what makes behaviours enjoyable (intrinsic reward) or unpleasant. Use this to design rewards or remove barriers. Avoid using pain/negative reinforcement as a behaviour change tool.</w:t>
            </w:r>
          </w:p>
        </w:tc>
      </w:tr>
      <w:tr>
        <w:tc>
          <w:tcPr/>
          <w:p>
            <w:pPr>
              <w:pStyle w:val="Compact"/>
            </w:pPr>
            <w:r>
              <w:rPr>
                <w:b/>
                <w:bCs/>
              </w:rPr>
              <w:t xml:space="preserve">Desire &amp; needs</w:t>
            </w:r>
          </w:p>
        </w:tc>
        <w:tc>
          <w:tcPr/>
          <w:p>
            <w:pPr>
              <w:pStyle w:val="Compact"/>
            </w:pPr>
            <w:r>
              <w:t xml:space="preserve">Desires can be reflective or automatic motivations; needs can be basic psychological needs (autonomy, competence, relatedness)</w:t>
            </w:r>
            <w:hyperlink r:id="rId39">
              <w:r>
                <w:rPr>
                  <w:rStyle w:val="Hyperlink"/>
                </w:rPr>
                <w:t xml:space="preserve">[13]</w:t>
              </w:r>
            </w:hyperlink>
            <w:r>
              <w:t xml:space="preserve">. Assess whether goals satisfy these needs.</w:t>
            </w:r>
          </w:p>
        </w:tc>
      </w:tr>
      <w:tr>
        <w:tc>
          <w:tcPr/>
          <w:p>
            <w:pPr>
              <w:pStyle w:val="Compact"/>
            </w:pPr>
            <w:r>
              <w:rPr>
                <w:b/>
                <w:bCs/>
              </w:rPr>
              <w:t xml:space="preserve">Identity</w:t>
            </w:r>
          </w:p>
        </w:tc>
        <w:tc>
          <w:tcPr/>
          <w:p>
            <w:pPr>
              <w:pStyle w:val="Compact"/>
            </w:pPr>
            <w:r>
              <w:t xml:space="preserve">Encourage identity exploration as part of motivation. Connect behaviours to desired identities; avoid imposing labels.</w:t>
            </w:r>
          </w:p>
        </w:tc>
      </w:tr>
      <w:tr>
        <w:tc>
          <w:tcPr/>
          <w:p>
            <w:pPr>
              <w:pStyle w:val="Compact"/>
            </w:pPr>
            <w:r>
              <w:rPr>
                <w:b/>
                <w:bCs/>
              </w:rPr>
              <w:t xml:space="preserve">Positive/negative patterns</w:t>
            </w:r>
          </w:p>
        </w:tc>
        <w:tc>
          <w:tcPr/>
          <w:p>
            <w:pPr>
              <w:pStyle w:val="Compact"/>
            </w:pPr>
            <w:r>
              <w:t xml:space="preserve">Map repeated behaviours and triggers. Identify which patterns reflect automatic motivation or opportunity and design to reinforce desirable patterns and disrupt undesirable ones. Provide habit‑tracking and contextual cues.</w:t>
            </w:r>
          </w:p>
        </w:tc>
      </w:tr>
      <w:tr>
        <w:tc>
          <w:tcPr/>
          <w:p>
            <w:pPr>
              <w:pStyle w:val="Compact"/>
            </w:pPr>
            <w:r>
              <w:rPr>
                <w:b/>
                <w:bCs/>
              </w:rPr>
              <w:t xml:space="preserve">Goals</w:t>
            </w:r>
          </w:p>
        </w:tc>
        <w:tc>
          <w:tcPr/>
          <w:p>
            <w:pPr>
              <w:pStyle w:val="Compact"/>
            </w:pPr>
            <w:r>
              <w:t xml:space="preserve">Apply goal‑setting theory: ensure goals are specific, challenging and time‑bounded</w:t>
            </w:r>
            <w:hyperlink r:id="rId30">
              <w:r>
                <w:rPr>
                  <w:rStyle w:val="Hyperlink"/>
                </w:rPr>
                <w:t xml:space="preserve">[6]</w:t>
              </w:r>
            </w:hyperlink>
            <w:r>
              <w:t xml:space="preserve">. Provide feedback and adjust difficulty based on progress and self‑efficacy.</w:t>
            </w:r>
          </w:p>
        </w:tc>
      </w:tr>
      <w:tr>
        <w:tc>
          <w:tcPr/>
          <w:p>
            <w:pPr>
              <w:pStyle w:val="Compact"/>
            </w:pPr>
            <w:r>
              <w:rPr>
                <w:b/>
                <w:bCs/>
              </w:rPr>
              <w:t xml:space="preserve">Calendar alignment</w:t>
            </w:r>
          </w:p>
        </w:tc>
        <w:tc>
          <w:tcPr/>
          <w:p>
            <w:pPr>
              <w:pStyle w:val="Compact"/>
            </w:pPr>
            <w:r>
              <w:t xml:space="preserve">Use implementation intentions and habit research to schedule behaviours in consistent contexts</w:t>
            </w:r>
            <w:hyperlink r:id="rId28">
              <w:r>
                <w:rPr>
                  <w:rStyle w:val="Hyperlink"/>
                </w:rPr>
                <w:t xml:space="preserve">[4]</w:t>
              </w:r>
            </w:hyperlink>
            <w:r>
              <w:t xml:space="preserve">. Ensure that the calendar invites repeated practice and realistic timeframes.</w:t>
            </w:r>
          </w:p>
        </w:tc>
      </w:tr>
      <w:tr>
        <w:tc>
          <w:tcPr/>
          <w:p>
            <w:pPr>
              <w:pStyle w:val="Compact"/>
            </w:pPr>
            <w:r>
              <w:rPr>
                <w:b/>
                <w:bCs/>
              </w:rPr>
              <w:t xml:space="preserve">Review loops</w:t>
            </w:r>
          </w:p>
        </w:tc>
        <w:tc>
          <w:tcPr/>
          <w:p>
            <w:pPr>
              <w:pStyle w:val="Compact"/>
            </w:pPr>
            <w:r>
              <w:t xml:space="preserve">Implement self‑regulation techniques: monitor behaviour, provide feedback, identify barriers and adjust plans</w:t>
            </w:r>
            <w:hyperlink r:id="rId37">
              <w:r>
                <w:rPr>
                  <w:rStyle w:val="Hyperlink"/>
                </w:rPr>
                <w:t xml:space="preserve">[12]</w:t>
              </w:r>
            </w:hyperlink>
            <w:r>
              <w:t xml:space="preserve">. Emphasise learning rather than judgement.</w:t>
            </w:r>
          </w:p>
        </w:tc>
      </w:tr>
      <w:tr>
        <w:tc>
          <w:tcPr/>
          <w:p>
            <w:pPr>
              <w:pStyle w:val="Compact"/>
            </w:pPr>
            <w:r>
              <w:rPr>
                <w:b/>
                <w:bCs/>
              </w:rPr>
              <w:t xml:space="preserve">Decision support</w:t>
            </w:r>
          </w:p>
        </w:tc>
        <w:tc>
          <w:tcPr/>
          <w:p>
            <w:pPr>
              <w:pStyle w:val="Compact"/>
            </w:pPr>
            <w:r>
              <w:t xml:space="preserve">Use COM‑B to diagnose whether the barrier is capability, opportunity or motivation and suggest targeted interventions (education, environmental restructuring, training, etc.)</w:t>
            </w:r>
            <w:hyperlink r:id="rId24">
              <w:r>
                <w:rPr>
                  <w:rStyle w:val="Hyperlink"/>
                </w:rPr>
                <w:t xml:space="preserve">[2]</w:t>
              </w:r>
            </w:hyperlink>
            <w:r>
              <w:t xml:space="preserve">.</w:t>
            </w:r>
          </w:p>
        </w:tc>
      </w:tr>
    </w:tbl>
    <w:bookmarkEnd w:id="49"/>
    <w:bookmarkStart w:id="50" w:name="question-design-implications"/>
    <w:p>
      <w:pPr>
        <w:pStyle w:val="Heading2"/>
      </w:pPr>
      <w:r>
        <w:t xml:space="preserve">4 Question design implications</w:t>
      </w:r>
    </w:p>
    <w:p>
      <w:pPr>
        <w:pStyle w:val="Compact"/>
        <w:numPr>
          <w:ilvl w:val="0"/>
          <w:numId w:val="1002"/>
        </w:numPr>
      </w:pPr>
      <w:r>
        <w:rPr>
          <w:b/>
          <w:bCs/>
        </w:rPr>
        <w:t xml:space="preserve">From assessment to action</w:t>
      </w:r>
      <w:r>
        <w:t xml:space="preserve">: Begin with exploratory, non‑judgemental questions (“What matters most to you?,” “What skills or resources do you have?”) to map COM‑B components.</w:t>
      </w:r>
    </w:p>
    <w:p>
      <w:pPr>
        <w:pStyle w:val="Compact"/>
        <w:numPr>
          <w:ilvl w:val="0"/>
          <w:numId w:val="1002"/>
        </w:numPr>
      </w:pPr>
      <w:r>
        <w:rPr>
          <w:b/>
          <w:bCs/>
        </w:rPr>
        <w:t xml:space="preserve">Goal and plan formation</w:t>
      </w:r>
      <w:r>
        <w:t xml:space="preserve">: Ask questions that prompt specificity, challenge and commitment (“What does success look like?” “When and where will you act?”).</w:t>
      </w:r>
    </w:p>
    <w:p>
      <w:pPr>
        <w:pStyle w:val="Compact"/>
        <w:numPr>
          <w:ilvl w:val="0"/>
          <w:numId w:val="1002"/>
        </w:numPr>
      </w:pPr>
      <w:r>
        <w:rPr>
          <w:b/>
          <w:bCs/>
        </w:rPr>
        <w:t xml:space="preserve">Identity and values</w:t>
      </w:r>
      <w:r>
        <w:t xml:space="preserve">: Use open‑ended prompts (“Who do you want to be?” “Which values guide you?”) while respecting autonomy.</w:t>
      </w:r>
    </w:p>
    <w:p>
      <w:pPr>
        <w:pStyle w:val="Compact"/>
        <w:numPr>
          <w:ilvl w:val="0"/>
          <w:numId w:val="1002"/>
        </w:numPr>
      </w:pPr>
      <w:r>
        <w:rPr>
          <w:b/>
          <w:bCs/>
        </w:rPr>
        <w:t xml:space="preserve">Reflective questions</w:t>
      </w:r>
      <w:r>
        <w:t xml:space="preserve">: During review loops, ask about feelings, obstacles and learning (“How did you feel?” “What got in the way?” “What will you try differently?”).</w:t>
      </w:r>
    </w:p>
    <w:p>
      <w:pPr>
        <w:pStyle w:val="Compact"/>
        <w:numPr>
          <w:ilvl w:val="0"/>
          <w:numId w:val="1002"/>
        </w:numPr>
      </w:pPr>
      <w:r>
        <w:rPr>
          <w:b/>
          <w:bCs/>
        </w:rPr>
        <w:t xml:space="preserve">Safety and ethics</w:t>
      </w:r>
      <w:r>
        <w:t xml:space="preserve">: Avoid diagnostic questions (“Do you have depression?”). Do not inquire about sensitive traits unless strictly necessary and always provide opt‑out.</w:t>
      </w:r>
    </w:p>
    <w:p>
      <w:pPr>
        <w:pStyle w:val="Compact"/>
        <w:numPr>
          <w:ilvl w:val="0"/>
          <w:numId w:val="1002"/>
        </w:numPr>
      </w:pPr>
      <w:r>
        <w:rPr>
          <w:b/>
          <w:bCs/>
        </w:rPr>
        <w:t xml:space="preserve">Encourage self‑efficacy</w:t>
      </w:r>
      <w:r>
        <w:t xml:space="preserve">: Use language that reinforces the user’s ability to change (“You’ve made progress,” “What strengths helped you?”).</w:t>
      </w:r>
    </w:p>
    <w:p>
      <w:pPr>
        <w:pStyle w:val="Compact"/>
        <w:numPr>
          <w:ilvl w:val="0"/>
          <w:numId w:val="1002"/>
        </w:numPr>
      </w:pPr>
      <w:r>
        <w:rPr>
          <w:b/>
          <w:bCs/>
        </w:rPr>
        <w:t xml:space="preserve">Avoid coercion</w:t>
      </w:r>
      <w:r>
        <w:t xml:space="preserve">: Questions should invite, not direct. Refrain from “Why didn’t you…” or “You must…”.</w:t>
      </w:r>
    </w:p>
    <w:bookmarkEnd w:id="50"/>
    <w:bookmarkStart w:id="51" w:name="suggested-changes-to-module-order"/>
    <w:p>
      <w:pPr>
        <w:pStyle w:val="Heading2"/>
      </w:pPr>
      <w:r>
        <w:t xml:space="preserve">5 Suggested changes to module order</w:t>
      </w:r>
    </w:p>
    <w:p>
      <w:pPr>
        <w:pStyle w:val="Compact"/>
        <w:numPr>
          <w:ilvl w:val="0"/>
          <w:numId w:val="1003"/>
        </w:numPr>
      </w:pPr>
      <w:r>
        <w:rPr>
          <w:b/>
          <w:bCs/>
        </w:rPr>
        <w:t xml:space="preserve">Start with Understand (values, identity, capabilities, opportunity)</w:t>
      </w:r>
      <w:r>
        <w:t xml:space="preserve"> </w:t>
      </w:r>
      <w:r>
        <w:t xml:space="preserve">instead of pain/pleasure. Without understanding capabilities and context, focusing on pain/pleasure could feel manipulative.</w:t>
      </w:r>
    </w:p>
    <w:p>
      <w:pPr>
        <w:pStyle w:val="Compact"/>
        <w:numPr>
          <w:ilvl w:val="0"/>
          <w:numId w:val="1003"/>
        </w:numPr>
      </w:pPr>
      <w:r>
        <w:rPr>
          <w:b/>
          <w:bCs/>
        </w:rPr>
        <w:t xml:space="preserve">Merge morals, pleasure, pain and desire</w:t>
      </w:r>
      <w:r>
        <w:t xml:space="preserve"> </w:t>
      </w:r>
      <w:r>
        <w:t xml:space="preserve">into a broader</w:t>
      </w:r>
      <w:r>
        <w:t xml:space="preserve"> </w:t>
      </w:r>
      <w:r>
        <w:rPr>
          <w:b/>
          <w:bCs/>
        </w:rPr>
        <w:t xml:space="preserve">Motivation</w:t>
      </w:r>
      <w:r>
        <w:t xml:space="preserve"> </w:t>
      </w:r>
      <w:r>
        <w:t xml:space="preserve">module that explores both reflective (values, goals) and automatic (emotions, rewards) motivations.</w:t>
      </w:r>
    </w:p>
    <w:p>
      <w:pPr>
        <w:pStyle w:val="Compact"/>
        <w:numPr>
          <w:ilvl w:val="0"/>
          <w:numId w:val="1003"/>
        </w:numPr>
      </w:pPr>
      <w:r>
        <w:rPr>
          <w:b/>
          <w:bCs/>
        </w:rPr>
        <w:t xml:space="preserve">Place Goal‑setting and Planning</w:t>
      </w:r>
      <w:r>
        <w:t xml:space="preserve"> </w:t>
      </w:r>
      <w:r>
        <w:t xml:space="preserve">early, following assessment, to capitalise on initial motivation.</w:t>
      </w:r>
    </w:p>
    <w:p>
      <w:pPr>
        <w:pStyle w:val="Compact"/>
        <w:numPr>
          <w:ilvl w:val="0"/>
          <w:numId w:val="1003"/>
        </w:numPr>
      </w:pPr>
      <w:r>
        <w:rPr>
          <w:b/>
          <w:bCs/>
        </w:rPr>
        <w:t xml:space="preserve">Integrate Calendar alignment</w:t>
      </w:r>
      <w:r>
        <w:t xml:space="preserve"> </w:t>
      </w:r>
      <w:r>
        <w:t xml:space="preserve">as part of implementation intention formation.</w:t>
      </w:r>
    </w:p>
    <w:p>
      <w:pPr>
        <w:pStyle w:val="Compact"/>
        <w:numPr>
          <w:ilvl w:val="0"/>
          <w:numId w:val="1003"/>
        </w:numPr>
      </w:pPr>
      <w:r>
        <w:rPr>
          <w:b/>
          <w:bCs/>
        </w:rPr>
        <w:t xml:space="preserve">Include Review loops</w:t>
      </w:r>
      <w:r>
        <w:t xml:space="preserve"> </w:t>
      </w:r>
      <w:r>
        <w:t xml:space="preserve">regularly rather than at the end; short feedback cycles support self‑regulation.</w:t>
      </w:r>
    </w:p>
    <w:p>
      <w:pPr>
        <w:pStyle w:val="Compact"/>
        <w:numPr>
          <w:ilvl w:val="0"/>
          <w:numId w:val="1003"/>
        </w:numPr>
      </w:pPr>
      <w:r>
        <w:rPr>
          <w:b/>
          <w:bCs/>
        </w:rPr>
        <w:t xml:space="preserve">Move Decision support</w:t>
      </w:r>
      <w:r>
        <w:t xml:space="preserve"> </w:t>
      </w:r>
      <w:r>
        <w:t xml:space="preserve">into an ongoing diagnostic tool that adapts interventions based on COM‑B analysis.</w:t>
      </w:r>
    </w:p>
    <w:bookmarkEnd w:id="51"/>
    <w:bookmarkStart w:id="52" w:name="concepts-to-avoid"/>
    <w:p>
      <w:pPr>
        <w:pStyle w:val="Heading2"/>
      </w:pPr>
      <w:r>
        <w:t xml:space="preserve">6 Concepts to avoid</w:t>
      </w:r>
    </w:p>
    <w:p>
      <w:pPr>
        <w:pStyle w:val="Compact"/>
        <w:numPr>
          <w:ilvl w:val="0"/>
          <w:numId w:val="1004"/>
        </w:numPr>
      </w:pPr>
      <w:r>
        <w:rPr>
          <w:b/>
          <w:bCs/>
        </w:rPr>
        <w:t xml:space="preserve">Therapy or diagnosis</w:t>
      </w:r>
      <w:r>
        <w:t xml:space="preserve">: Avoid diagnosing mental health conditions or offering clinical treatment.</w:t>
      </w:r>
    </w:p>
    <w:p>
      <w:pPr>
        <w:pStyle w:val="Compact"/>
        <w:numPr>
          <w:ilvl w:val="0"/>
          <w:numId w:val="1004"/>
        </w:numPr>
      </w:pPr>
      <w:r>
        <w:rPr>
          <w:b/>
          <w:bCs/>
        </w:rPr>
        <w:t xml:space="preserve">Coercive interventions</w:t>
      </w:r>
      <w:r>
        <w:t xml:space="preserve">: Coercion, punishment and restrictive interventions (parts of the BCW) should be excluded from the product because they undermine autonomy and could cause harm.</w:t>
      </w:r>
    </w:p>
    <w:p>
      <w:pPr>
        <w:pStyle w:val="Compact"/>
        <w:numPr>
          <w:ilvl w:val="0"/>
          <w:numId w:val="1004"/>
        </w:numPr>
      </w:pPr>
      <w:r>
        <w:rPr>
          <w:b/>
          <w:bCs/>
        </w:rPr>
        <w:t xml:space="preserve">Moral judgment</w:t>
      </w:r>
      <w:r>
        <w:t xml:space="preserve">: Framing behaviour change as a matter of morality or worth can induce shame. Keep language neutral and supportive.</w:t>
      </w:r>
    </w:p>
    <w:p>
      <w:pPr>
        <w:pStyle w:val="Compact"/>
        <w:numPr>
          <w:ilvl w:val="0"/>
          <w:numId w:val="1004"/>
        </w:numPr>
      </w:pPr>
      <w:r>
        <w:rPr>
          <w:b/>
          <w:bCs/>
        </w:rPr>
        <w:t xml:space="preserve">21‑day habit myths</w:t>
      </w:r>
      <w:r>
        <w:t xml:space="preserve">: Present realistic timelines for habit formation</w:t>
      </w:r>
      <w:hyperlink r:id="rId28">
        <w:r>
          <w:rPr>
            <w:rStyle w:val="Hyperlink"/>
          </w:rPr>
          <w:t xml:space="preserve">[4]</w:t>
        </w:r>
      </w:hyperlink>
      <w:r>
        <w:t xml:space="preserve">.</w:t>
      </w:r>
    </w:p>
    <w:p>
      <w:pPr>
        <w:pStyle w:val="Compact"/>
        <w:numPr>
          <w:ilvl w:val="0"/>
          <w:numId w:val="1004"/>
        </w:numPr>
      </w:pPr>
      <w:r>
        <w:rPr>
          <w:b/>
          <w:bCs/>
        </w:rPr>
        <w:t xml:space="preserve">Invasively collecting sensitive data</w:t>
      </w:r>
      <w:r>
        <w:t xml:space="preserve">: Do not require users to provide health, psychological or demographic information unless essential. Respect privacy.</w:t>
      </w:r>
    </w:p>
    <w:p>
      <w:pPr>
        <w:pStyle w:val="Compact"/>
        <w:numPr>
          <w:ilvl w:val="0"/>
          <w:numId w:val="1004"/>
        </w:numPr>
      </w:pPr>
      <w:r>
        <w:rPr>
          <w:b/>
          <w:bCs/>
        </w:rPr>
        <w:t xml:space="preserve">Medical advice</w:t>
      </w:r>
      <w:r>
        <w:t xml:space="preserve">: Do not provide advice requiring professional qualifications (e.g., dietary prescriptions for medical conditions).</w:t>
      </w:r>
    </w:p>
    <w:bookmarkEnd w:id="52"/>
    <w:bookmarkStart w:id="53" w:name="product-safety-notes"/>
    <w:p>
      <w:pPr>
        <w:pStyle w:val="Heading2"/>
      </w:pPr>
      <w:r>
        <w:t xml:space="preserve">7 Product safety notes</w:t>
      </w:r>
    </w:p>
    <w:p>
      <w:pPr>
        <w:pStyle w:val="Compact"/>
        <w:numPr>
          <w:ilvl w:val="0"/>
          <w:numId w:val="1005"/>
        </w:numPr>
      </w:pPr>
      <w:r>
        <w:rPr>
          <w:b/>
          <w:bCs/>
        </w:rPr>
        <w:t xml:space="preserve">Respect autonomy</w:t>
      </w:r>
      <w:r>
        <w:t xml:space="preserve">: Let users set their own goals, choose interventions and opt out of features. This aligns with SDT and reduces risk of controlled motivation</w:t>
      </w:r>
      <w:hyperlink r:id="rId39">
        <w:r>
          <w:rPr>
            <w:rStyle w:val="Hyperlink"/>
          </w:rPr>
          <w:t xml:space="preserve">[13]</w:t>
        </w:r>
      </w:hyperlink>
      <w:r>
        <w:t xml:space="preserve">.</w:t>
      </w:r>
    </w:p>
    <w:p>
      <w:pPr>
        <w:pStyle w:val="Compact"/>
        <w:numPr>
          <w:ilvl w:val="0"/>
          <w:numId w:val="1005"/>
        </w:numPr>
      </w:pPr>
      <w:r>
        <w:rPr>
          <w:b/>
          <w:bCs/>
        </w:rPr>
        <w:t xml:space="preserve">Support competence and relatedness</w:t>
      </w:r>
      <w:r>
        <w:t xml:space="preserve">: Provide clear instructions and celebrate successes; encourage social support without forcing social sharing.</w:t>
      </w:r>
    </w:p>
    <w:p>
      <w:pPr>
        <w:pStyle w:val="Compact"/>
        <w:numPr>
          <w:ilvl w:val="0"/>
          <w:numId w:val="1005"/>
        </w:numPr>
      </w:pPr>
      <w:r>
        <w:rPr>
          <w:b/>
          <w:bCs/>
        </w:rPr>
        <w:t xml:space="preserve">Avoid triggering content</w:t>
      </w:r>
      <w:r>
        <w:t xml:space="preserve">: When discussing pain, trauma or avoidance, include warnings and allow users to skip.</w:t>
      </w:r>
    </w:p>
    <w:p>
      <w:pPr>
        <w:pStyle w:val="Compact"/>
        <w:numPr>
          <w:ilvl w:val="0"/>
          <w:numId w:val="1005"/>
        </w:numPr>
      </w:pPr>
      <w:r>
        <w:rPr>
          <w:b/>
          <w:bCs/>
        </w:rPr>
        <w:t xml:space="preserve">Data privacy</w:t>
      </w:r>
      <w:r>
        <w:t xml:space="preserve">: Secure and anonymise user data; allow users to control what is stored or shared.</w:t>
      </w:r>
    </w:p>
    <w:p>
      <w:pPr>
        <w:pStyle w:val="Compact"/>
        <w:numPr>
          <w:ilvl w:val="0"/>
          <w:numId w:val="1005"/>
        </w:numPr>
      </w:pPr>
      <w:r>
        <w:rPr>
          <w:b/>
          <w:bCs/>
        </w:rPr>
        <w:t xml:space="preserve">Limit scope</w:t>
      </w:r>
      <w:r>
        <w:t xml:space="preserve">: Clarify that BecomingOS is a self‑improvement tool, not a substitute for professional therapy or medical care.</w:t>
      </w:r>
    </w:p>
    <w:p>
      <w:pPr>
        <w:pStyle w:val="Compact"/>
        <w:numPr>
          <w:ilvl w:val="0"/>
          <w:numId w:val="1005"/>
        </w:numPr>
      </w:pPr>
      <w:r>
        <w:rPr>
          <w:b/>
          <w:bCs/>
        </w:rPr>
        <w:t xml:space="preserve">Monitor unintended consequences</w:t>
      </w:r>
      <w:r>
        <w:t xml:space="preserve">: Collect anonymous feedback to ensure that the product does not inadvertently increase anxiety, guilt or obsession.</w:t>
      </w:r>
    </w:p>
    <w:bookmarkEnd w:id="53"/>
    <w:bookmarkStart w:id="54" w:name="conclusion"/>
    <w:p>
      <w:pPr>
        <w:pStyle w:val="Heading2"/>
      </w:pPr>
      <w:r>
        <w:t xml:space="preserve">Conclusion</w:t>
      </w:r>
    </w:p>
    <w:p>
      <w:pPr>
        <w:pStyle w:val="FirstParagraph"/>
      </w:pPr>
      <w:r>
        <w:t xml:space="preserve">The current BecomingOS structure includes many relevant elements but lacks a coherent theoretical backbone. A well‑structured behaviour‑change product should be grounded in</w:t>
      </w:r>
      <w:r>
        <w:t xml:space="preserve"> </w:t>
      </w:r>
      <w:r>
        <w:rPr>
          <w:b/>
          <w:bCs/>
        </w:rPr>
        <w:t xml:space="preserve">COM‑B</w:t>
      </w:r>
      <w:r>
        <w:t xml:space="preserve"> </w:t>
      </w:r>
      <w:r>
        <w:t xml:space="preserve">and</w:t>
      </w:r>
      <w:r>
        <w:t xml:space="preserve"> </w:t>
      </w:r>
      <w:r>
        <w:rPr>
          <w:b/>
          <w:bCs/>
        </w:rPr>
        <w:t xml:space="preserve">Behaviour Change Wheel</w:t>
      </w:r>
      <w:r>
        <w:t xml:space="preserve"> </w:t>
      </w:r>
      <w:r>
        <w:t xml:space="preserve">to diagnose barriers and select appropriate interventions.</w:t>
      </w:r>
      <w:r>
        <w:t xml:space="preserve"> </w:t>
      </w:r>
      <w:r>
        <w:rPr>
          <w:b/>
          <w:bCs/>
        </w:rPr>
        <w:t xml:space="preserve">Implementation intentions, goal‑setting theory, habit formation, self‑regulation</w:t>
      </w:r>
      <w:r>
        <w:t xml:space="preserve"> </w:t>
      </w:r>
      <w:r>
        <w:t xml:space="preserve">and</w:t>
      </w:r>
      <w:r>
        <w:t xml:space="preserve"> </w:t>
      </w:r>
      <w:r>
        <w:rPr>
          <w:b/>
          <w:bCs/>
        </w:rPr>
        <w:t xml:space="preserve">Self‑Determination Theory</w:t>
      </w:r>
      <w:r>
        <w:t xml:space="preserve"> </w:t>
      </w:r>
      <w:r>
        <w:t xml:space="preserve">provide complementary mechanisms and highlight the importance of autonomy, feedback and identity. Avoidance behaviours and feedback loops remind designers to consider barriers and adjust strategies.</w:t>
      </w:r>
    </w:p>
    <w:p>
      <w:pPr>
        <w:pStyle w:val="BodyText"/>
      </w:pPr>
      <w:r>
        <w:t xml:space="preserve">By reorganising modules around these evidence‑based principles and using careful, non‑clinical language, BecomingOS can offer effective, ethical behaviour change support without becoming therapy or diagnosis.</w:t>
      </w:r>
    </w:p>
    <w:bookmarkEnd w:id="54"/>
    <w:bookmarkEnd w:id="55"/>
    <w:bookmarkEnd w:id="56"/>
    <w:p>
      <w:r>
        <w:pict>
          <v:rect style="width:0;height:1.5pt" o:hralign="center" o:hrstd="t" o:hr="t"/>
        </w:pict>
      </w:r>
    </w:p>
    <w:bookmarkStart w:id="64" w:name="citations"/>
    <w:p>
      <w:pPr>
        <w:pStyle w:val="FirstParagraph"/>
      </w:pPr>
      <w:hyperlink r:id="rId22">
        <w:r>
          <w:rPr>
            <w:rStyle w:val="Hyperlink"/>
          </w:rPr>
          <w:t xml:space="preserve">[1]</w:t>
        </w:r>
      </w:hyperlink>
      <w:r>
        <w:t xml:space="preserve"> </w:t>
      </w:r>
      <w:hyperlink r:id="rId24">
        <w:r>
          <w:rPr>
            <w:rStyle w:val="Hyperlink"/>
          </w:rPr>
          <w:t xml:space="preserve">[2]</w:t>
        </w:r>
      </w:hyperlink>
      <w:r>
        <w:t xml:space="preserve"> </w:t>
      </w:r>
      <w:r>
        <w:t xml:space="preserve"> </w:t>
      </w:r>
      <w:r>
        <w:t xml:space="preserve">The behaviour change wheel: A new method for characterising and designing behaviour change interventions - PMC</w:t>
      </w:r>
      <w:r>
        <w:t xml:space="preserve"> </w:t>
      </w:r>
    </w:p>
    <w:p>
      <w:pPr>
        <w:pStyle w:val="BodyText"/>
      </w:pPr>
      <w:hyperlink r:id="rId57">
        <w:r>
          <w:rPr>
            <w:rStyle w:val="Hyperlink"/>
          </w:rPr>
          <w:t xml:space="preserve">https://pmc.ncbi.nlm.nih.gov/articles/PMC3096582/</w:t>
        </w:r>
      </w:hyperlink>
    </w:p>
    <w:p>
      <w:pPr>
        <w:pStyle w:val="BodyText"/>
      </w:pPr>
      <w:hyperlink r:id="rId26">
        <w:r>
          <w:rPr>
            <w:rStyle w:val="Hyperlink"/>
          </w:rPr>
          <w:t xml:space="preserve">[3]</w:t>
        </w:r>
      </w:hyperlink>
      <w:r>
        <w:t xml:space="preserve"> </w:t>
      </w:r>
      <w:r>
        <w:t xml:space="preserve">Microsoft Word - goal_intent_attain.doc</w:t>
      </w:r>
    </w:p>
    <w:p>
      <w:pPr>
        <w:pStyle w:val="BodyText"/>
      </w:pPr>
      <w:hyperlink r:id="rId58">
        <w:r>
          <w:rPr>
            <w:rStyle w:val="Hyperlink"/>
          </w:rPr>
          <w:t xml:space="preserve">https://cancercontrol.cancer.gov/sites/default/files/2020-06/goal_intent_attain.pdf</w:t>
        </w:r>
      </w:hyperlink>
    </w:p>
    <w:p>
      <w:pPr>
        <w:pStyle w:val="BodyText"/>
      </w:pPr>
      <w:hyperlink r:id="rId28">
        <w:r>
          <w:rPr>
            <w:rStyle w:val="Hyperlink"/>
          </w:rPr>
          <w:t xml:space="preserve">[4]</w:t>
        </w:r>
      </w:hyperlink>
      <w:r>
        <w:t xml:space="preserve"> </w:t>
      </w:r>
      <w:hyperlink r:id="rId28">
        <w:r>
          <w:rPr>
            <w:rStyle w:val="Hyperlink"/>
          </w:rPr>
          <w:t xml:space="preserve">[5]</w:t>
        </w:r>
      </w:hyperlink>
      <w:r>
        <w:t xml:space="preserve"> </w:t>
      </w:r>
      <w:r>
        <w:t xml:space="preserve"> </w:t>
      </w:r>
      <w:r>
        <w:t xml:space="preserve">Time to Form a Habit: A Systematic Review and Meta-Analysis of Health Behaviour Habit Formation and Its Determinants - PMC</w:t>
      </w:r>
      <w:r>
        <w:t xml:space="preserve"> </w:t>
      </w:r>
    </w:p>
    <w:p>
      <w:pPr>
        <w:pStyle w:val="BodyText"/>
      </w:pPr>
      <w:hyperlink r:id="rId59">
        <w:r>
          <w:rPr>
            <w:rStyle w:val="Hyperlink"/>
          </w:rPr>
          <w:t xml:space="preserve">https://pmc.ncbi.nlm.nih.gov/articles/PMC11641623/</w:t>
        </w:r>
      </w:hyperlink>
    </w:p>
    <w:p>
      <w:pPr>
        <w:pStyle w:val="BodyText"/>
      </w:pPr>
      <w:hyperlink r:id="rId30">
        <w:r>
          <w:rPr>
            <w:rStyle w:val="Hyperlink"/>
          </w:rPr>
          <w:t xml:space="preserve">[6]</w:t>
        </w:r>
      </w:hyperlink>
      <w:r>
        <w:t xml:space="preserve"> </w:t>
      </w:r>
      <w:hyperlink r:id="rId31">
        <w:r>
          <w:rPr>
            <w:rStyle w:val="Hyperlink"/>
          </w:rPr>
          <w:t xml:space="preserve">[7]</w:t>
        </w:r>
      </w:hyperlink>
      <w:r>
        <w:t xml:space="preserve"> </w:t>
      </w:r>
      <w:hyperlink r:id="rId31">
        <w:r>
          <w:rPr>
            <w:rStyle w:val="Hyperlink"/>
          </w:rPr>
          <w:t xml:space="preserve">[8]</w:t>
        </w:r>
      </w:hyperlink>
      <w:r>
        <w:t xml:space="preserve"> </w:t>
      </w:r>
      <w:r>
        <w:t xml:space="preserve">PD.locke-and-latham-retrospective_Paper.pdf</w:t>
      </w:r>
    </w:p>
    <w:p>
      <w:pPr>
        <w:pStyle w:val="BodyText"/>
      </w:pPr>
      <w:hyperlink r:id="rId31">
        <w:r>
          <w:rPr>
            <w:rStyle w:val="Hyperlink"/>
          </w:rPr>
          <w:t xml:space="preserve">https://med.stanford.edu/content/dam/sm/s-spire/documents/PD.locke-and-latham-retrospective_Paper.pdf</w:t>
        </w:r>
      </w:hyperlink>
    </w:p>
    <w:p>
      <w:pPr>
        <w:pStyle w:val="BodyText"/>
      </w:pPr>
      <w:hyperlink r:id="rId33">
        <w:r>
          <w:rPr>
            <w:rStyle w:val="Hyperlink"/>
          </w:rPr>
          <w:t xml:space="preserve">[9]</w:t>
        </w:r>
      </w:hyperlink>
      <w:r>
        <w:t xml:space="preserve"> </w:t>
      </w:r>
      <w:r>
        <w:t xml:space="preserve">The relationship between habit and identity in health behaviors: A systematic review and three-level meta-analysis - PubMed</w:t>
      </w:r>
    </w:p>
    <w:p>
      <w:pPr>
        <w:pStyle w:val="BodyText"/>
      </w:pPr>
      <w:hyperlink r:id="rId60">
        <w:r>
          <w:rPr>
            <w:rStyle w:val="Hyperlink"/>
          </w:rPr>
          <w:t xml:space="preserve">https://pubmed.ncbi.nlm.nih.gov/40105110/</w:t>
        </w:r>
      </w:hyperlink>
    </w:p>
    <w:p>
      <w:pPr>
        <w:pStyle w:val="BodyText"/>
      </w:pPr>
      <w:hyperlink r:id="rId35">
        <w:r>
          <w:rPr>
            <w:rStyle w:val="Hyperlink"/>
          </w:rPr>
          <w:t xml:space="preserve">[10]</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r>
        <w:t xml:space="preserve"> </w:t>
      </w:r>
      <w:r>
        <w:t xml:space="preserve">Self-Regulation Mechanisms in Health Behaviour Change: A Systematic Meta-Review of Meta-Analyses, 2006–2017 - PMC</w:t>
      </w:r>
      <w:r>
        <w:t xml:space="preserve"> </w:t>
      </w:r>
    </w:p>
    <w:p>
      <w:pPr>
        <w:pStyle w:val="BodyText"/>
      </w:pPr>
      <w:hyperlink r:id="rId61">
        <w:r>
          <w:rPr>
            <w:rStyle w:val="Hyperlink"/>
          </w:rPr>
          <w:t xml:space="preserve">https://pmc.ncbi.nlm.nih.gov/articles/PMC7571594/</w:t>
        </w:r>
      </w:hyperlink>
    </w:p>
    <w:p>
      <w:pPr>
        <w:pStyle w:val="BodyText"/>
      </w:pPr>
      <w:hyperlink r:id="rId39">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r>
        <w:t xml:space="preserve"> </w:t>
      </w:r>
      <w:r>
        <w:t xml:space="preserve">Applying self-determination theory to behavior change technologies: insights from two projects in the health domain - PMC</w:t>
      </w:r>
      <w:r>
        <w:t xml:space="preserve"> </w:t>
      </w:r>
    </w:p>
    <w:p>
      <w:pPr>
        <w:pStyle w:val="BodyText"/>
      </w:pPr>
      <w:hyperlink r:id="rId62">
        <w:r>
          <w:rPr>
            <w:rStyle w:val="Hyperlink"/>
          </w:rPr>
          <w:t xml:space="preserve">https://pmc.ncbi.nlm.nih.gov/articles/PMC12685826/</w:t>
        </w:r>
      </w:hyperlink>
    </w:p>
    <w:p>
      <w:pPr>
        <w:pStyle w:val="BodyText"/>
      </w:pPr>
      <w:hyperlink r:id="rId42">
        <w:r>
          <w:rPr>
            <w:rStyle w:val="Hyperlink"/>
          </w:rPr>
          <w:t xml:space="preserve">[16]</w:t>
        </w:r>
      </w:hyperlink>
      <w:r>
        <w:t xml:space="preserve"> </w:t>
      </w:r>
      <w:hyperlink r:id="rId43">
        <w:r>
          <w:rPr>
            <w:rStyle w:val="Hyperlink"/>
          </w:rPr>
          <w:t xml:space="preserve">[17]</w:t>
        </w:r>
      </w:hyperlink>
      <w:r>
        <w:t xml:space="preserve"> </w:t>
      </w:r>
      <w:hyperlink r:id="rId44">
        <w:r>
          <w:rPr>
            <w:rStyle w:val="Hyperlink"/>
          </w:rPr>
          <w:t xml:space="preserve">[18]</w:t>
        </w:r>
      </w:hyperlink>
      <w:r>
        <w:t xml:space="preserve"> </w:t>
      </w:r>
      <w:r>
        <w:t xml:space="preserve"> </w:t>
      </w:r>
      <w:r>
        <w:t xml:space="preserve">Avoidance learning: a review of theoretical models and recent developments - PMC</w:t>
      </w:r>
      <w:r>
        <w:t xml:space="preserve"> </w:t>
      </w:r>
    </w:p>
    <w:p>
      <w:pPr>
        <w:pStyle w:val="BodyText"/>
      </w:pPr>
      <w:hyperlink r:id="rId63">
        <w:r>
          <w:rPr>
            <w:rStyle w:val="Hyperlink"/>
          </w:rPr>
          <w:t xml:space="preserve">https://pmc.ncbi.nlm.nih.gov/articles/PMC4508580/</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cancercontrol.cancer.gov/sites/default/files/2020-06/goal_intent_attain.pdf" TargetMode="External" /><Relationship Type="http://schemas.openxmlformats.org/officeDocument/2006/relationships/hyperlink" Id="rId26" Target="https://cancercontrol.cancer.gov/sites/default/files/2020-06/goal_intent_attain.pdf#:~:text=Implementation%20intentions%20,Below%2C%20we%20develop%20these" TargetMode="External" /><Relationship Type="http://schemas.openxmlformats.org/officeDocument/2006/relationships/hyperlink" Id="rId31" Target="https://med.stanford.edu/content/dam/sm/s-spire/documents/PD.locke-and-latham-retrospective_Paper.pdf" TargetMode="External" /><Relationship Type="http://schemas.openxmlformats.org/officeDocument/2006/relationships/hyperlink" Id="rId30" Target="https://med.stanford.edu/content/dam/sm/s-spire/documents/PD.locke-and-latham-retrospective_Paper.pdf#:~:text=goals%20were%20measured,they%20do%20not%20do%20so" TargetMode="External" /><Relationship Type="http://schemas.openxmlformats.org/officeDocument/2006/relationships/hyperlink" Id="rId59" Target="https://pmc.ncbi.nlm.nih.gov/articles/PMC11641623/" TargetMode="External" /><Relationship Type="http://schemas.openxmlformats.org/officeDocument/2006/relationships/hyperlink" Id="rId28" Target="https://pmc.ncbi.nlm.nih.gov/articles/PMC11641623/#:~:text=varied%20widely%2C%20ranging%20from%2059,moderate%20effect%20sizes%20for%20diet" TargetMode="External" /><Relationship Type="http://schemas.openxmlformats.org/officeDocument/2006/relationships/hyperlink" Id="rId62" Target="https://pmc.ncbi.nlm.nih.gov/articles/PMC12685826/" TargetMode="External" /><Relationship Type="http://schemas.openxmlformats.org/officeDocument/2006/relationships/hyperlink" Id="rId39" Target="https://pmc.ncbi.nlm.nih.gov/articles/PMC12685826/#:~:text=At%20its%20core%2C%20SDT%20differentiates,technology%20can%20effectively%20support%20them" TargetMode="External" /><Relationship Type="http://schemas.openxmlformats.org/officeDocument/2006/relationships/hyperlink" Id="rId40" Target="https://pmc.ncbi.nlm.nih.gov/articles/PMC12685826/#:~:text=To%20address%20this%20gap%2C%20researchers,making%20it%20highly%20relevant%20for" TargetMode="External" /><Relationship Type="http://schemas.openxmlformats.org/officeDocument/2006/relationships/hyperlink" Id="rId57" Target="https://pmc.ncbi.nlm.nih.gov/articles/PMC3096582/" TargetMode="External" /><Relationship Type="http://schemas.openxmlformats.org/officeDocument/2006/relationships/hyperlink" Id="rId22" Target="https://pmc.ncbi.nlm.nih.gov/articles/PMC3096582/#:~:text=%28the%20%27COM,alter%20capability%2C%20motivation%2C%20and%20opportunity" TargetMode="External" /><Relationship Type="http://schemas.openxmlformats.org/officeDocument/2006/relationships/hyperlink" Id="rId24" Target="https://pmc.ncbi.nlm.nih.gov/articles/PMC3096582/#:~:text=the%20components%20of%20the%20behaviour,Tables%202%20and%203" TargetMode="External" /><Relationship Type="http://schemas.openxmlformats.org/officeDocument/2006/relationships/hyperlink" Id="rId63" Target="https://pmc.ncbi.nlm.nih.gov/articles/PMC4508580/" TargetMode="External" /><Relationship Type="http://schemas.openxmlformats.org/officeDocument/2006/relationships/hyperlink" Id="rId44" Target="https://pmc.ncbi.nlm.nih.gov/articles/PMC4508580/#:~:text=Avoidance%20learning%20procedures%20typically%20entail,Solomon%20and%20Wynne%2C%201953" TargetMode="External" /><Relationship Type="http://schemas.openxmlformats.org/officeDocument/2006/relationships/hyperlink" Id="rId43" Target="https://pmc.ncbi.nlm.nih.gov/articles/PMC4508580/#:~:text=Avoidance%20of%20genuinely%20threatening%20stimuli,B%C3%B6gels%20et" TargetMode="External" /><Relationship Type="http://schemas.openxmlformats.org/officeDocument/2006/relationships/hyperlink" Id="rId42" Target="https://pmc.ncbi.nlm.nih.gov/articles/PMC4508580/#:~:text=Avoidance%20of%20genuinely%20threatening%20stimuli,Holmes%2C%202003%3B%20Williams%20and%20Moulds" TargetMode="External" /><Relationship Type="http://schemas.openxmlformats.org/officeDocument/2006/relationships/hyperlink" Id="rId61" Target="https://pmc.ncbi.nlm.nih.gov/articles/PMC7571594/" TargetMode="External" /><Relationship Type="http://schemas.openxmlformats.org/officeDocument/2006/relationships/hyperlink" Id="rId36" Target="https://pmc.ncbi.nlm.nih.gov/articles/PMC7571594/#:~:text=%E2%80%9Cability%20to%20flexibly%20activate%2C%20monitor%2C,24" TargetMode="External" /><Relationship Type="http://schemas.openxmlformats.org/officeDocument/2006/relationships/hyperlink" Id="rId35" Target="https://pmc.ncbi.nlm.nih.gov/articles/PMC7571594/#:~:text=%E2%80%9Cability%20to%20flexibly%20activate%2C%20monitor%2C,engage%20in%20a%20range%20of" TargetMode="External" /><Relationship Type="http://schemas.openxmlformats.org/officeDocument/2006/relationships/hyperlink" Id="rId37" Target="https://pmc.ncbi.nlm.nih.gov/articles/PMC7571594/#:~:text=In%20the%20context%20of%20intervention,Each%20of%20these%20components" TargetMode="External" /><Relationship Type="http://schemas.openxmlformats.org/officeDocument/2006/relationships/hyperlink" Id="rId60" Target="https://pubmed.ncbi.nlm.nih.gov/40105110/" TargetMode="External" /><Relationship Type="http://schemas.openxmlformats.org/officeDocument/2006/relationships/hyperlink" Id="rId33" Target="https://pubmed.ncbi.nlm.nih.gov/40105110/#:~:text=The%20relationship%20between%20habit%20and,analysis" TargetMode="External" /></Relationships>
</file>

<file path=word/_rels/footnotes.xml.rels><?xml version="1.0" encoding="UTF-8"?><Relationships xmlns="http://schemas.openxmlformats.org/package/2006/relationships"><Relationship Type="http://schemas.openxmlformats.org/officeDocument/2006/relationships/hyperlink" Id="rId58" Target="https://cancercontrol.cancer.gov/sites/default/files/2020-06/goal_intent_attain.pdf" TargetMode="External" /><Relationship Type="http://schemas.openxmlformats.org/officeDocument/2006/relationships/hyperlink" Id="rId26" Target="https://cancercontrol.cancer.gov/sites/default/files/2020-06/goal_intent_attain.pdf#:~:text=Implementation%20intentions%20,Below%2C%20we%20develop%20these" TargetMode="External" /><Relationship Type="http://schemas.openxmlformats.org/officeDocument/2006/relationships/hyperlink" Id="rId31" Target="https://med.stanford.edu/content/dam/sm/s-spire/documents/PD.locke-and-latham-retrospective_Paper.pdf" TargetMode="External" /><Relationship Type="http://schemas.openxmlformats.org/officeDocument/2006/relationships/hyperlink" Id="rId30" Target="https://med.stanford.edu/content/dam/sm/s-spire/documents/PD.locke-and-latham-retrospective_Paper.pdf#:~:text=goals%20were%20measured,they%20do%20not%20do%20so" TargetMode="External" /><Relationship Type="http://schemas.openxmlformats.org/officeDocument/2006/relationships/hyperlink" Id="rId59" Target="https://pmc.ncbi.nlm.nih.gov/articles/PMC11641623/" TargetMode="External" /><Relationship Type="http://schemas.openxmlformats.org/officeDocument/2006/relationships/hyperlink" Id="rId28" Target="https://pmc.ncbi.nlm.nih.gov/articles/PMC11641623/#:~:text=varied%20widely%2C%20ranging%20from%2059,moderate%20effect%20sizes%20for%20diet" TargetMode="External" /><Relationship Type="http://schemas.openxmlformats.org/officeDocument/2006/relationships/hyperlink" Id="rId62" Target="https://pmc.ncbi.nlm.nih.gov/articles/PMC12685826/" TargetMode="External" /><Relationship Type="http://schemas.openxmlformats.org/officeDocument/2006/relationships/hyperlink" Id="rId39" Target="https://pmc.ncbi.nlm.nih.gov/articles/PMC12685826/#:~:text=At%20its%20core%2C%20SDT%20differentiates,technology%20can%20effectively%20support%20them" TargetMode="External" /><Relationship Type="http://schemas.openxmlformats.org/officeDocument/2006/relationships/hyperlink" Id="rId40" Target="https://pmc.ncbi.nlm.nih.gov/articles/PMC12685826/#:~:text=To%20address%20this%20gap%2C%20researchers,making%20it%20highly%20relevant%20for" TargetMode="External" /><Relationship Type="http://schemas.openxmlformats.org/officeDocument/2006/relationships/hyperlink" Id="rId57" Target="https://pmc.ncbi.nlm.nih.gov/articles/PMC3096582/" TargetMode="External" /><Relationship Type="http://schemas.openxmlformats.org/officeDocument/2006/relationships/hyperlink" Id="rId22" Target="https://pmc.ncbi.nlm.nih.gov/articles/PMC3096582/#:~:text=%28the%20%27COM,alter%20capability%2C%20motivation%2C%20and%20opportunity" TargetMode="External" /><Relationship Type="http://schemas.openxmlformats.org/officeDocument/2006/relationships/hyperlink" Id="rId24" Target="https://pmc.ncbi.nlm.nih.gov/articles/PMC3096582/#:~:text=the%20components%20of%20the%20behaviour,Tables%202%20and%203" TargetMode="External" /><Relationship Type="http://schemas.openxmlformats.org/officeDocument/2006/relationships/hyperlink" Id="rId63" Target="https://pmc.ncbi.nlm.nih.gov/articles/PMC4508580/" TargetMode="External" /><Relationship Type="http://schemas.openxmlformats.org/officeDocument/2006/relationships/hyperlink" Id="rId44" Target="https://pmc.ncbi.nlm.nih.gov/articles/PMC4508580/#:~:text=Avoidance%20learning%20procedures%20typically%20entail,Solomon%20and%20Wynne%2C%201953" TargetMode="External" /><Relationship Type="http://schemas.openxmlformats.org/officeDocument/2006/relationships/hyperlink" Id="rId43" Target="https://pmc.ncbi.nlm.nih.gov/articles/PMC4508580/#:~:text=Avoidance%20of%20genuinely%20threatening%20stimuli,B%C3%B6gels%20et" TargetMode="External" /><Relationship Type="http://schemas.openxmlformats.org/officeDocument/2006/relationships/hyperlink" Id="rId42" Target="https://pmc.ncbi.nlm.nih.gov/articles/PMC4508580/#:~:text=Avoidance%20of%20genuinely%20threatening%20stimuli,Holmes%2C%202003%3B%20Williams%20and%20Moulds" TargetMode="External" /><Relationship Type="http://schemas.openxmlformats.org/officeDocument/2006/relationships/hyperlink" Id="rId61" Target="https://pmc.ncbi.nlm.nih.gov/articles/PMC7571594/" TargetMode="External" /><Relationship Type="http://schemas.openxmlformats.org/officeDocument/2006/relationships/hyperlink" Id="rId36" Target="https://pmc.ncbi.nlm.nih.gov/articles/PMC7571594/#:~:text=%E2%80%9Cability%20to%20flexibly%20activate%2C%20monitor%2C,24" TargetMode="External" /><Relationship Type="http://schemas.openxmlformats.org/officeDocument/2006/relationships/hyperlink" Id="rId35" Target="https://pmc.ncbi.nlm.nih.gov/articles/PMC7571594/#:~:text=%E2%80%9Cability%20to%20flexibly%20activate%2C%20monitor%2C,engage%20in%20a%20range%20of" TargetMode="External" /><Relationship Type="http://schemas.openxmlformats.org/officeDocument/2006/relationships/hyperlink" Id="rId37" Target="https://pmc.ncbi.nlm.nih.gov/articles/PMC7571594/#:~:text=In%20the%20context%20of%20intervention,Each%20of%20these%20components" TargetMode="External" /><Relationship Type="http://schemas.openxmlformats.org/officeDocument/2006/relationships/hyperlink" Id="rId60" Target="https://pubmed.ncbi.nlm.nih.gov/40105110/" TargetMode="External" /><Relationship Type="http://schemas.openxmlformats.org/officeDocument/2006/relationships/hyperlink" Id="rId33" Target="https://pubmed.ncbi.nlm.nih.gov/40105110/#:~:text=The%20relationship%20between%20habit%20and,ana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2026-05-14T12:24:06Z</dcterms:created>
  <dcterms:modified xsi:type="dcterms:W3CDTF">2026-05-14T12:24:06Z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