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5" w:name="content"/>
    <w:bookmarkStart w:id="84" w:name="Xa1ddae3a38399abbf6ab489fea251c42acbf36b"/>
    <w:p>
      <w:pPr>
        <w:pStyle w:val="Heading1"/>
      </w:pPr>
      <w:r>
        <w:t xml:space="preserve">BecomingOS Educational Onboarding Research</w:t>
      </w:r>
    </w:p>
    <w:bookmarkStart w:id="27" w:name="adult-learning-principles-andragogy"/>
    <w:p>
      <w:pPr>
        <w:pStyle w:val="Heading2"/>
      </w:pPr>
      <w:r>
        <w:t xml:space="preserve">Adult learning principles (Andragogy)</w:t>
      </w:r>
    </w:p>
    <w:p>
      <w:pPr>
        <w:pStyle w:val="FirstParagraph"/>
      </w:pPr>
      <w:r>
        <w:t xml:space="preserve">Malcolm Knowles’s adult learning theory identifies</w:t>
      </w:r>
      <w:r>
        <w:t xml:space="preserve"> </w:t>
      </w:r>
      <w:r>
        <w:rPr>
          <w:b/>
          <w:bCs/>
        </w:rPr>
        <w:t xml:space="preserve">six core principles</w:t>
      </w:r>
      <w:r>
        <w:t xml:space="preserve">:</w:t>
      </w:r>
    </w:p>
    <w:p>
      <w:pPr>
        <w:pStyle w:val="Compact"/>
        <w:numPr>
          <w:ilvl w:val="0"/>
          <w:numId w:val="1001"/>
        </w:numPr>
      </w:pPr>
      <w:r>
        <w:rPr>
          <w:b/>
          <w:bCs/>
        </w:rPr>
        <w:t xml:space="preserve">Need to know why</w:t>
      </w:r>
      <w:r>
        <w:t xml:space="preserve"> </w:t>
      </w:r>
      <w:r>
        <w:t xml:space="preserve">– Adult learners engage better when they see the value and real‑world relevance of a lesson. Examples such as starting a compliance module by highlighting the cost of a data breach help make the purpose clear</w:t>
      </w:r>
      <w:hyperlink r:id="rId21">
        <w:r>
          <w:rPr>
            <w:rStyle w:val="Hyperlink"/>
          </w:rPr>
          <w:t xml:space="preserve">[1]</w:t>
        </w:r>
      </w:hyperlink>
      <w:r>
        <w:t xml:space="preserve">.</w:t>
      </w:r>
    </w:p>
    <w:p>
      <w:pPr>
        <w:pStyle w:val="Compact"/>
        <w:numPr>
          <w:ilvl w:val="0"/>
          <w:numId w:val="1001"/>
        </w:numPr>
      </w:pPr>
      <w:r>
        <w:rPr>
          <w:b/>
          <w:bCs/>
        </w:rPr>
        <w:t xml:space="preserve">Self‑concept / autonomy</w:t>
      </w:r>
      <w:r>
        <w:t xml:space="preserve"> </w:t>
      </w:r>
      <w:r>
        <w:t xml:space="preserve">– Adults are self‑directed; they prefer flexible learning that can be accessed when and where they want. Mobile‑friendly, bite‑sized modules empower learners to control pace and order</w:t>
      </w:r>
      <w:hyperlink r:id="rId22">
        <w:r>
          <w:rPr>
            <w:rStyle w:val="Hyperlink"/>
          </w:rPr>
          <w:t xml:space="preserve">[2]</w:t>
        </w:r>
      </w:hyperlink>
      <w:r>
        <w:t xml:space="preserve">.</w:t>
      </w:r>
    </w:p>
    <w:p>
      <w:pPr>
        <w:pStyle w:val="Compact"/>
        <w:numPr>
          <w:ilvl w:val="0"/>
          <w:numId w:val="1001"/>
        </w:numPr>
      </w:pPr>
      <w:r>
        <w:rPr>
          <w:b/>
          <w:bCs/>
        </w:rPr>
        <w:t xml:space="preserve">Prior experience</w:t>
      </w:r>
      <w:r>
        <w:t xml:space="preserve"> </w:t>
      </w:r>
      <w:r>
        <w:t xml:space="preserve">– Adult learners bring rich experiences. Effective courses connect new content to learners’ existing knowledge and can use scenario‑based training or stories from experienced peers</w:t>
      </w:r>
      <w:hyperlink r:id="rId23">
        <w:r>
          <w:rPr>
            <w:rStyle w:val="Hyperlink"/>
          </w:rPr>
          <w:t xml:space="preserve">[3]</w:t>
        </w:r>
      </w:hyperlink>
      <w:r>
        <w:t xml:space="preserve">.</w:t>
      </w:r>
    </w:p>
    <w:p>
      <w:pPr>
        <w:pStyle w:val="Compact"/>
        <w:numPr>
          <w:ilvl w:val="0"/>
          <w:numId w:val="1001"/>
        </w:numPr>
      </w:pPr>
      <w:r>
        <w:rPr>
          <w:b/>
          <w:bCs/>
        </w:rPr>
        <w:t xml:space="preserve">Readiness to learn</w:t>
      </w:r>
      <w:r>
        <w:t xml:space="preserve"> </w:t>
      </w:r>
      <w:r>
        <w:t xml:space="preserve">– Adults learn when a lesson fits their current needs or social role (e.g., a retail associate ready to become a manager). On‑demand up‑skilling aligns with this principle</w:t>
      </w:r>
      <w:hyperlink r:id="rId24">
        <w:r>
          <w:rPr>
            <w:rStyle w:val="Hyperlink"/>
          </w:rPr>
          <w:t xml:space="preserve">[4]</w:t>
        </w:r>
      </w:hyperlink>
      <w:r>
        <w:t xml:space="preserve">.</w:t>
      </w:r>
    </w:p>
    <w:p>
      <w:pPr>
        <w:pStyle w:val="Compact"/>
        <w:numPr>
          <w:ilvl w:val="0"/>
          <w:numId w:val="1001"/>
        </w:numPr>
      </w:pPr>
      <w:r>
        <w:rPr>
          <w:b/>
          <w:bCs/>
        </w:rPr>
        <w:t xml:space="preserve">Orientation to learning</w:t>
      </w:r>
      <w:r>
        <w:t xml:space="preserve"> </w:t>
      </w:r>
      <w:r>
        <w:t xml:space="preserve">– Adults are problem‑centred and want information that is immediately useful. Microlearning provides just‑in‑time solutions for specific problems</w:t>
      </w:r>
      <w:hyperlink r:id="rId25">
        <w:r>
          <w:rPr>
            <w:rStyle w:val="Hyperlink"/>
          </w:rPr>
          <w:t xml:space="preserve">[5]</w:t>
        </w:r>
      </w:hyperlink>
      <w:r>
        <w:t xml:space="preserve">.</w:t>
      </w:r>
    </w:p>
    <w:p>
      <w:pPr>
        <w:pStyle w:val="Compact"/>
        <w:numPr>
          <w:ilvl w:val="0"/>
          <w:numId w:val="1001"/>
        </w:numPr>
      </w:pPr>
      <w:r>
        <w:rPr>
          <w:b/>
          <w:bCs/>
        </w:rPr>
        <w:t xml:space="preserve">Internal motivation</w:t>
      </w:r>
      <w:r>
        <w:t xml:space="preserve"> </w:t>
      </w:r>
      <w:r>
        <w:t xml:space="preserve">– Intrinsic factors (self‑esteem, curiosity) drive adult learning; offering growth opportunities and collecting input on desired topics sustains motivation</w:t>
      </w:r>
      <w:hyperlink r:id="rId26">
        <w:r>
          <w:rPr>
            <w:rStyle w:val="Hyperlink"/>
          </w:rPr>
          <w:t xml:space="preserve">[6]</w:t>
        </w:r>
      </w:hyperlink>
      <w:r>
        <w:t xml:space="preserve">.</w:t>
      </w:r>
    </w:p>
    <w:p>
      <w:pPr>
        <w:pStyle w:val="FirstParagraph"/>
      </w:pPr>
      <w:r>
        <w:t xml:space="preserve">These principles encourage</w:t>
      </w:r>
      <w:r>
        <w:t xml:space="preserve"> </w:t>
      </w:r>
      <w:r>
        <w:rPr>
          <w:b/>
          <w:bCs/>
        </w:rPr>
        <w:t xml:space="preserve">micro‑modules</w:t>
      </w:r>
      <w:r>
        <w:t xml:space="preserve">, clear explanations of the why, flexibility, real‑world relevance, and learner control.</w:t>
      </w:r>
    </w:p>
    <w:bookmarkEnd w:id="27"/>
    <w:bookmarkStart w:id="35" w:name="X0f1ed0dcc1bb4556c2054b4f87b57deaae48eaa"/>
    <w:p>
      <w:pPr>
        <w:pStyle w:val="Heading2"/>
      </w:pPr>
      <w:r>
        <w:t xml:space="preserve">Short‑form educational design and microlearning</w:t>
      </w:r>
    </w:p>
    <w:p>
      <w:pPr>
        <w:pStyle w:val="FirstParagraph"/>
      </w:pPr>
      <w:r>
        <w:t xml:space="preserve">Microlearning breaks learning into</w:t>
      </w:r>
      <w:r>
        <w:t xml:space="preserve"> </w:t>
      </w:r>
      <w:r>
        <w:rPr>
          <w:b/>
          <w:bCs/>
        </w:rPr>
        <w:t xml:space="preserve">small, targeted units</w:t>
      </w:r>
      <w:r>
        <w:t xml:space="preserve">, typically</w:t>
      </w:r>
      <w:r>
        <w:t xml:space="preserve"> </w:t>
      </w:r>
      <w:r>
        <w:rPr>
          <w:b/>
          <w:bCs/>
        </w:rPr>
        <w:t xml:space="preserve">1–5 minutes</w:t>
      </w:r>
      <w:r>
        <w:t xml:space="preserve"> </w:t>
      </w:r>
      <w:r>
        <w:t xml:space="preserve">long, each focusing on one objective</w:t>
      </w:r>
      <w:hyperlink r:id="rId28">
        <w:r>
          <w:rPr>
            <w:rStyle w:val="Hyperlink"/>
          </w:rPr>
          <w:t xml:space="preserve">[7]</w:t>
        </w:r>
      </w:hyperlink>
      <w:r>
        <w:t xml:space="preserve">. Research shows that such brevity improves information retention and fits learners’ busy schedules. Key benefits include:</w:t>
      </w:r>
    </w:p>
    <w:p>
      <w:pPr>
        <w:pStyle w:val="Compact"/>
        <w:numPr>
          <w:ilvl w:val="0"/>
          <w:numId w:val="1002"/>
        </w:numPr>
      </w:pPr>
      <w:r>
        <w:rPr>
          <w:b/>
          <w:bCs/>
        </w:rPr>
        <w:t xml:space="preserve">Focus on retention:</w:t>
      </w:r>
      <w:r>
        <w:t xml:space="preserve"> </w:t>
      </w:r>
      <w:r>
        <w:t xml:space="preserve">bite‑sized content allows better assimilation and retention</w:t>
      </w:r>
      <w:hyperlink r:id="rId29">
        <w:r>
          <w:rPr>
            <w:rStyle w:val="Hyperlink"/>
          </w:rPr>
          <w:t xml:space="preserve">[8]</w:t>
        </w:r>
      </w:hyperlink>
      <w:r>
        <w:t xml:space="preserve">.</w:t>
      </w:r>
    </w:p>
    <w:p>
      <w:pPr>
        <w:pStyle w:val="Compact"/>
        <w:numPr>
          <w:ilvl w:val="0"/>
          <w:numId w:val="1002"/>
        </w:numPr>
      </w:pPr>
      <w:r>
        <w:rPr>
          <w:b/>
          <w:bCs/>
        </w:rPr>
        <w:t xml:space="preserve">Just‑in‑time learning:</w:t>
      </w:r>
      <w:r>
        <w:t xml:space="preserve"> </w:t>
      </w:r>
      <w:r>
        <w:t xml:space="preserve">learners access modules when needed</w:t>
      </w:r>
      <w:hyperlink r:id="rId30">
        <w:r>
          <w:rPr>
            <w:rStyle w:val="Hyperlink"/>
          </w:rPr>
          <w:t xml:space="preserve">[9]</w:t>
        </w:r>
      </w:hyperlink>
      <w:r>
        <w:t xml:space="preserve">.</w:t>
      </w:r>
    </w:p>
    <w:p>
      <w:pPr>
        <w:pStyle w:val="Compact"/>
        <w:numPr>
          <w:ilvl w:val="0"/>
          <w:numId w:val="1002"/>
        </w:numPr>
      </w:pPr>
      <w:r>
        <w:rPr>
          <w:b/>
          <w:bCs/>
        </w:rPr>
        <w:t xml:space="preserve">Adaptability and flexibility:</w:t>
      </w:r>
      <w:r>
        <w:t xml:space="preserve"> </w:t>
      </w:r>
      <w:r>
        <w:t xml:space="preserve">modules can be completed on any device at any time</w:t>
      </w:r>
      <w:hyperlink r:id="rId31">
        <w:r>
          <w:rPr>
            <w:rStyle w:val="Hyperlink"/>
          </w:rPr>
          <w:t xml:space="preserve">[10]</w:t>
        </w:r>
      </w:hyperlink>
      <w:r>
        <w:t xml:space="preserve">.</w:t>
      </w:r>
    </w:p>
    <w:p>
      <w:pPr>
        <w:pStyle w:val="Compact"/>
        <w:numPr>
          <w:ilvl w:val="0"/>
          <w:numId w:val="1002"/>
        </w:numPr>
      </w:pPr>
      <w:r>
        <w:rPr>
          <w:b/>
          <w:bCs/>
        </w:rPr>
        <w:t xml:space="preserve">Improved motivation:</w:t>
      </w:r>
      <w:r>
        <w:t xml:space="preserve"> </w:t>
      </w:r>
      <w:r>
        <w:t xml:space="preserve">quickly finishing a micro‑module gives learners a sense of progress and achievement</w:t>
      </w:r>
      <w:hyperlink r:id="rId32">
        <w:r>
          <w:rPr>
            <w:rStyle w:val="Hyperlink"/>
          </w:rPr>
          <w:t xml:space="preserve">[11]</w:t>
        </w:r>
      </w:hyperlink>
      <w:r>
        <w:t xml:space="preserve">.</w:t>
      </w:r>
    </w:p>
    <w:p>
      <w:pPr>
        <w:pStyle w:val="Compact"/>
        <w:numPr>
          <w:ilvl w:val="0"/>
          <w:numId w:val="1002"/>
        </w:numPr>
      </w:pPr>
      <w:r>
        <w:rPr>
          <w:b/>
          <w:bCs/>
        </w:rPr>
        <w:t xml:space="preserve">Incremental learning:</w:t>
      </w:r>
      <w:r>
        <w:t xml:space="preserve"> </w:t>
      </w:r>
      <w:r>
        <w:t xml:space="preserve">concepts build progressively, helping to master complex skills</w:t>
      </w:r>
      <w:hyperlink r:id="rId33">
        <w:r>
          <w:rPr>
            <w:rStyle w:val="Hyperlink"/>
          </w:rPr>
          <w:t xml:space="preserve">[12]</w:t>
        </w:r>
      </w:hyperlink>
      <w:r>
        <w:t xml:space="preserve">.</w:t>
      </w:r>
    </w:p>
    <w:p>
      <w:pPr>
        <w:pStyle w:val="FirstParagraph"/>
      </w:pPr>
      <w:r>
        <w:t xml:space="preserve">Microlearning videos or diagrams can enhance engagement, and modules should be mobile‑friendly</w:t>
      </w:r>
      <w:hyperlink r:id="rId34">
        <w:r>
          <w:rPr>
            <w:rStyle w:val="Hyperlink"/>
          </w:rPr>
          <w:t xml:space="preserve">[13]</w:t>
        </w:r>
      </w:hyperlink>
      <w:r>
        <w:t xml:space="preserve">. Because modules are brief, designers should limit each to a single concept and provide optional deeper dives for interested learners.</w:t>
      </w:r>
    </w:p>
    <w:bookmarkEnd w:id="35"/>
    <w:bookmarkStart w:id="46" w:name="multimedia-learning-principles"/>
    <w:p>
      <w:pPr>
        <w:pStyle w:val="Heading2"/>
      </w:pPr>
      <w:r>
        <w:t xml:space="preserve">Multimedia learning principles</w:t>
      </w:r>
    </w:p>
    <w:p>
      <w:pPr>
        <w:pStyle w:val="FirstParagraph"/>
      </w:pPr>
      <w:r>
        <w:t xml:space="preserve">Richard Mayer’s cognitive theory of multimedia learning states that people learn better when</w:t>
      </w:r>
      <w:r>
        <w:t xml:space="preserve"> </w:t>
      </w:r>
      <w:r>
        <w:rPr>
          <w:b/>
          <w:bCs/>
        </w:rPr>
        <w:t xml:space="preserve">words and pictures are combined</w:t>
      </w:r>
      <w:r>
        <w:t xml:space="preserve">, but cognitive load is limited</w:t>
      </w:r>
      <w:hyperlink r:id="rId36">
        <w:r>
          <w:rPr>
            <w:rStyle w:val="Hyperlink"/>
          </w:rPr>
          <w:t xml:space="preserve">[14]</w:t>
        </w:r>
      </w:hyperlink>
      <w:r>
        <w:t xml:space="preserve">. The article summarises</w:t>
      </w:r>
      <w:r>
        <w:t xml:space="preserve"> </w:t>
      </w:r>
      <w:r>
        <w:rPr>
          <w:b/>
          <w:bCs/>
        </w:rPr>
        <w:t xml:space="preserve">12 principles</w:t>
      </w:r>
      <w:r>
        <w:t xml:space="preserve">, of which several are most relevant for mobile onboarding: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Principle</w:t>
            </w:r>
          </w:p>
        </w:tc>
        <w:tc>
          <w:tcPr/>
          <w:p>
            <w:pPr>
              <w:pStyle w:val="Compact"/>
            </w:pPr>
            <w:r>
              <w:t xml:space="preserve">Design implication for onboarding</w:t>
            </w:r>
          </w:p>
        </w:tc>
      </w:tr>
      <w:tr>
        <w:tc>
          <w:tcPr/>
          <w:p>
            <w:pPr>
              <w:pStyle w:val="Compact"/>
            </w:pPr>
            <w:r>
              <w:rPr>
                <w:b/>
                <w:bCs/>
              </w:rPr>
              <w:t xml:space="preserve">Multimedia principle</w:t>
            </w:r>
          </w:p>
        </w:tc>
        <w:tc>
          <w:tcPr/>
          <w:p>
            <w:pPr>
              <w:pStyle w:val="Compact"/>
            </w:pPr>
            <w:r>
              <w:t xml:space="preserve">Present text/narration with supporting visuals rather than text alone</w:t>
            </w:r>
            <w:hyperlink r:id="rId36">
              <w:r>
                <w:rPr>
                  <w:rStyle w:val="Hyperlink"/>
                </w:rPr>
                <w:t xml:space="preserve">[14]</w:t>
              </w:r>
            </w:hyperlink>
            <w:r>
              <w:t xml:space="preserve">.</w:t>
            </w:r>
          </w:p>
        </w:tc>
      </w:tr>
      <w:tr>
        <w:tc>
          <w:tcPr/>
          <w:p>
            <w:pPr>
              <w:pStyle w:val="Compact"/>
            </w:pPr>
            <w:r>
              <w:rPr>
                <w:b/>
                <w:bCs/>
              </w:rPr>
              <w:t xml:space="preserve">Coherence principle</w:t>
            </w:r>
          </w:p>
        </w:tc>
        <w:tc>
          <w:tcPr/>
          <w:p>
            <w:pPr>
              <w:pStyle w:val="Compact"/>
            </w:pPr>
            <w:r>
              <w:t xml:space="preserve">Remove extraneous content; include only information supporting the learning goal</w:t>
            </w:r>
            <w:hyperlink r:id="rId37">
              <w:r>
                <w:rPr>
                  <w:rStyle w:val="Hyperlink"/>
                </w:rPr>
                <w:t xml:space="preserve">[15]</w:t>
              </w:r>
            </w:hyperlink>
            <w:r>
              <w:t xml:space="preserve">.</w:t>
            </w:r>
          </w:p>
        </w:tc>
      </w:tr>
      <w:tr>
        <w:tc>
          <w:tcPr/>
          <w:p>
            <w:pPr>
              <w:pStyle w:val="Compact"/>
            </w:pPr>
            <w:r>
              <w:rPr>
                <w:b/>
                <w:bCs/>
              </w:rPr>
              <w:t xml:space="preserve">Signalling principle</w:t>
            </w:r>
          </w:p>
        </w:tc>
        <w:tc>
          <w:tcPr/>
          <w:p>
            <w:pPr>
              <w:pStyle w:val="Compact"/>
            </w:pPr>
            <w:r>
              <w:t xml:space="preserve">Use cues (highlights, bold text, arrows) to draw attention to key information</w:t>
            </w:r>
            <w:hyperlink r:id="rId38">
              <w:r>
                <w:rPr>
                  <w:rStyle w:val="Hyperlink"/>
                </w:rPr>
                <w:t xml:space="preserve">[16]</w:t>
              </w:r>
            </w:hyperlink>
            <w:r>
              <w:t xml:space="preserve">.</w:t>
            </w:r>
          </w:p>
        </w:tc>
      </w:tr>
      <w:tr>
        <w:tc>
          <w:tcPr/>
          <w:p>
            <w:pPr>
              <w:pStyle w:val="Compact"/>
            </w:pPr>
            <w:r>
              <w:rPr>
                <w:b/>
                <w:bCs/>
              </w:rPr>
              <w:t xml:space="preserve">Redundancy principle</w:t>
            </w:r>
          </w:p>
        </w:tc>
        <w:tc>
          <w:tcPr/>
          <w:p>
            <w:pPr>
              <w:pStyle w:val="Compact"/>
            </w:pPr>
            <w:r>
              <w:t xml:space="preserve">Avoid presenting the same information as narration, text and visuals simultaneously; instead combine narration with visuals</w:t>
            </w:r>
            <w:hyperlink r:id="rId39">
              <w:r>
                <w:rPr>
                  <w:rStyle w:val="Hyperlink"/>
                </w:rPr>
                <w:t xml:space="preserve">[17]</w:t>
              </w:r>
            </w:hyperlink>
            <w:r>
              <w:t xml:space="preserve">.</w:t>
            </w:r>
          </w:p>
        </w:tc>
      </w:tr>
      <w:tr>
        <w:tc>
          <w:tcPr/>
          <w:p>
            <w:pPr>
              <w:pStyle w:val="Compact"/>
            </w:pPr>
            <w:r>
              <w:rPr>
                <w:b/>
                <w:bCs/>
              </w:rPr>
              <w:t xml:space="preserve">Spatial/temporal contiguity</w:t>
            </w:r>
          </w:p>
        </w:tc>
        <w:tc>
          <w:tcPr/>
          <w:p>
            <w:pPr>
              <w:pStyle w:val="Compact"/>
            </w:pPr>
            <w:r>
              <w:t xml:space="preserve">Place related text and visuals near each other and synchronise narration with animation</w:t>
            </w:r>
            <w:hyperlink r:id="rId40">
              <w:r>
                <w:rPr>
                  <w:rStyle w:val="Hyperlink"/>
                </w:rPr>
                <w:t xml:space="preserve">[18]</w:t>
              </w:r>
            </w:hyperlink>
            <w:r>
              <w:t xml:space="preserve">.</w:t>
            </w:r>
          </w:p>
        </w:tc>
      </w:tr>
      <w:tr>
        <w:tc>
          <w:tcPr/>
          <w:p>
            <w:pPr>
              <w:pStyle w:val="Compact"/>
            </w:pPr>
            <w:r>
              <w:rPr>
                <w:b/>
                <w:bCs/>
              </w:rPr>
              <w:t xml:space="preserve">Segmenting</w:t>
            </w:r>
          </w:p>
        </w:tc>
        <w:tc>
          <w:tcPr/>
          <w:p>
            <w:pPr>
              <w:pStyle w:val="Compact"/>
            </w:pPr>
            <w:r>
              <w:t xml:space="preserve">Break content into manageable chunks and let learners control pacing</w:t>
            </w:r>
            <w:hyperlink r:id="rId41">
              <w:r>
                <w:rPr>
                  <w:rStyle w:val="Hyperlink"/>
                </w:rPr>
                <w:t xml:space="preserve">[19]</w:t>
              </w:r>
            </w:hyperlink>
            <w:r>
              <w:t xml:space="preserve">.</w:t>
            </w:r>
          </w:p>
        </w:tc>
      </w:tr>
      <w:tr>
        <w:tc>
          <w:tcPr/>
          <w:p>
            <w:pPr>
              <w:pStyle w:val="Compact"/>
            </w:pPr>
            <w:r>
              <w:rPr>
                <w:b/>
                <w:bCs/>
              </w:rPr>
              <w:t xml:space="preserve">Pre‑training</w:t>
            </w:r>
          </w:p>
        </w:tc>
        <w:tc>
          <w:tcPr/>
          <w:p>
            <w:pPr>
              <w:pStyle w:val="Compact"/>
            </w:pPr>
            <w:r>
              <w:t xml:space="preserve">Introduce essential concepts before deeper content</w:t>
            </w:r>
            <w:hyperlink r:id="rId42">
              <w:r>
                <w:rPr>
                  <w:rStyle w:val="Hyperlink"/>
                </w:rPr>
                <w:t xml:space="preserve">[20]</w:t>
              </w:r>
            </w:hyperlink>
            <w:r>
              <w:t xml:space="preserve">.</w:t>
            </w:r>
          </w:p>
        </w:tc>
      </w:tr>
      <w:tr>
        <w:tc>
          <w:tcPr/>
          <w:p>
            <w:pPr>
              <w:pStyle w:val="Compact"/>
            </w:pPr>
            <w:r>
              <w:rPr>
                <w:b/>
                <w:bCs/>
              </w:rPr>
              <w:t xml:space="preserve">Modality &amp; voice</w:t>
            </w:r>
          </w:p>
        </w:tc>
        <w:tc>
          <w:tcPr/>
          <w:p>
            <w:pPr>
              <w:pStyle w:val="Compact"/>
            </w:pPr>
            <w:r>
              <w:t xml:space="preserve">Use spoken narration with visuals, delivered in a conversational human voice</w:t>
            </w:r>
            <w:hyperlink r:id="rId43">
              <w:r>
                <w:rPr>
                  <w:rStyle w:val="Hyperlink"/>
                </w:rPr>
                <w:t xml:space="preserve">[21]</w:t>
              </w:r>
            </w:hyperlink>
            <w:r>
              <w:t xml:space="preserve">.</w:t>
            </w:r>
          </w:p>
        </w:tc>
      </w:tr>
      <w:tr>
        <w:tc>
          <w:tcPr/>
          <w:p>
            <w:pPr>
              <w:pStyle w:val="Compact"/>
            </w:pPr>
            <w:r>
              <w:rPr>
                <w:b/>
                <w:bCs/>
              </w:rPr>
              <w:t xml:space="preserve">Personalisation</w:t>
            </w:r>
          </w:p>
        </w:tc>
        <w:tc>
          <w:tcPr/>
          <w:p>
            <w:pPr>
              <w:pStyle w:val="Compact"/>
            </w:pPr>
            <w:r>
              <w:t xml:space="preserve">Use a conversational tone and tailor language to the learner</w:t>
            </w:r>
            <w:hyperlink r:id="rId44">
              <w:r>
                <w:rPr>
                  <w:rStyle w:val="Hyperlink"/>
                </w:rPr>
                <w:t xml:space="preserve">[22]</w:t>
              </w:r>
            </w:hyperlink>
            <w:r>
              <w:t xml:space="preserve">.</w:t>
            </w:r>
          </w:p>
        </w:tc>
      </w:tr>
      <w:tr>
        <w:tc>
          <w:tcPr/>
          <w:p>
            <w:pPr>
              <w:pStyle w:val="Compact"/>
            </w:pPr>
            <w:r>
              <w:rPr>
                <w:b/>
                <w:bCs/>
              </w:rPr>
              <w:t xml:space="preserve">Image principle</w:t>
            </w:r>
          </w:p>
        </w:tc>
        <w:tc>
          <w:tcPr/>
          <w:p>
            <w:pPr>
              <w:pStyle w:val="Compact"/>
            </w:pPr>
            <w:r>
              <w:t xml:space="preserve">A talking head isn’t always necessary; relevant visuals can be more effective</w:t>
            </w:r>
            <w:hyperlink r:id="rId45">
              <w:r>
                <w:rPr>
                  <w:rStyle w:val="Hyperlink"/>
                </w:rPr>
                <w:t xml:space="preserve">[23]</w:t>
              </w:r>
            </w:hyperlink>
            <w:r>
              <w:t xml:space="preserve">.</w:t>
            </w:r>
          </w:p>
        </w:tc>
      </w:tr>
    </w:tbl>
    <w:p>
      <w:pPr>
        <w:pStyle w:val="BodyText"/>
      </w:pPr>
      <w:r>
        <w:t xml:space="preserve">These principles urge designers to simplify screens, chunk information, and synchronise audio/visual elements to reduce cognitive load.</w:t>
      </w:r>
    </w:p>
    <w:bookmarkEnd w:id="46"/>
    <w:bookmarkStart w:id="56" w:name="universal-design-for-learning-udl"/>
    <w:p>
      <w:pPr>
        <w:pStyle w:val="Heading2"/>
      </w:pPr>
      <w:r>
        <w:t xml:space="preserve">Universal Design for Learning (UDL)</w:t>
      </w:r>
    </w:p>
    <w:p>
      <w:pPr>
        <w:pStyle w:val="FirstParagraph"/>
      </w:pPr>
      <w:r>
        <w:t xml:space="preserve">UDL promotes</w:t>
      </w:r>
      <w:r>
        <w:t xml:space="preserve"> </w:t>
      </w:r>
      <w:r>
        <w:rPr>
          <w:b/>
          <w:bCs/>
        </w:rPr>
        <w:t xml:space="preserve">learner agency</w:t>
      </w:r>
      <w:r>
        <w:t xml:space="preserve"> </w:t>
      </w:r>
      <w:r>
        <w:t xml:space="preserve">by providing</w:t>
      </w:r>
      <w:r>
        <w:t xml:space="preserve"> </w:t>
      </w:r>
      <w:r>
        <w:rPr>
          <w:b/>
          <w:bCs/>
        </w:rPr>
        <w:t xml:space="preserve">multiple means of engagement, representation and action/expression</w:t>
      </w:r>
      <w:hyperlink r:id="rId47">
        <w:r>
          <w:rPr>
            <w:rStyle w:val="Hyperlink"/>
          </w:rPr>
          <w:t xml:space="preserve">[24]</w:t>
        </w:r>
      </w:hyperlink>
      <w:r>
        <w:t xml:space="preserve">. Key suggestions include:</w:t>
      </w:r>
    </w:p>
    <w:p>
      <w:pPr>
        <w:pStyle w:val="Compact"/>
        <w:numPr>
          <w:ilvl w:val="0"/>
          <w:numId w:val="1003"/>
        </w:numPr>
      </w:pPr>
      <w:r>
        <w:rPr>
          <w:b/>
          <w:bCs/>
        </w:rPr>
        <w:t xml:space="preserve">Optimize choice and autonomy:</w:t>
      </w:r>
      <w:r>
        <w:t xml:space="preserve"> </w:t>
      </w:r>
      <w:r>
        <w:t xml:space="preserve">allow learners to select order or format (text, video, audio)</w:t>
      </w:r>
      <w:hyperlink r:id="rId48">
        <w:r>
          <w:rPr>
            <w:rStyle w:val="Hyperlink"/>
          </w:rPr>
          <w:t xml:space="preserve">[25]</w:t>
        </w:r>
      </w:hyperlink>
      <w:r>
        <w:t xml:space="preserve">.</w:t>
      </w:r>
    </w:p>
    <w:p>
      <w:pPr>
        <w:pStyle w:val="Compact"/>
        <w:numPr>
          <w:ilvl w:val="0"/>
          <w:numId w:val="1003"/>
        </w:numPr>
      </w:pPr>
      <w:r>
        <w:rPr>
          <w:b/>
          <w:bCs/>
        </w:rPr>
        <w:t xml:space="preserve">Clarify purpose and optimise challenge:</w:t>
      </w:r>
      <w:r>
        <w:t xml:space="preserve"> </w:t>
      </w:r>
      <w:r>
        <w:t xml:space="preserve">clearly state goals and ensure tasks are appropriately challenging</w:t>
      </w:r>
      <w:hyperlink r:id="rId49">
        <w:r>
          <w:rPr>
            <w:rStyle w:val="Hyperlink"/>
          </w:rPr>
          <w:t xml:space="preserve">[26]</w:t>
        </w:r>
      </w:hyperlink>
      <w:r>
        <w:t xml:space="preserve">.</w:t>
      </w:r>
    </w:p>
    <w:p>
      <w:pPr>
        <w:pStyle w:val="Compact"/>
        <w:numPr>
          <w:ilvl w:val="0"/>
          <w:numId w:val="1003"/>
        </w:numPr>
      </w:pPr>
      <w:r>
        <w:rPr>
          <w:b/>
          <w:bCs/>
        </w:rPr>
        <w:t xml:space="preserve">Offer action‑oriented feedback and foster belonging:</w:t>
      </w:r>
      <w:r>
        <w:t xml:space="preserve"> </w:t>
      </w:r>
      <w:r>
        <w:t xml:space="preserve">provide feedback and encourage community</w:t>
      </w:r>
      <w:hyperlink r:id="rId50">
        <w:r>
          <w:rPr>
            <w:rStyle w:val="Hyperlink"/>
          </w:rPr>
          <w:t xml:space="preserve">[27]</w:t>
        </w:r>
      </w:hyperlink>
      <w:r>
        <w:t xml:space="preserve">.</w:t>
      </w:r>
    </w:p>
    <w:p>
      <w:pPr>
        <w:pStyle w:val="Compact"/>
        <w:numPr>
          <w:ilvl w:val="0"/>
          <w:numId w:val="1003"/>
        </w:numPr>
      </w:pPr>
      <w:r>
        <w:rPr>
          <w:b/>
          <w:bCs/>
        </w:rPr>
        <w:t xml:space="preserve">Support multiple ways to perceive information:</w:t>
      </w:r>
      <w:r>
        <w:t xml:space="preserve"> </w:t>
      </w:r>
      <w:r>
        <w:t xml:space="preserve">allow customization of display and provide information through varied media</w:t>
      </w:r>
      <w:hyperlink r:id="rId51">
        <w:r>
          <w:rPr>
            <w:rStyle w:val="Hyperlink"/>
          </w:rPr>
          <w:t xml:space="preserve">[28]</w:t>
        </w:r>
      </w:hyperlink>
      <w:r>
        <w:t xml:space="preserve">.</w:t>
      </w:r>
    </w:p>
    <w:p>
      <w:pPr>
        <w:pStyle w:val="Compact"/>
        <w:numPr>
          <w:ilvl w:val="0"/>
          <w:numId w:val="1003"/>
        </w:numPr>
      </w:pPr>
      <w:r>
        <w:rPr>
          <w:b/>
          <w:bCs/>
        </w:rPr>
        <w:t xml:space="preserve">Vary methods for response, navigation, and movement:</w:t>
      </w:r>
      <w:r>
        <w:t xml:space="preserve"> </w:t>
      </w:r>
      <w:r>
        <w:t xml:space="preserve">let users interact using different modalities (taps, sliders, text input)</w:t>
      </w:r>
      <w:hyperlink r:id="rId52">
        <w:r>
          <w:rPr>
            <w:rStyle w:val="Hyperlink"/>
          </w:rPr>
          <w:t xml:space="preserve">[29]</w:t>
        </w:r>
      </w:hyperlink>
      <w:r>
        <w:t xml:space="preserve">.</w:t>
      </w:r>
    </w:p>
    <w:p>
      <w:pPr>
        <w:pStyle w:val="Compact"/>
        <w:numPr>
          <w:ilvl w:val="0"/>
          <w:numId w:val="1003"/>
        </w:numPr>
      </w:pPr>
      <w:r>
        <w:rPr>
          <w:b/>
          <w:bCs/>
        </w:rPr>
        <w:t xml:space="preserve">Encourage multiple means of expression:</w:t>
      </w:r>
      <w:r>
        <w:t xml:space="preserve"> </w:t>
      </w:r>
      <w:r>
        <w:t xml:space="preserve">provide options for communication (text, voice, ranking sliders, etc.)</w:t>
      </w:r>
      <w:hyperlink r:id="rId53">
        <w:r>
          <w:rPr>
            <w:rStyle w:val="Hyperlink"/>
          </w:rPr>
          <w:t xml:space="preserve">[30]</w:t>
        </w:r>
      </w:hyperlink>
      <w:r>
        <w:t xml:space="preserve">.</w:t>
      </w:r>
    </w:p>
    <w:p>
      <w:pPr>
        <w:pStyle w:val="FirstParagraph"/>
      </w:pPr>
      <w:r>
        <w:t xml:space="preserve">UDL also emphasises connecting prior knowledge to new learning</w:t>
      </w:r>
      <w:hyperlink r:id="rId54">
        <w:r>
          <w:rPr>
            <w:rStyle w:val="Hyperlink"/>
          </w:rPr>
          <w:t xml:space="preserve">[31]</w:t>
        </w:r>
      </w:hyperlink>
      <w:r>
        <w:t xml:space="preserve"> </w:t>
      </w:r>
      <w:r>
        <w:t xml:space="preserve">and supporting emotional capacity through reflection</w:t>
      </w:r>
      <w:hyperlink r:id="rId55">
        <w:r>
          <w:rPr>
            <w:rStyle w:val="Hyperlink"/>
          </w:rPr>
          <w:t xml:space="preserve">[32]</w:t>
        </w:r>
      </w:hyperlink>
      <w:r>
        <w:t xml:space="preserve">.</w:t>
      </w:r>
    </w:p>
    <w:bookmarkEnd w:id="56"/>
    <w:bookmarkStart w:id="65" w:name="Xb4cff4653d269ddef91b1b94546f186e335f80a"/>
    <w:p>
      <w:pPr>
        <w:pStyle w:val="Heading2"/>
      </w:pPr>
      <w:r>
        <w:t xml:space="preserve">Mobile onboarding UX &amp; progressive disclosure</w:t>
      </w:r>
    </w:p>
    <w:p>
      <w:pPr>
        <w:pStyle w:val="FirstParagraph"/>
      </w:pPr>
      <w:r>
        <w:t xml:space="preserve">The Nielsen Norman Group notes that</w:t>
      </w:r>
      <w:r>
        <w:t xml:space="preserve"> </w:t>
      </w:r>
      <w:r>
        <w:rPr>
          <w:b/>
          <w:bCs/>
        </w:rPr>
        <w:t xml:space="preserve">progressive disclosure</w:t>
      </w:r>
      <w:r>
        <w:t xml:space="preserve"> </w:t>
      </w:r>
      <w:r>
        <w:t xml:space="preserve">defers advanced or infrequently used features to secondary screens, making applications easier to learn. It recommends initially showing only the most important options and offering additional features only when requested</w:t>
      </w:r>
      <w:hyperlink r:id="rId57">
        <w:r>
          <w:rPr>
            <w:rStyle w:val="Hyperlink"/>
          </w:rPr>
          <w:t xml:space="preserve">[33]</w:t>
        </w:r>
      </w:hyperlink>
      <w:r>
        <w:t xml:space="preserve">. Progressive disclosure improves learnability, efficiency and reduces errors</w:t>
      </w:r>
      <w:hyperlink r:id="rId58">
        <w:r>
          <w:rPr>
            <w:rStyle w:val="Hyperlink"/>
          </w:rPr>
          <w:t xml:space="preserve">[34]</w:t>
        </w:r>
      </w:hyperlink>
      <w:r>
        <w:t xml:space="preserve">. To implement it well, designers must decide which features are essential and make the path to more information obvious</w:t>
      </w:r>
      <w:hyperlink r:id="rId59">
        <w:r>
          <w:rPr>
            <w:rStyle w:val="Hyperlink"/>
          </w:rPr>
          <w:t xml:space="preserve">[35]</w:t>
        </w:r>
      </w:hyperlink>
      <w:r>
        <w:t xml:space="preserve">.</w:t>
      </w:r>
    </w:p>
    <w:p>
      <w:pPr>
        <w:pStyle w:val="BodyText"/>
      </w:pPr>
      <w:r>
        <w:t xml:space="preserve">Appcues’ mobile onboarding research summarises best practices:</w:t>
      </w:r>
    </w:p>
    <w:p>
      <w:pPr>
        <w:pStyle w:val="Compact"/>
        <w:numPr>
          <w:ilvl w:val="0"/>
          <w:numId w:val="1004"/>
        </w:numPr>
      </w:pPr>
      <w:r>
        <w:rPr>
          <w:b/>
          <w:bCs/>
        </w:rPr>
        <w:t xml:space="preserve">Communicate value quickly</w:t>
      </w:r>
      <w:r>
        <w:t xml:space="preserve"> </w:t>
      </w:r>
      <w:r>
        <w:t xml:space="preserve">with engaging visuals and clear benefits</w:t>
      </w:r>
      <w:hyperlink r:id="rId60">
        <w:r>
          <w:rPr>
            <w:rStyle w:val="Hyperlink"/>
          </w:rPr>
          <w:t xml:space="preserve">[36]</w:t>
        </w:r>
      </w:hyperlink>
      <w:r>
        <w:t xml:space="preserve">.</w:t>
      </w:r>
    </w:p>
    <w:p>
      <w:pPr>
        <w:pStyle w:val="Compact"/>
        <w:numPr>
          <w:ilvl w:val="0"/>
          <w:numId w:val="1004"/>
        </w:numPr>
      </w:pPr>
      <w:r>
        <w:rPr>
          <w:b/>
          <w:bCs/>
        </w:rPr>
        <w:t xml:space="preserve">Use progressive disclosure</w:t>
      </w:r>
      <w:r>
        <w:t xml:space="preserve"> </w:t>
      </w:r>
      <w:r>
        <w:t xml:space="preserve">to gradually introduce features, using step‑by‑step guidance and contextual pop‑ups</w:t>
      </w:r>
      <w:hyperlink r:id="rId61">
        <w:r>
          <w:rPr>
            <w:rStyle w:val="Hyperlink"/>
          </w:rPr>
          <w:t xml:space="preserve">[37]</w:t>
        </w:r>
      </w:hyperlink>
      <w:r>
        <w:t xml:space="preserve">.</w:t>
      </w:r>
    </w:p>
    <w:p>
      <w:pPr>
        <w:pStyle w:val="Compact"/>
        <w:numPr>
          <w:ilvl w:val="0"/>
          <w:numId w:val="1004"/>
        </w:numPr>
      </w:pPr>
      <w:r>
        <w:rPr>
          <w:b/>
          <w:bCs/>
        </w:rPr>
        <w:t xml:space="preserve">Reduce sign‑up friction</w:t>
      </w:r>
      <w:r>
        <w:t xml:space="preserve"> </w:t>
      </w:r>
      <w:r>
        <w:t xml:space="preserve">by limiting fields, offering single sign‑on and allowing users to skip steps</w:t>
      </w:r>
      <w:hyperlink r:id="rId62">
        <w:r>
          <w:rPr>
            <w:rStyle w:val="Hyperlink"/>
          </w:rPr>
          <w:t xml:space="preserve">[38]</w:t>
        </w:r>
      </w:hyperlink>
      <w:r>
        <w:t xml:space="preserve">.</w:t>
      </w:r>
    </w:p>
    <w:p>
      <w:pPr>
        <w:pStyle w:val="Compact"/>
        <w:numPr>
          <w:ilvl w:val="0"/>
          <w:numId w:val="1004"/>
        </w:numPr>
      </w:pPr>
      <w:r>
        <w:rPr>
          <w:b/>
          <w:bCs/>
        </w:rPr>
        <w:t xml:space="preserve">Personalize onboarding</w:t>
      </w:r>
      <w:r>
        <w:t xml:space="preserve"> </w:t>
      </w:r>
      <w:r>
        <w:t xml:space="preserve">by asking a few relevant questions and tailoring content</w:t>
      </w:r>
      <w:hyperlink r:id="rId63">
        <w:r>
          <w:rPr>
            <w:rStyle w:val="Hyperlink"/>
          </w:rPr>
          <w:t xml:space="preserve">[39]</w:t>
        </w:r>
      </w:hyperlink>
      <w:r>
        <w:t xml:space="preserve">.</w:t>
      </w:r>
    </w:p>
    <w:p>
      <w:pPr>
        <w:pStyle w:val="Compact"/>
        <w:numPr>
          <w:ilvl w:val="0"/>
          <w:numId w:val="1004"/>
        </w:numPr>
      </w:pPr>
      <w:r>
        <w:rPr>
          <w:b/>
          <w:bCs/>
        </w:rPr>
        <w:t xml:space="preserve">Keep information brief and interactive</w:t>
      </w:r>
      <w:r>
        <w:t xml:space="preserve">, avoiding long static guides</w:t>
      </w:r>
      <w:hyperlink r:id="rId61">
        <w:r>
          <w:rPr>
            <w:rStyle w:val="Hyperlink"/>
          </w:rPr>
          <w:t xml:space="preserve">[37]</w:t>
        </w:r>
      </w:hyperlink>
      <w:r>
        <w:t xml:space="preserve">.</w:t>
      </w:r>
    </w:p>
    <w:p>
      <w:pPr>
        <w:pStyle w:val="FirstParagraph"/>
      </w:pPr>
      <w:r>
        <w:t xml:space="preserve">The article also warns that</w:t>
      </w:r>
      <w:r>
        <w:t xml:space="preserve"> </w:t>
      </w:r>
      <w:r>
        <w:rPr>
          <w:b/>
          <w:bCs/>
        </w:rPr>
        <w:t xml:space="preserve">information overload</w:t>
      </w:r>
      <w:r>
        <w:t xml:space="preserve"> </w:t>
      </w:r>
      <w:r>
        <w:t xml:space="preserve">and too many notifications are common mistakes</w:t>
      </w:r>
      <w:hyperlink r:id="rId64">
        <w:r>
          <w:rPr>
            <w:rStyle w:val="Hyperlink"/>
          </w:rPr>
          <w:t xml:space="preserve">[40]</w:t>
        </w:r>
      </w:hyperlink>
      <w:r>
        <w:t xml:space="preserve">.</w:t>
      </w:r>
    </w:p>
    <w:bookmarkEnd w:id="65"/>
    <w:bookmarkStart w:id="69" w:name="Xada5329e712aa4507e448d77d083e576d710478"/>
    <w:p>
      <w:pPr>
        <w:pStyle w:val="Heading2"/>
      </w:pPr>
      <w:r>
        <w:t xml:space="preserve">Reflection‑based learning &amp; experiential cycle</w:t>
      </w:r>
    </w:p>
    <w:p>
      <w:pPr>
        <w:pStyle w:val="FirstParagraph"/>
      </w:pPr>
      <w:r>
        <w:t xml:space="preserve">Kolb’s experiential learning cycle emphasises that learning occurs through a loop of</w:t>
      </w:r>
      <w:r>
        <w:t xml:space="preserve"> </w:t>
      </w:r>
      <w:r>
        <w:rPr>
          <w:b/>
          <w:bCs/>
        </w:rPr>
        <w:t xml:space="preserve">concrete experience, reflective observation, abstract conceptualisation and active experimentation</w:t>
      </w:r>
      <w:hyperlink r:id="rId66">
        <w:r>
          <w:rPr>
            <w:rStyle w:val="Hyperlink"/>
          </w:rPr>
          <w:t xml:space="preserve">[41]</w:t>
        </w:r>
      </w:hyperlink>
      <w:r>
        <w:t xml:space="preserve">. Reflection after an experience helps learners understand what worked and why</w:t>
      </w:r>
      <w:hyperlink r:id="rId67">
        <w:r>
          <w:rPr>
            <w:rStyle w:val="Hyperlink"/>
          </w:rPr>
          <w:t xml:space="preserve">[42]</w:t>
        </w:r>
      </w:hyperlink>
      <w:r>
        <w:t xml:space="preserve">. Reflective practice provides a systematic way to ask questions about practice, leading to better understanding and sense‑making</w:t>
      </w:r>
      <w:hyperlink r:id="rId68">
        <w:r>
          <w:rPr>
            <w:rStyle w:val="Hyperlink"/>
          </w:rPr>
          <w:t xml:space="preserve">[43]</w:t>
        </w:r>
      </w:hyperlink>
      <w:r>
        <w:t xml:space="preserve">.</w:t>
      </w:r>
    </w:p>
    <w:p>
      <w:pPr>
        <w:pStyle w:val="BodyText"/>
      </w:pPr>
      <w:r>
        <w:t xml:space="preserve">To integrate reflection into onboarding:</w:t>
      </w:r>
    </w:p>
    <w:p>
      <w:pPr>
        <w:pStyle w:val="Compact"/>
        <w:numPr>
          <w:ilvl w:val="0"/>
          <w:numId w:val="1005"/>
        </w:numPr>
      </w:pPr>
      <w:r>
        <w:t xml:space="preserve">Ask learners to relate the concept to their own experience or current work.</w:t>
      </w:r>
    </w:p>
    <w:p>
      <w:pPr>
        <w:pStyle w:val="Compact"/>
        <w:numPr>
          <w:ilvl w:val="0"/>
          <w:numId w:val="1005"/>
        </w:numPr>
      </w:pPr>
      <w:r>
        <w:t xml:space="preserve">Provide open‑ended or rating questions to encourage introspection.</w:t>
      </w:r>
    </w:p>
    <w:p>
      <w:pPr>
        <w:pStyle w:val="Compact"/>
        <w:numPr>
          <w:ilvl w:val="0"/>
          <w:numId w:val="1005"/>
        </w:numPr>
      </w:pPr>
      <w:r>
        <w:t xml:space="preserve">Follow reflection with a brief AI‑generated interpretation that highlights patterns without judgment.</w:t>
      </w:r>
    </w:p>
    <w:bookmarkEnd w:id="69"/>
    <w:bookmarkStart w:id="71" w:name="completion-motivation"/>
    <w:p>
      <w:pPr>
        <w:pStyle w:val="Heading2"/>
      </w:pPr>
      <w:r>
        <w:t xml:space="preserve">Completion motivation</w:t>
      </w:r>
    </w:p>
    <w:p>
      <w:pPr>
        <w:pStyle w:val="FirstParagraph"/>
      </w:pPr>
      <w:r>
        <w:t xml:space="preserve">Microlearning’s short, varied structure keeps learners motivated; quickly finishing modules gives a sense of achievement and progress</w:t>
      </w:r>
      <w:hyperlink r:id="rId32">
        <w:r>
          <w:rPr>
            <w:rStyle w:val="Hyperlink"/>
          </w:rPr>
          <w:t xml:space="preserve">[11]</w:t>
        </w:r>
      </w:hyperlink>
      <w:r>
        <w:t xml:space="preserve">. Mobile onboarding research suggests showing progress indicators and offering quick wins to sustain engagement</w:t>
      </w:r>
      <w:hyperlink r:id="rId70">
        <w:r>
          <w:rPr>
            <w:rStyle w:val="Hyperlink"/>
          </w:rPr>
          <w:t xml:space="preserve">[44]</w:t>
        </w:r>
      </w:hyperlink>
      <w:r>
        <w:t xml:space="preserve">. Completion motivation can be enhanced by:</w:t>
      </w:r>
    </w:p>
    <w:p>
      <w:pPr>
        <w:pStyle w:val="Compact"/>
        <w:numPr>
          <w:ilvl w:val="0"/>
          <w:numId w:val="1006"/>
        </w:numPr>
      </w:pPr>
      <w:r>
        <w:rPr>
          <w:b/>
          <w:bCs/>
        </w:rPr>
        <w:t xml:space="preserve">Segmenting modules</w:t>
      </w:r>
      <w:r>
        <w:t xml:space="preserve"> </w:t>
      </w:r>
      <w:r>
        <w:t xml:space="preserve">so learners feel progress after each concept.</w:t>
      </w:r>
    </w:p>
    <w:p>
      <w:pPr>
        <w:pStyle w:val="Compact"/>
        <w:numPr>
          <w:ilvl w:val="0"/>
          <w:numId w:val="1006"/>
        </w:numPr>
      </w:pPr>
      <w:r>
        <w:rPr>
          <w:b/>
          <w:bCs/>
        </w:rPr>
        <w:t xml:space="preserve">Visual progress bars or checklists</w:t>
      </w:r>
      <w:r>
        <w:t xml:space="preserve"> </w:t>
      </w:r>
      <w:r>
        <w:t xml:space="preserve">to show how many modules remain.</w:t>
      </w:r>
    </w:p>
    <w:p>
      <w:pPr>
        <w:pStyle w:val="Compact"/>
        <w:numPr>
          <w:ilvl w:val="0"/>
          <w:numId w:val="1006"/>
        </w:numPr>
      </w:pPr>
      <w:r>
        <w:rPr>
          <w:b/>
          <w:bCs/>
        </w:rPr>
        <w:t xml:space="preserve">Celebratory completion screens</w:t>
      </w:r>
      <w:r>
        <w:t xml:space="preserve"> </w:t>
      </w:r>
      <w:r>
        <w:t xml:space="preserve">offering positive feedback and next steps.</w:t>
      </w:r>
    </w:p>
    <w:bookmarkEnd w:id="71"/>
    <w:bookmarkStart w:id="77" w:name="question-fatigue-and-survey-design"/>
    <w:p>
      <w:pPr>
        <w:pStyle w:val="Heading2"/>
      </w:pPr>
      <w:r>
        <w:t xml:space="preserve">Question fatigue and survey design</w:t>
      </w:r>
    </w:p>
    <w:p>
      <w:pPr>
        <w:pStyle w:val="FirstParagraph"/>
      </w:pPr>
      <w:r>
        <w:t xml:space="preserve">Survey fatigue occurs when participants are asked to answer too many or repetitive questions or when surveys are too long</w:t>
      </w:r>
      <w:hyperlink r:id="rId72">
        <w:r>
          <w:rPr>
            <w:rStyle w:val="Hyperlink"/>
          </w:rPr>
          <w:t xml:space="preserve">[45]</w:t>
        </w:r>
      </w:hyperlink>
      <w:r>
        <w:t xml:space="preserve">. Four types of fatigue include over‑surveying,</w:t>
      </w:r>
      <w:r>
        <w:t xml:space="preserve"> </w:t>
      </w:r>
      <w:r>
        <w:rPr>
          <w:b/>
          <w:bCs/>
        </w:rPr>
        <w:t xml:space="preserve">question fatigue</w:t>
      </w:r>
      <w:r>
        <w:t xml:space="preserve"> </w:t>
      </w:r>
      <w:r>
        <w:t xml:space="preserve">(repetitive questioning), long surveys and disingenuous surveys</w:t>
      </w:r>
      <w:hyperlink r:id="rId73">
        <w:r>
          <w:rPr>
            <w:rStyle w:val="Hyperlink"/>
          </w:rPr>
          <w:t xml:space="preserve">[46]</w:t>
        </w:r>
      </w:hyperlink>
      <w:r>
        <w:t xml:space="preserve">. Factors such as long questionnaires, repetitive questions and poorly designed surveys decrease data quality and increase attrition</w:t>
      </w:r>
      <w:hyperlink r:id="rId72">
        <w:r>
          <w:rPr>
            <w:rStyle w:val="Hyperlink"/>
          </w:rPr>
          <w:t xml:space="preserve">[47]</w:t>
        </w:r>
      </w:hyperlink>
      <w:r>
        <w:t xml:space="preserve">. Solutions include:</w:t>
      </w:r>
    </w:p>
    <w:p>
      <w:pPr>
        <w:pStyle w:val="Compact"/>
        <w:numPr>
          <w:ilvl w:val="0"/>
          <w:numId w:val="1007"/>
        </w:numPr>
      </w:pPr>
      <w:r>
        <w:t xml:space="preserve">Keeping questionnaires short and relevant</w:t>
      </w:r>
      <w:hyperlink r:id="rId74">
        <w:r>
          <w:rPr>
            <w:rStyle w:val="Hyperlink"/>
          </w:rPr>
          <w:t xml:space="preserve">[48]</w:t>
        </w:r>
      </w:hyperlink>
      <w:r>
        <w:t xml:space="preserve">.</w:t>
      </w:r>
    </w:p>
    <w:p>
      <w:pPr>
        <w:pStyle w:val="Compact"/>
        <w:numPr>
          <w:ilvl w:val="0"/>
          <w:numId w:val="1007"/>
        </w:numPr>
      </w:pPr>
      <w:r>
        <w:t xml:space="preserve">Reducing open‑ended questions and avoiding repetitive prompts</w:t>
      </w:r>
      <w:hyperlink r:id="rId72">
        <w:r>
          <w:rPr>
            <w:rStyle w:val="Hyperlink"/>
          </w:rPr>
          <w:t xml:space="preserve">[49]</w:t>
        </w:r>
      </w:hyperlink>
      <w:r>
        <w:t xml:space="preserve">.</w:t>
      </w:r>
    </w:p>
    <w:p>
      <w:pPr>
        <w:pStyle w:val="Compact"/>
        <w:numPr>
          <w:ilvl w:val="0"/>
          <w:numId w:val="1007"/>
        </w:numPr>
      </w:pPr>
      <w:r>
        <w:t xml:space="preserve">Explaining the purpose and estimated completion time</w:t>
      </w:r>
      <w:hyperlink r:id="rId75">
        <w:r>
          <w:rPr>
            <w:rStyle w:val="Hyperlink"/>
          </w:rPr>
          <w:t xml:space="preserve">[50]</w:t>
        </w:r>
      </w:hyperlink>
      <w:r>
        <w:t xml:space="preserve">.</w:t>
      </w:r>
    </w:p>
    <w:p>
      <w:pPr>
        <w:pStyle w:val="Compact"/>
        <w:numPr>
          <w:ilvl w:val="0"/>
          <w:numId w:val="1007"/>
        </w:numPr>
      </w:pPr>
      <w:r>
        <w:t xml:space="preserve">Targeting the right participants and offering feedback or incentives to maintain engagement</w:t>
      </w:r>
      <w:hyperlink r:id="rId76">
        <w:r>
          <w:rPr>
            <w:rStyle w:val="Hyperlink"/>
          </w:rPr>
          <w:t xml:space="preserve">[51]</w:t>
        </w:r>
      </w:hyperlink>
      <w:r>
        <w:t xml:space="preserve">.</w:t>
      </w:r>
    </w:p>
    <w:p>
      <w:pPr>
        <w:pStyle w:val="FirstParagraph"/>
      </w:pPr>
      <w:r>
        <w:t xml:space="preserve">In the onboarding context, this means asking only a few reflection questions per module, clearly explaining why each question is asked, and allowing learners to skip or provide minimal input to avoid fatigue.</w:t>
      </w:r>
    </w:p>
    <w:bookmarkEnd w:id="77"/>
    <w:bookmarkStart w:id="79" w:name="accessibility-recommendations"/>
    <w:p>
      <w:pPr>
        <w:pStyle w:val="Heading2"/>
      </w:pPr>
      <w:r>
        <w:t xml:space="preserve">Accessibility recommendations</w:t>
      </w:r>
    </w:p>
    <w:p>
      <w:pPr>
        <w:pStyle w:val="FirstParagraph"/>
      </w:pPr>
      <w:r>
        <w:t xml:space="preserve">In line with UDL and accessibility guidelines, the onboarding should:</w:t>
      </w:r>
    </w:p>
    <w:p>
      <w:pPr>
        <w:pStyle w:val="Compact"/>
        <w:numPr>
          <w:ilvl w:val="0"/>
          <w:numId w:val="1008"/>
        </w:numPr>
      </w:pPr>
      <w:r>
        <w:t xml:space="preserve">Support</w:t>
      </w:r>
      <w:r>
        <w:t xml:space="preserve"> </w:t>
      </w:r>
      <w:r>
        <w:rPr>
          <w:b/>
          <w:bCs/>
        </w:rPr>
        <w:t xml:space="preserve">customizable text size, contrast and audio captions</w:t>
      </w:r>
      <w:r>
        <w:t xml:space="preserve"> </w:t>
      </w:r>
      <w:r>
        <w:t xml:space="preserve">so learners can adjust the display to their needs</w:t>
      </w:r>
      <w:hyperlink r:id="rId51">
        <w:r>
          <w:rPr>
            <w:rStyle w:val="Hyperlink"/>
          </w:rPr>
          <w:t xml:space="preserve">[28]</w:t>
        </w:r>
      </w:hyperlink>
      <w:r>
        <w:t xml:space="preserve">.</w:t>
      </w:r>
    </w:p>
    <w:p>
      <w:pPr>
        <w:pStyle w:val="Compact"/>
        <w:numPr>
          <w:ilvl w:val="0"/>
          <w:numId w:val="1008"/>
        </w:numPr>
      </w:pPr>
      <w:r>
        <w:t xml:space="preserve">Provide</w:t>
      </w:r>
      <w:r>
        <w:t xml:space="preserve"> </w:t>
      </w:r>
      <w:r>
        <w:rPr>
          <w:b/>
          <w:bCs/>
        </w:rPr>
        <w:t xml:space="preserve">alt‑text for images</w:t>
      </w:r>
      <w:r>
        <w:t xml:space="preserve">, transcripts for audio/video and closed captions.</w:t>
      </w:r>
    </w:p>
    <w:p>
      <w:pPr>
        <w:pStyle w:val="Compact"/>
        <w:numPr>
          <w:ilvl w:val="0"/>
          <w:numId w:val="1008"/>
        </w:numPr>
      </w:pPr>
      <w:r>
        <w:t xml:space="preserve">Offer</w:t>
      </w:r>
      <w:r>
        <w:t xml:space="preserve"> </w:t>
      </w:r>
      <w:r>
        <w:rPr>
          <w:b/>
          <w:bCs/>
        </w:rPr>
        <w:t xml:space="preserve">keyboard‑friendly navigation</w:t>
      </w:r>
      <w:r>
        <w:t xml:space="preserve"> </w:t>
      </w:r>
      <w:r>
        <w:t xml:space="preserve">and voice control; allow sliders, tap targets and drag‑and‑drop interactions that are accessible to people with motor impairments</w:t>
      </w:r>
      <w:hyperlink r:id="rId78">
        <w:r>
          <w:rPr>
            <w:rStyle w:val="Hyperlink"/>
          </w:rPr>
          <w:t xml:space="preserve">[52]</w:t>
        </w:r>
      </w:hyperlink>
      <w:r>
        <w:t xml:space="preserve">.</w:t>
      </w:r>
    </w:p>
    <w:p>
      <w:pPr>
        <w:pStyle w:val="Compact"/>
        <w:numPr>
          <w:ilvl w:val="0"/>
          <w:numId w:val="1008"/>
        </w:numPr>
      </w:pPr>
      <w:r>
        <w:t xml:space="preserve">Present content in</w:t>
      </w:r>
      <w:r>
        <w:t xml:space="preserve"> </w:t>
      </w:r>
      <w:r>
        <w:rPr>
          <w:b/>
          <w:bCs/>
        </w:rPr>
        <w:t xml:space="preserve">multiple formats</w:t>
      </w:r>
      <w:r>
        <w:t xml:space="preserve"> </w:t>
      </w:r>
      <w:r>
        <w:t xml:space="preserve">(text, audio, video) to support different sensory preferences</w:t>
      </w:r>
      <w:hyperlink r:id="rId51">
        <w:r>
          <w:rPr>
            <w:rStyle w:val="Hyperlink"/>
          </w:rPr>
          <w:t xml:space="preserve">[28]</w:t>
        </w:r>
      </w:hyperlink>
      <w:r>
        <w:t xml:space="preserve">.</w:t>
      </w:r>
    </w:p>
    <w:p>
      <w:pPr>
        <w:pStyle w:val="Compact"/>
        <w:numPr>
          <w:ilvl w:val="0"/>
          <w:numId w:val="1008"/>
        </w:numPr>
      </w:pPr>
      <w:r>
        <w:t xml:space="preserve">Use</w:t>
      </w:r>
      <w:r>
        <w:t xml:space="preserve"> </w:t>
      </w:r>
      <w:r>
        <w:rPr>
          <w:b/>
          <w:bCs/>
        </w:rPr>
        <w:t xml:space="preserve">clear language</w:t>
      </w:r>
      <w:r>
        <w:t xml:space="preserve"> </w:t>
      </w:r>
      <w:r>
        <w:t xml:space="preserve">and a conversational tone (personalisation principle)</w:t>
      </w:r>
      <w:hyperlink r:id="rId44">
        <w:r>
          <w:rPr>
            <w:rStyle w:val="Hyperlink"/>
          </w:rPr>
          <w:t xml:space="preserve">[22]</w:t>
        </w:r>
      </w:hyperlink>
      <w:r>
        <w:t xml:space="preserve">.</w:t>
      </w:r>
    </w:p>
    <w:p>
      <w:pPr>
        <w:pStyle w:val="Compact"/>
        <w:numPr>
          <w:ilvl w:val="0"/>
          <w:numId w:val="1008"/>
        </w:numPr>
      </w:pPr>
      <w:r>
        <w:t xml:space="preserve">Ensure</w:t>
      </w:r>
      <w:r>
        <w:t xml:space="preserve"> </w:t>
      </w:r>
      <w:r>
        <w:rPr>
          <w:b/>
          <w:bCs/>
        </w:rPr>
        <w:t xml:space="preserve">progress indicators</w:t>
      </w:r>
      <w:r>
        <w:t xml:space="preserve"> </w:t>
      </w:r>
      <w:r>
        <w:t xml:space="preserve">and interactive elements are screen‑reader accessible.</w:t>
      </w:r>
    </w:p>
    <w:bookmarkEnd w:id="79"/>
    <w:bookmarkStart w:id="81" w:name="Xd02c119fccbcf31ea29ad9609047b69f0a305e2"/>
    <w:p>
      <w:pPr>
        <w:pStyle w:val="Heading2"/>
      </w:pPr>
      <w:r>
        <w:t xml:space="preserve">Recommended lesson structure for BecomingOS onboarding</w:t>
      </w:r>
    </w:p>
    <w:p>
      <w:pPr>
        <w:pStyle w:val="FirstParagraph"/>
      </w:pPr>
      <w:r>
        <w:t xml:space="preserve">Based on the research, an effective educational onboarding module should follow a</w:t>
      </w:r>
      <w:r>
        <w:t xml:space="preserve"> </w:t>
      </w:r>
      <w:r>
        <w:rPr>
          <w:b/>
          <w:bCs/>
        </w:rPr>
        <w:t xml:space="preserve">micro‑learning, reflection‑centred structure</w:t>
      </w:r>
      <w:r>
        <w:t xml:space="preserve"> </w:t>
      </w:r>
      <w:r>
        <w:t xml:space="preserve">that honours adult learning principles and UDL. The table below summarises recommendations.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Recommendation &amp; rationale</w:t>
            </w:r>
          </w:p>
        </w:tc>
      </w:tr>
      <w:tr>
        <w:tc>
          <w:tcPr/>
          <w:p>
            <w:pPr>
              <w:pStyle w:val="Compact"/>
            </w:pPr>
            <w:r>
              <w:rPr>
                <w:b/>
                <w:bCs/>
              </w:rPr>
              <w:t xml:space="preserve">Lesson structure</w:t>
            </w:r>
          </w:p>
        </w:tc>
        <w:tc>
          <w:tcPr/>
          <w:p>
            <w:pPr>
              <w:pStyle w:val="Compact"/>
            </w:pPr>
            <w:r>
              <w:t xml:space="preserve">Each module focuses on</w:t>
            </w:r>
            <w:r>
              <w:t xml:space="preserve"> </w:t>
            </w:r>
            <w:r>
              <w:rPr>
                <w:b/>
                <w:bCs/>
              </w:rPr>
              <w:t xml:space="preserve">one concept</w:t>
            </w:r>
            <w:r>
              <w:t xml:space="preserve"> </w:t>
            </w:r>
            <w:r>
              <w:t xml:space="preserve">(adult learners prefer problem‑centred lessons</w:t>
            </w:r>
            <w:hyperlink r:id="rId25">
              <w:r>
                <w:rPr>
                  <w:rStyle w:val="Hyperlink"/>
                </w:rPr>
                <w:t xml:space="preserve">[5]</w:t>
              </w:r>
            </w:hyperlink>
            <w:r>
              <w:t xml:space="preserve">). Use</w:t>
            </w:r>
            <w:r>
              <w:t xml:space="preserve"> </w:t>
            </w:r>
            <w:r>
              <w:rPr>
                <w:b/>
                <w:bCs/>
              </w:rPr>
              <w:t xml:space="preserve">microlearning</w:t>
            </w:r>
            <w:r>
              <w:t xml:space="preserve"> </w:t>
            </w:r>
            <w:r>
              <w:t xml:space="preserve">by delivering the lesson in</w:t>
            </w:r>
            <w:r>
              <w:t xml:space="preserve"> </w:t>
            </w:r>
            <w:r>
              <w:rPr>
                <w:b/>
                <w:bCs/>
              </w:rPr>
              <w:t xml:space="preserve">1–5 minute</w:t>
            </w:r>
            <w:r>
              <w:t xml:space="preserve"> </w:t>
            </w:r>
            <w:r>
              <w:t xml:space="preserve">segments</w:t>
            </w:r>
            <w:hyperlink r:id="rId28">
              <w:r>
                <w:rPr>
                  <w:rStyle w:val="Hyperlink"/>
                </w:rPr>
                <w:t xml:space="preserve">[7]</w:t>
              </w:r>
            </w:hyperlink>
            <w:r>
              <w:t xml:space="preserve">. Start with a brief</w:t>
            </w:r>
            <w:r>
              <w:t xml:space="preserve"> </w:t>
            </w:r>
            <w:r>
              <w:rPr>
                <w:b/>
                <w:bCs/>
              </w:rPr>
              <w:t xml:space="preserve">plain‑language explanation</w:t>
            </w:r>
            <w:r>
              <w:t xml:space="preserve"> </w:t>
            </w:r>
            <w:r>
              <w:t xml:space="preserve">and an</w:t>
            </w:r>
            <w:r>
              <w:t xml:space="preserve"> </w:t>
            </w:r>
            <w:r>
              <w:rPr>
                <w:b/>
                <w:bCs/>
              </w:rPr>
              <w:t xml:space="preserve">example</w:t>
            </w:r>
            <w:r>
              <w:t xml:space="preserve"> </w:t>
            </w:r>
            <w:r>
              <w:t xml:space="preserve">(preferably real‑world) to connect with prior experience</w:t>
            </w:r>
            <w:hyperlink r:id="rId23">
              <w:r>
                <w:rPr>
                  <w:rStyle w:val="Hyperlink"/>
                </w:rPr>
                <w:t xml:space="preserve">[3]</w:t>
              </w:r>
            </w:hyperlink>
            <w:r>
              <w:t xml:space="preserve">. Follow with a</w:t>
            </w:r>
            <w:r>
              <w:t xml:space="preserve"> </w:t>
            </w:r>
            <w:r>
              <w:rPr>
                <w:b/>
                <w:bCs/>
              </w:rPr>
              <w:t xml:space="preserve">reflection question</w:t>
            </w:r>
            <w:r>
              <w:t xml:space="preserve"> </w:t>
            </w:r>
            <w:r>
              <w:t xml:space="preserve">that invites learners to relate the concept to their life or work (reflection promotes deeper learning</w:t>
            </w:r>
            <w:hyperlink r:id="rId68">
              <w:r>
                <w:rPr>
                  <w:rStyle w:val="Hyperlink"/>
                </w:rPr>
                <w:t xml:space="preserve">[43]</w:t>
              </w:r>
            </w:hyperlink>
            <w:r>
              <w:t xml:space="preserve">). After the learner responds, provide an</w:t>
            </w:r>
            <w:r>
              <w:t xml:space="preserve"> </w:t>
            </w:r>
            <w:r>
              <w:rPr>
                <w:b/>
                <w:bCs/>
              </w:rPr>
              <w:t xml:space="preserve">AI interpretation</w:t>
            </w:r>
            <w:r>
              <w:t xml:space="preserve"> </w:t>
            </w:r>
            <w:r>
              <w:t xml:space="preserve">summarising themes or insights; allow them to</w:t>
            </w:r>
            <w:r>
              <w:t xml:space="preserve"> </w:t>
            </w:r>
            <w:r>
              <w:rPr>
                <w:b/>
                <w:bCs/>
              </w:rPr>
              <w:t xml:space="preserve">confirm/edit/reject</w:t>
            </w:r>
            <w:r>
              <w:t xml:space="preserve"> </w:t>
            </w:r>
            <w:r>
              <w:t xml:space="preserve">this interpretation to preserve autonomy. Conclude with an option to</w:t>
            </w:r>
            <w:r>
              <w:t xml:space="preserve"> </w:t>
            </w:r>
            <w:r>
              <w:rPr>
                <w:b/>
                <w:bCs/>
              </w:rPr>
              <w:t xml:space="preserve">save insights to “My OS”</w:t>
            </w:r>
            <w:r>
              <w:t xml:space="preserve">.</w:t>
            </w:r>
          </w:p>
        </w:tc>
      </w:tr>
      <w:tr>
        <w:tc>
          <w:tcPr/>
          <w:p>
            <w:pPr>
              <w:pStyle w:val="Compact"/>
            </w:pPr>
            <w:r>
              <w:rPr>
                <w:b/>
                <w:bCs/>
              </w:rPr>
              <w:t xml:space="preserve">Video length</w:t>
            </w:r>
          </w:p>
        </w:tc>
        <w:tc>
          <w:tcPr/>
          <w:p>
            <w:pPr>
              <w:pStyle w:val="Compact"/>
            </w:pPr>
            <w:r>
              <w:t xml:space="preserve">Use video sparingly for concepts requiring demonstration or to enhance engagement. Aim for</w:t>
            </w:r>
            <w:r>
              <w:t xml:space="preserve"> </w:t>
            </w:r>
            <w:r>
              <w:rPr>
                <w:b/>
                <w:bCs/>
              </w:rPr>
              <w:t xml:space="preserve">1–3 minutes</w:t>
            </w:r>
            <w:r>
              <w:t xml:space="preserve"> </w:t>
            </w:r>
            <w:r>
              <w:t xml:space="preserve">(within microlearning norms) and adhere to multimedia principles: focus on relevant content (coherence), synchronise narration with visuals (temporal contiguity) and avoid redundant on‑screen text</w:t>
            </w:r>
            <w:hyperlink r:id="rId36">
              <w:r>
                <w:rPr>
                  <w:rStyle w:val="Hyperlink"/>
                </w:rPr>
                <w:t xml:space="preserve">[53]</w:t>
              </w:r>
            </w:hyperlink>
            <w:r>
              <w:t xml:space="preserve">. Use human voice‑overs and a conversational tone</w:t>
            </w:r>
            <w:hyperlink r:id="rId43">
              <w:r>
                <w:rPr>
                  <w:rStyle w:val="Hyperlink"/>
                </w:rPr>
                <w:t xml:space="preserve">[54]</w:t>
              </w:r>
            </w:hyperlink>
            <w:r>
              <w:t xml:space="preserve">.</w:t>
            </w:r>
          </w:p>
        </w:tc>
      </w:tr>
      <w:tr>
        <w:tc>
          <w:tcPr/>
          <w:p>
            <w:pPr>
              <w:pStyle w:val="Compact"/>
            </w:pPr>
            <w:r>
              <w:rPr>
                <w:b/>
                <w:bCs/>
              </w:rPr>
              <w:t xml:space="preserve">Text length</w:t>
            </w:r>
          </w:p>
        </w:tc>
        <w:tc>
          <w:tcPr/>
          <w:p>
            <w:pPr>
              <w:pStyle w:val="Compact"/>
            </w:pPr>
            <w:r>
              <w:t xml:space="preserve">For text‑only lessons, keep explanations</w:t>
            </w:r>
            <w:r>
              <w:t xml:space="preserve"> </w:t>
            </w:r>
            <w:r>
              <w:rPr>
                <w:b/>
                <w:bCs/>
              </w:rPr>
              <w:t xml:space="preserve">under 200–300 words</w:t>
            </w:r>
            <w:r>
              <w:t xml:space="preserve"> </w:t>
            </w:r>
            <w:r>
              <w:t xml:space="preserve">(approx. 1–2 minutes of reading) and break content into short paragraphs or bullet points to reduce cognitive load. Use headings and highlights (signalling principle)</w:t>
            </w:r>
            <w:hyperlink r:id="rId38">
              <w:r>
                <w:rPr>
                  <w:rStyle w:val="Hyperlink"/>
                </w:rPr>
                <w:t xml:space="preserve">[16]</w:t>
              </w:r>
            </w:hyperlink>
            <w:r>
              <w:t xml:space="preserve">. Provide optional “Read more” links (progressive disclosure).</w:t>
            </w:r>
          </w:p>
        </w:tc>
      </w:tr>
      <w:tr>
        <w:tc>
          <w:tcPr/>
          <w:p>
            <w:pPr>
              <w:pStyle w:val="Compact"/>
            </w:pPr>
            <w:r>
              <w:rPr>
                <w:b/>
                <w:bCs/>
              </w:rPr>
              <w:t xml:space="preserve">Number of questions per module</w:t>
            </w:r>
          </w:p>
        </w:tc>
        <w:tc>
          <w:tcPr/>
          <w:p>
            <w:pPr>
              <w:pStyle w:val="Compact"/>
            </w:pPr>
            <w:r>
              <w:t xml:space="preserve">To avoid question fatigue, limit to</w:t>
            </w:r>
            <w:r>
              <w:t xml:space="preserve"> </w:t>
            </w:r>
            <w:r>
              <w:rPr>
                <w:b/>
                <w:bCs/>
              </w:rPr>
              <w:t xml:space="preserve">one primary reflection question</w:t>
            </w:r>
            <w:r>
              <w:t xml:space="preserve"> </w:t>
            </w:r>
            <w:r>
              <w:t xml:space="preserve">plus up to</w:t>
            </w:r>
            <w:r>
              <w:t xml:space="preserve"> </w:t>
            </w:r>
            <w:r>
              <w:rPr>
                <w:b/>
                <w:bCs/>
              </w:rPr>
              <w:t xml:space="preserve">two optional rating/slider questions</w:t>
            </w:r>
            <w:r>
              <w:t xml:space="preserve">. Explain why each question is asked and estimate completion time</w:t>
            </w:r>
            <w:hyperlink r:id="rId72">
              <w:r>
                <w:rPr>
                  <w:rStyle w:val="Hyperlink"/>
                </w:rPr>
                <w:t xml:space="preserve">[45]</w:t>
              </w:r>
            </w:hyperlink>
            <w:r>
              <w:t xml:space="preserve">.</w:t>
            </w:r>
          </w:p>
        </w:tc>
      </w:tr>
      <w:tr>
        <w:tc>
          <w:tcPr/>
          <w:p>
            <w:pPr>
              <w:pStyle w:val="Compact"/>
            </w:pPr>
            <w:r>
              <w:rPr>
                <w:b/>
                <w:bCs/>
              </w:rPr>
              <w:t xml:space="preserve">Question types</w:t>
            </w:r>
          </w:p>
        </w:tc>
        <w:tc>
          <w:tcPr/>
          <w:p>
            <w:pPr>
              <w:pStyle w:val="Compact"/>
            </w:pPr>
            <w:r>
              <w:t xml:space="preserve">Combine</w:t>
            </w:r>
            <w:r>
              <w:t xml:space="preserve"> </w:t>
            </w:r>
            <w:r>
              <w:rPr>
                <w:b/>
                <w:bCs/>
              </w:rPr>
              <w:t xml:space="preserve">open‑ended reflection questions</w:t>
            </w:r>
            <w:r>
              <w:t xml:space="preserve"> </w:t>
            </w:r>
            <w:r>
              <w:t xml:space="preserve">(e.g., “How does this concept relate to your current goals?”) with</w:t>
            </w:r>
            <w:r>
              <w:t xml:space="preserve"> </w:t>
            </w:r>
            <w:r>
              <w:rPr>
                <w:b/>
                <w:bCs/>
              </w:rPr>
              <w:t xml:space="preserve">rating sliders</w:t>
            </w:r>
            <w:r>
              <w:t xml:space="preserve"> </w:t>
            </w:r>
            <w:r>
              <w:t xml:space="preserve">(e.g., “How confident do you feel about applying this concept?”) to accommodate varied expression</w:t>
            </w:r>
            <w:hyperlink r:id="rId52">
              <w:r>
                <w:rPr>
                  <w:rStyle w:val="Hyperlink"/>
                </w:rPr>
                <w:t xml:space="preserve">[29]</w:t>
              </w:r>
            </w:hyperlink>
            <w:r>
              <w:t xml:space="preserve">.</w:t>
            </w:r>
          </w:p>
        </w:tc>
      </w:tr>
      <w:tr>
        <w:tc>
          <w:tcPr/>
          <w:p>
            <w:pPr>
              <w:pStyle w:val="Compact"/>
            </w:pPr>
            <w:r>
              <w:rPr>
                <w:b/>
                <w:bCs/>
              </w:rPr>
              <w:t xml:space="preserve">Order inside each module</w:t>
            </w:r>
          </w:p>
        </w:tc>
        <w:tc>
          <w:tcPr/>
          <w:p>
            <w:pPr>
              <w:pStyle w:val="Compact"/>
            </w:pPr>
            <w:r>
              <w:t xml:space="preserve">1.</w:t>
            </w:r>
            <w:r>
              <w:t xml:space="preserve"> </w:t>
            </w:r>
            <w:r>
              <w:rPr>
                <w:b/>
                <w:bCs/>
              </w:rPr>
              <w:t xml:space="preserve">Title</w:t>
            </w:r>
            <w:r>
              <w:t xml:space="preserve"> </w:t>
            </w:r>
            <w:r>
              <w:t xml:space="preserve">announcing the concept. 2.</w:t>
            </w:r>
            <w:r>
              <w:t xml:space="preserve"> </w:t>
            </w:r>
            <w:r>
              <w:rPr>
                <w:b/>
                <w:bCs/>
              </w:rPr>
              <w:t xml:space="preserve">Plain‑language explanation</w:t>
            </w:r>
            <w:r>
              <w:t xml:space="preserve"> </w:t>
            </w:r>
            <w:r>
              <w:t xml:space="preserve">(text or video). 3.</w:t>
            </w:r>
            <w:r>
              <w:t xml:space="preserve"> </w:t>
            </w:r>
            <w:r>
              <w:rPr>
                <w:b/>
                <w:bCs/>
              </w:rPr>
              <w:t xml:space="preserve">Example/scenario</w:t>
            </w:r>
            <w:r>
              <w:t xml:space="preserve"> </w:t>
            </w:r>
            <w:r>
              <w:t xml:space="preserve">illustrating real‑world application. 4.</w:t>
            </w:r>
            <w:r>
              <w:t xml:space="preserve"> </w:t>
            </w:r>
            <w:r>
              <w:rPr>
                <w:b/>
                <w:bCs/>
              </w:rPr>
              <w:t xml:space="preserve">Reflection question(s)</w:t>
            </w:r>
            <w:r>
              <w:t xml:space="preserve"> </w:t>
            </w:r>
            <w:r>
              <w:t xml:space="preserve">with optional rating slider. 5.</w:t>
            </w:r>
            <w:r>
              <w:t xml:space="preserve"> </w:t>
            </w:r>
            <w:r>
              <w:rPr>
                <w:b/>
                <w:bCs/>
              </w:rPr>
              <w:t xml:space="preserve">AI interpretation</w:t>
            </w:r>
            <w:r>
              <w:t xml:space="preserve"> </w:t>
            </w:r>
            <w:r>
              <w:t xml:space="preserve">summarising responses. 6.</w:t>
            </w:r>
            <w:r>
              <w:t xml:space="preserve"> </w:t>
            </w:r>
            <w:r>
              <w:rPr>
                <w:b/>
                <w:bCs/>
              </w:rPr>
              <w:t xml:space="preserve">Confirm/edit/reject</w:t>
            </w:r>
            <w:r>
              <w:t xml:space="preserve"> </w:t>
            </w:r>
            <w:r>
              <w:t xml:space="preserve">interpretation to maintain control. 7.</w:t>
            </w:r>
            <w:r>
              <w:t xml:space="preserve"> </w:t>
            </w:r>
            <w:r>
              <w:rPr>
                <w:b/>
                <w:bCs/>
              </w:rPr>
              <w:t xml:space="preserve">Option to save insights to “My OS”</w:t>
            </w:r>
            <w:r>
              <w:t xml:space="preserve">. 8.</w:t>
            </w:r>
            <w:r>
              <w:t xml:space="preserve"> </w:t>
            </w:r>
            <w:r>
              <w:rPr>
                <w:b/>
                <w:bCs/>
              </w:rPr>
              <w:t xml:space="preserve">Completion screen</w:t>
            </w:r>
            <w:r>
              <w:t xml:space="preserve"> </w:t>
            </w:r>
            <w:r>
              <w:t xml:space="preserve">with progress indicator and encouragement.</w:t>
            </w:r>
          </w:p>
        </w:tc>
      </w:tr>
      <w:tr>
        <w:tc>
          <w:tcPr/>
          <w:p>
            <w:pPr>
              <w:pStyle w:val="Compact"/>
            </w:pPr>
            <w:r>
              <w:rPr>
                <w:b/>
                <w:bCs/>
              </w:rPr>
              <w:t xml:space="preserve">When to use video</w:t>
            </w:r>
          </w:p>
        </w:tc>
        <w:tc>
          <w:tcPr/>
          <w:p>
            <w:pPr>
              <w:pStyle w:val="Compact"/>
            </w:pPr>
            <w:r>
              <w:t xml:space="preserve">Use video for demonstrating behaviours, showing visual processes, or evoking emotion (e.g., mindset shifts). Videos should illustrate complex concepts that benefit from motion. For straightforward definitions or instructions, prefer text to save bandwidth and avoid redundancy</w:t>
            </w:r>
            <w:hyperlink r:id="rId39">
              <w:r>
                <w:rPr>
                  <w:rStyle w:val="Hyperlink"/>
                </w:rPr>
                <w:t xml:space="preserve">[17]</w:t>
              </w:r>
            </w:hyperlink>
            <w:r>
              <w:t xml:space="preserve">. Provide transcripts and allow users to skip or watch later (progressive disclosure).</w:t>
            </w:r>
          </w:p>
        </w:tc>
      </w:tr>
      <w:tr>
        <w:tc>
          <w:tcPr/>
          <w:p>
            <w:pPr>
              <w:pStyle w:val="Compact"/>
            </w:pPr>
            <w:r>
              <w:rPr>
                <w:b/>
                <w:bCs/>
              </w:rPr>
              <w:t xml:space="preserve">When to use text</w:t>
            </w:r>
          </w:p>
        </w:tc>
        <w:tc>
          <w:tcPr/>
          <w:p>
            <w:pPr>
              <w:pStyle w:val="Compact"/>
            </w:pPr>
            <w:r>
              <w:t xml:space="preserve">Use text for definitions, step lists, or content that needs to be scanned quickly. Provide headings, bullet points and highlights for clarity. Offer “read aloud” options for auditory learners.</w:t>
            </w:r>
          </w:p>
        </w:tc>
      </w:tr>
      <w:tr>
        <w:tc>
          <w:tcPr/>
          <w:p>
            <w:pPr>
              <w:pStyle w:val="Compact"/>
            </w:pPr>
            <w:r>
              <w:rPr>
                <w:b/>
                <w:bCs/>
              </w:rPr>
              <w:t xml:space="preserve">When to use examples</w:t>
            </w:r>
          </w:p>
        </w:tc>
        <w:tc>
          <w:tcPr/>
          <w:p>
            <w:pPr>
              <w:pStyle w:val="Compact"/>
            </w:pPr>
            <w:r>
              <w:t xml:space="preserve">Present concrete examples after explaining a concept to connect new information to learners’ prior experience (adult learning principle)</w:t>
            </w:r>
            <w:hyperlink r:id="rId23">
              <w:r>
                <w:rPr>
                  <w:rStyle w:val="Hyperlink"/>
                </w:rPr>
                <w:t xml:space="preserve">[3]</w:t>
              </w:r>
            </w:hyperlink>
            <w:r>
              <w:t xml:space="preserve">. Examples should be short and relatable; include scenarios for different user types to support diverse backgrounds.</w:t>
            </w:r>
          </w:p>
        </w:tc>
      </w:tr>
      <w:tr>
        <w:tc>
          <w:tcPr/>
          <w:p>
            <w:pPr>
              <w:pStyle w:val="Compact"/>
            </w:pPr>
            <w:r>
              <w:rPr>
                <w:b/>
                <w:bCs/>
              </w:rPr>
              <w:t xml:space="preserve">When to show AI interpretation</w:t>
            </w:r>
          </w:p>
        </w:tc>
        <w:tc>
          <w:tcPr/>
          <w:p>
            <w:pPr>
              <w:pStyle w:val="Compact"/>
            </w:pPr>
            <w:r>
              <w:t xml:space="preserve">After learners submit their reflection, show a concise AI‑generated summary highlighting key themes or patterns. This should be optional and emphasise that users can</w:t>
            </w:r>
            <w:r>
              <w:t xml:space="preserve"> </w:t>
            </w:r>
            <w:r>
              <w:rPr>
                <w:b/>
                <w:bCs/>
              </w:rPr>
              <w:t xml:space="preserve">edit or reject</w:t>
            </w:r>
            <w:r>
              <w:t xml:space="preserve"> </w:t>
            </w:r>
            <w:r>
              <w:t xml:space="preserve">it. AI interpretation supports metacognition but must not override the learner’s autonomy.</w:t>
            </w:r>
          </w:p>
        </w:tc>
      </w:tr>
      <w:tr>
        <w:tc>
          <w:tcPr/>
          <w:p>
            <w:pPr>
              <w:pStyle w:val="Compact"/>
            </w:pPr>
            <w:r>
              <w:rPr>
                <w:b/>
                <w:bCs/>
              </w:rPr>
              <w:t xml:space="preserve">When to save to My OS</w:t>
            </w:r>
          </w:p>
        </w:tc>
        <w:tc>
          <w:tcPr/>
          <w:p>
            <w:pPr>
              <w:pStyle w:val="Compact"/>
            </w:pPr>
            <w:r>
              <w:t xml:space="preserve">Provide a button at the end of each module to save the concept, reflection, and AI interpretation to the learner’s personal “My OS” library. Learners should be able to opt out. Saving encourages continuity and builds a personal knowledge base.</w:t>
            </w:r>
          </w:p>
        </w:tc>
      </w:tr>
      <w:tr>
        <w:tc>
          <w:tcPr/>
          <w:p>
            <w:pPr>
              <w:pStyle w:val="Compact"/>
            </w:pPr>
            <w:r>
              <w:rPr>
                <w:b/>
                <w:bCs/>
              </w:rPr>
              <w:t xml:space="preserve">Completion screen design</w:t>
            </w:r>
          </w:p>
        </w:tc>
        <w:tc>
          <w:tcPr/>
          <w:p>
            <w:pPr>
              <w:pStyle w:val="Compact"/>
            </w:pPr>
            <w:r>
              <w:t xml:space="preserve">After finishing a module, display a completion screen with a</w:t>
            </w:r>
            <w:r>
              <w:t xml:space="preserve"> </w:t>
            </w:r>
            <w:r>
              <w:rPr>
                <w:b/>
                <w:bCs/>
              </w:rPr>
              <w:t xml:space="preserve">progress bar</w:t>
            </w:r>
            <w:r>
              <w:t xml:space="preserve"> </w:t>
            </w:r>
            <w:r>
              <w:t xml:space="preserve">or checklist showing completed modules vs. remaining. Include</w:t>
            </w:r>
            <w:r>
              <w:t xml:space="preserve"> </w:t>
            </w:r>
            <w:r>
              <w:rPr>
                <w:b/>
                <w:bCs/>
              </w:rPr>
              <w:t xml:space="preserve">celebratory messaging</w:t>
            </w:r>
            <w:r>
              <w:t xml:space="preserve"> </w:t>
            </w:r>
            <w:r>
              <w:t xml:space="preserve">to reward effort and</w:t>
            </w:r>
            <w:r>
              <w:t xml:space="preserve"> </w:t>
            </w:r>
            <w:r>
              <w:rPr>
                <w:b/>
                <w:bCs/>
              </w:rPr>
              <w:t xml:space="preserve">suggest the next step</w:t>
            </w:r>
            <w:r>
              <w:t xml:space="preserve"> </w:t>
            </w:r>
            <w:r>
              <w:t xml:space="preserve">(e.g., next module or reflection journal). Keep the screen uncluttered, use warm colours and minimal text to avoid cognitive overload.</w:t>
            </w:r>
          </w:p>
        </w:tc>
      </w:tr>
      <w:tr>
        <w:tc>
          <w:tcPr/>
          <w:p>
            <w:pPr>
              <w:pStyle w:val="Compact"/>
            </w:pPr>
            <w:r>
              <w:rPr>
                <w:b/>
                <w:bCs/>
              </w:rPr>
              <w:t xml:space="preserve">Risks of overwhelming users</w:t>
            </w:r>
          </w:p>
        </w:tc>
        <w:tc>
          <w:tcPr/>
          <w:p>
            <w:pPr>
              <w:pStyle w:val="Compact"/>
            </w:pPr>
            <w:r>
              <w:t xml:space="preserve">Overly long videos, dense text, too many questions, or presenting all features at once can overwhelm learners. To mitigate: use progressive disclosure</w:t>
            </w:r>
            <w:hyperlink r:id="rId57">
              <w:r>
                <w:rPr>
                  <w:rStyle w:val="Hyperlink"/>
                </w:rPr>
                <w:t xml:space="preserve">[33]</w:t>
              </w:r>
            </w:hyperlink>
            <w:r>
              <w:t xml:space="preserve">, segment content</w:t>
            </w:r>
            <w:hyperlink r:id="rId41">
              <w:r>
                <w:rPr>
                  <w:rStyle w:val="Hyperlink"/>
                </w:rPr>
                <w:t xml:space="preserve">[19]</w:t>
              </w:r>
            </w:hyperlink>
            <w:r>
              <w:t xml:space="preserve">, limit questions</w:t>
            </w:r>
            <w:hyperlink r:id="rId80">
              <w:r>
                <w:rPr>
                  <w:rStyle w:val="Hyperlink"/>
                </w:rPr>
                <w:t xml:space="preserve">[55]</w:t>
              </w:r>
            </w:hyperlink>
            <w:r>
              <w:t xml:space="preserve">, and allow users to control pacing. Avoid repetitive questions and unnecessary notifications.</w:t>
            </w:r>
          </w:p>
        </w:tc>
      </w:tr>
      <w:tr>
        <w:tc>
          <w:tcPr/>
          <w:p>
            <w:pPr>
              <w:pStyle w:val="Compact"/>
            </w:pPr>
            <w:r>
              <w:rPr>
                <w:b/>
                <w:bCs/>
              </w:rPr>
              <w:t xml:space="preserve">Accessibility recommendations</w:t>
            </w:r>
          </w:p>
        </w:tc>
        <w:tc>
          <w:tcPr/>
          <w:p>
            <w:pPr>
              <w:pStyle w:val="Compact"/>
            </w:pPr>
            <w:r>
              <w:t xml:space="preserve">Provide multiple formats (text, video, audio), captions, transcripts, adjustable text size and contrast</w:t>
            </w:r>
            <w:hyperlink r:id="rId51">
              <w:r>
                <w:rPr>
                  <w:rStyle w:val="Hyperlink"/>
                </w:rPr>
                <w:t xml:space="preserve">[28]</w:t>
              </w:r>
            </w:hyperlink>
            <w:r>
              <w:t xml:space="preserve">. Use clear language and conversational tone</w:t>
            </w:r>
            <w:hyperlink r:id="rId44">
              <w:r>
                <w:rPr>
                  <w:rStyle w:val="Hyperlink"/>
                </w:rPr>
                <w:t xml:space="preserve">[22]</w:t>
              </w:r>
            </w:hyperlink>
            <w:r>
              <w:t xml:space="preserve">. Ensure interactive elements are keyboard‑accessible and provide alt‑text for images. Allow different input methods (sliders, text boxes) and ensure the onboarding works on screen readers</w:t>
            </w:r>
            <w:hyperlink r:id="rId52">
              <w:r>
                <w:rPr>
                  <w:rStyle w:val="Hyperlink"/>
                </w:rPr>
                <w:t xml:space="preserve">[29]</w:t>
              </w:r>
            </w:hyperlink>
            <w:r>
              <w:t xml:space="preserve">.</w:t>
            </w:r>
          </w:p>
        </w:tc>
      </w:tr>
    </w:tbl>
    <w:bookmarkEnd w:id="81"/>
    <w:bookmarkStart w:id="83" w:name="X77ed989d19d17621f4d86cd7bf5184d87de7f60"/>
    <w:p>
      <w:pPr>
        <w:pStyle w:val="Heading2"/>
      </w:pPr>
      <w:r>
        <w:t xml:space="preserve">Module template for BecomingOS onboarding</w:t>
      </w:r>
    </w:p>
    <w:p>
      <w:pPr>
        <w:pStyle w:val="FirstParagraph"/>
      </w:pPr>
      <w:r>
        <w:t xml:space="preserve">Below is a template that integrates these recommendations. Each module should be delivered within a single mobile‑friendly screen with progressive disclosure options.</w:t>
      </w:r>
    </w:p>
    <w:p>
      <w:pPr>
        <w:pStyle w:val="Compact"/>
        <w:numPr>
          <w:ilvl w:val="0"/>
          <w:numId w:val="1009"/>
        </w:numPr>
      </w:pPr>
      <w:r>
        <w:rPr>
          <w:b/>
          <w:bCs/>
        </w:rPr>
        <w:t xml:space="preserve">Lesson title</w:t>
      </w:r>
      <w:r>
        <w:t xml:space="preserve"> </w:t>
      </w:r>
      <w:r>
        <w:t xml:space="preserve">– A clear and engaging title (e.g., “Understanding Energy Levels”).</w:t>
      </w:r>
    </w:p>
    <w:p>
      <w:pPr>
        <w:pStyle w:val="Compact"/>
        <w:numPr>
          <w:ilvl w:val="0"/>
          <w:numId w:val="1009"/>
        </w:numPr>
      </w:pPr>
      <w:r>
        <w:rPr>
          <w:b/>
          <w:bCs/>
        </w:rPr>
        <w:t xml:space="preserve">Plain‑language explanation</w:t>
      </w:r>
      <w:r>
        <w:t xml:space="preserve"> </w:t>
      </w:r>
      <w:r>
        <w:t xml:space="preserve">– A short text (≤200 words) or a 1–3‑minute video explaining the concept, using conversational language and visuals that align with Mayer’s multimedia and coherence principles.</w:t>
      </w:r>
    </w:p>
    <w:p>
      <w:pPr>
        <w:pStyle w:val="Compact"/>
        <w:numPr>
          <w:ilvl w:val="0"/>
          <w:numId w:val="1009"/>
        </w:numPr>
      </w:pPr>
      <w:r>
        <w:rPr>
          <w:b/>
          <w:bCs/>
        </w:rPr>
        <w:t xml:space="preserve">Example/Scenario</w:t>
      </w:r>
      <w:r>
        <w:t xml:space="preserve"> </w:t>
      </w:r>
      <w:r>
        <w:t xml:space="preserve">– A brief story or case illustrating the concept in everyday life or work; optional images or diagrams to aid understanding.</w:t>
      </w:r>
    </w:p>
    <w:p>
      <w:pPr>
        <w:pStyle w:val="Compact"/>
        <w:numPr>
          <w:ilvl w:val="0"/>
          <w:numId w:val="1009"/>
        </w:numPr>
      </w:pPr>
      <w:r>
        <w:rPr>
          <w:b/>
          <w:bCs/>
        </w:rPr>
        <w:t xml:space="preserve">Reflection question</w:t>
      </w:r>
      <w:r>
        <w:t xml:space="preserve"> </w:t>
      </w:r>
      <w:r>
        <w:t xml:space="preserve">– One open‑ended question prompting the learner to connect the concept to their own experience (e.g., “How do you currently manage your energy levels?”). Provide an optional 1–5 rating slider asking how confident the learner feels applying the concept.</w:t>
      </w:r>
    </w:p>
    <w:p>
      <w:pPr>
        <w:pStyle w:val="Compact"/>
        <w:numPr>
          <w:ilvl w:val="0"/>
          <w:numId w:val="1009"/>
        </w:numPr>
      </w:pPr>
      <w:r>
        <w:rPr>
          <w:b/>
          <w:bCs/>
        </w:rPr>
        <w:t xml:space="preserve">Free‑text answer</w:t>
      </w:r>
      <w:r>
        <w:t xml:space="preserve"> </w:t>
      </w:r>
      <w:r>
        <w:t xml:space="preserve">– Field for learner’s response; ensure accessibility via voice input and adjustable text size.</w:t>
      </w:r>
    </w:p>
    <w:p>
      <w:pPr>
        <w:pStyle w:val="Compact"/>
        <w:numPr>
          <w:ilvl w:val="0"/>
          <w:numId w:val="1009"/>
        </w:numPr>
      </w:pPr>
      <w:r>
        <w:rPr>
          <w:b/>
          <w:bCs/>
        </w:rPr>
        <w:t xml:space="preserve">AI interpretation</w:t>
      </w:r>
      <w:r>
        <w:t xml:space="preserve"> </w:t>
      </w:r>
      <w:r>
        <w:t xml:space="preserve">– A concise AI‑generated summary of the learner’s response, highlighting themes and suggesting insights. Clearly state that this is a draft and optional.</w:t>
      </w:r>
    </w:p>
    <w:p>
      <w:pPr>
        <w:pStyle w:val="Compact"/>
        <w:numPr>
          <w:ilvl w:val="0"/>
          <w:numId w:val="1009"/>
        </w:numPr>
      </w:pPr>
      <w:r>
        <w:rPr>
          <w:b/>
          <w:bCs/>
        </w:rPr>
        <w:t xml:space="preserve">Confirm/edit/reject</w:t>
      </w:r>
      <w:r>
        <w:t xml:space="preserve"> </w:t>
      </w:r>
      <w:r>
        <w:t xml:space="preserve">– Buttons enabling learners to accept the AI interpretation, edit it or reject it entirely, preserving autonomy.</w:t>
      </w:r>
    </w:p>
    <w:p>
      <w:pPr>
        <w:pStyle w:val="Compact"/>
        <w:numPr>
          <w:ilvl w:val="0"/>
          <w:numId w:val="1009"/>
        </w:numPr>
      </w:pPr>
      <w:r>
        <w:rPr>
          <w:b/>
          <w:bCs/>
        </w:rPr>
        <w:t xml:space="preserve">Save to My OS</w:t>
      </w:r>
      <w:r>
        <w:t xml:space="preserve"> </w:t>
      </w:r>
      <w:r>
        <w:t xml:space="preserve">– Option to save the concept, their reflection and AI interpretation to a personal knowledge base; provide control over privacy and data usage.</w:t>
      </w:r>
    </w:p>
    <w:p>
      <w:pPr>
        <w:pStyle w:val="Compact"/>
        <w:numPr>
          <w:ilvl w:val="0"/>
          <w:numId w:val="1009"/>
        </w:numPr>
      </w:pPr>
      <w:r>
        <w:rPr>
          <w:b/>
          <w:bCs/>
        </w:rPr>
        <w:t xml:space="preserve">Engine installed (progress indicator)</w:t>
      </w:r>
      <w:r>
        <w:t xml:space="preserve"> </w:t>
      </w:r>
      <w:r>
        <w:t xml:space="preserve">– Display progress (e.g., “Module 2 of 7 completed”) with a friendly graphic.</w:t>
      </w:r>
    </w:p>
    <w:p>
      <w:pPr>
        <w:pStyle w:val="Compact"/>
        <w:numPr>
          <w:ilvl w:val="0"/>
          <w:numId w:val="1009"/>
        </w:numPr>
      </w:pPr>
      <w:r>
        <w:rPr>
          <w:b/>
          <w:bCs/>
        </w:rPr>
        <w:t xml:space="preserve">Completion screen</w:t>
      </w:r>
      <w:r>
        <w:t xml:space="preserve"> </w:t>
      </w:r>
      <w:r>
        <w:t xml:space="preserve">– After saving, show a congratulatory message, summarise key takeaways, and suggest the next module. Offer a link to revisit saved reflections.</w:t>
      </w:r>
    </w:p>
    <w:bookmarkStart w:id="82" w:name="notes-on-tone-and-aesthetics"/>
    <w:p>
      <w:pPr>
        <w:pStyle w:val="Heading3"/>
      </w:pPr>
      <w:r>
        <w:t xml:space="preserve">Notes on tone and aesthetics</w:t>
      </w:r>
    </w:p>
    <w:p>
      <w:pPr>
        <w:pStyle w:val="Compact"/>
        <w:numPr>
          <w:ilvl w:val="0"/>
          <w:numId w:val="1010"/>
        </w:numPr>
      </w:pPr>
      <w:r>
        <w:rPr>
          <w:b/>
          <w:bCs/>
        </w:rPr>
        <w:t xml:space="preserve">Deep but not heavy:</w:t>
      </w:r>
      <w:r>
        <w:t xml:space="preserve"> </w:t>
      </w:r>
      <w:r>
        <w:t xml:space="preserve">Use minimalist design, warm colours and positive language. Avoid academic jargon; instead, speak conversationally and encourage curiosity.</w:t>
      </w:r>
    </w:p>
    <w:p>
      <w:pPr>
        <w:pStyle w:val="Compact"/>
        <w:numPr>
          <w:ilvl w:val="0"/>
          <w:numId w:val="1010"/>
        </w:numPr>
      </w:pPr>
      <w:r>
        <w:rPr>
          <w:b/>
          <w:bCs/>
        </w:rPr>
        <w:t xml:space="preserve">Premium but not cold:</w:t>
      </w:r>
      <w:r>
        <w:t xml:space="preserve"> </w:t>
      </w:r>
      <w:r>
        <w:t xml:space="preserve">Use high‑quality visuals and typography; include friendly illustrations instead of stock photos to create a welcoming environment.</w:t>
      </w:r>
    </w:p>
    <w:p>
      <w:pPr>
        <w:pStyle w:val="Compact"/>
        <w:numPr>
          <w:ilvl w:val="0"/>
          <w:numId w:val="1010"/>
        </w:numPr>
      </w:pPr>
      <w:r>
        <w:rPr>
          <w:b/>
          <w:bCs/>
        </w:rPr>
        <w:t xml:space="preserve">Not a school assignment:</w:t>
      </w:r>
      <w:r>
        <w:t xml:space="preserve"> </w:t>
      </w:r>
      <w:r>
        <w:t xml:space="preserve">Frame reflection as personal exploration rather than a test; emphasise autonomy and choice; avoid grading.</w:t>
      </w:r>
    </w:p>
    <w:p>
      <w:pPr>
        <w:pStyle w:val="FirstParagraph"/>
      </w:pPr>
      <w:r>
        <w:t xml:space="preserve">This research‑based template aligns with adult learning principles, microlearning, multimedia guidelines, Universal Design for Learning, and mobile onboarding best practices. It aims to provide BecomingOS users with a</w:t>
      </w:r>
      <w:r>
        <w:t xml:space="preserve"> </w:t>
      </w:r>
      <w:r>
        <w:rPr>
          <w:b/>
          <w:bCs/>
        </w:rPr>
        <w:t xml:space="preserve">deep yet lightweight</w:t>
      </w:r>
      <w:r>
        <w:t xml:space="preserve"> </w:t>
      </w:r>
      <w:r>
        <w:t xml:space="preserve">learning experience that respects their autonomy and supports diverse learning styles.</w:t>
      </w:r>
    </w:p>
    <w:bookmarkEnd w:id="82"/>
    <w:bookmarkEnd w:id="83"/>
    <w:bookmarkEnd w:id="84"/>
    <w:bookmarkEnd w:id="85"/>
    <w:p>
      <w:r>
        <w:pict>
          <v:rect style="width:0;height:1.5pt" o:hralign="center" o:hrstd="t" o:hr="t"/>
        </w:pict>
      </w:r>
    </w:p>
    <w:bookmarkStart w:id="9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66">
        <w:r>
          <w:rPr>
            <w:rStyle w:val="Hyperlink"/>
          </w:rPr>
          <w:t xml:space="preserve">[41]</w:t>
        </w:r>
      </w:hyperlink>
      <w:r>
        <w:t xml:space="preserve"> </w:t>
      </w:r>
      <w:hyperlink r:id="rId67">
        <w:r>
          <w:rPr>
            <w:rStyle w:val="Hyperlink"/>
          </w:rPr>
          <w:t xml:space="preserve">[42]</w:t>
        </w:r>
      </w:hyperlink>
      <w:r>
        <w:t xml:space="preserve"> </w:t>
      </w:r>
      <w:r>
        <w:t xml:space="preserve">What Is Adult Learning Theory? | Articulate</w:t>
      </w:r>
    </w:p>
    <w:p>
      <w:pPr>
        <w:pStyle w:val="BodyText"/>
      </w:pPr>
      <w:hyperlink r:id="rId86">
        <w:r>
          <w:rPr>
            <w:rStyle w:val="Hyperlink"/>
          </w:rPr>
          <w:t xml:space="preserve">https://www.articulate.com/blog/what-is-adult-learning-theory/</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r>
        <w:t xml:space="preserve">Microlearning: Mastering skills in short time spans - Mel - Management &amp; eLearning</w:t>
      </w:r>
    </w:p>
    <w:p>
      <w:pPr>
        <w:pStyle w:val="BodyText"/>
      </w:pPr>
      <w:hyperlink r:id="rId87">
        <w:r>
          <w:rPr>
            <w:rStyle w:val="Hyperlink"/>
          </w:rPr>
          <w:t xml:space="preserve">https://blogs.uoc.edu/mel/microlearning-mastering-skills-in-short-time-spans/</w:t>
        </w:r>
      </w:hyperlink>
    </w:p>
    <w:p>
      <w:pPr>
        <w:pStyle w:val="BodyText"/>
      </w:pPr>
      <w:hyperlink r:id="rId34">
        <w:r>
          <w:rPr>
            <w:rStyle w:val="Hyperlink"/>
          </w:rPr>
          <w:t xml:space="preserve">[13]</w:t>
        </w:r>
      </w:hyperlink>
      <w:r>
        <w:t xml:space="preserve"> </w:t>
      </w:r>
      <w:r>
        <w:t xml:space="preserve">Microlearning | E-Learning Glossary of Key Terms | Articulate</w:t>
      </w:r>
    </w:p>
    <w:p>
      <w:pPr>
        <w:pStyle w:val="BodyText"/>
      </w:pPr>
      <w:hyperlink r:id="rId88">
        <w:r>
          <w:rPr>
            <w:rStyle w:val="Hyperlink"/>
          </w:rPr>
          <w:t xml:space="preserve">https://www.articulate.com/glossary/microlearning/</w:t>
        </w:r>
      </w:hyperlink>
    </w:p>
    <w:p>
      <w:pPr>
        <w:pStyle w:val="BodyText"/>
      </w:pP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36">
        <w:r>
          <w:rPr>
            <w:rStyle w:val="Hyperlink"/>
          </w:rPr>
          <w:t xml:space="preserve">[53]</w:t>
        </w:r>
      </w:hyperlink>
      <w:r>
        <w:t xml:space="preserve"> </w:t>
      </w:r>
      <w:hyperlink r:id="rId43">
        <w:r>
          <w:rPr>
            <w:rStyle w:val="Hyperlink"/>
          </w:rPr>
          <w:t xml:space="preserve">[54]</w:t>
        </w:r>
      </w:hyperlink>
      <w:r>
        <w:t xml:space="preserve"> </w:t>
      </w:r>
      <w:r>
        <w:t xml:space="preserve">Mayer's 12 Principles of Multimedia Learning | DLI</w:t>
      </w:r>
    </w:p>
    <w:p>
      <w:pPr>
        <w:pStyle w:val="BodyText"/>
      </w:pPr>
      <w:hyperlink r:id="rId89">
        <w:r>
          <w:rPr>
            <w:rStyle w:val="Hyperlink"/>
          </w:rPr>
          <w:t xml:space="preserve">https://www.digitallearninginstitute.com/blog/mayers-principles-multimedia-learning</w:t>
        </w:r>
      </w:hyperlink>
    </w:p>
    <w:p>
      <w:pPr>
        <w:pStyle w:val="BodyText"/>
      </w:pPr>
      <w:hyperlink r:id="rId47">
        <w:r>
          <w:rPr>
            <w:rStyle w:val="Hyperlink"/>
          </w:rPr>
          <w:t xml:space="preserve">[24]</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hyperlink r:id="rId52">
        <w:r>
          <w:rPr>
            <w:rStyle w:val="Hyperlink"/>
          </w:rPr>
          <w:t xml:space="preserve">[29]</w:t>
        </w:r>
      </w:hyperlink>
      <w:r>
        <w:t xml:space="preserve"> </w:t>
      </w:r>
      <w:hyperlink r:id="rId53">
        <w:r>
          <w:rPr>
            <w:rStyle w:val="Hyperlink"/>
          </w:rPr>
          <w:t xml:space="preserve">[30]</w:t>
        </w:r>
      </w:hyperlink>
      <w:r>
        <w:t xml:space="preserve"> </w:t>
      </w:r>
      <w:hyperlink r:id="rId54">
        <w:r>
          <w:rPr>
            <w:rStyle w:val="Hyperlink"/>
          </w:rPr>
          <w:t xml:space="preserve">[31]</w:t>
        </w:r>
      </w:hyperlink>
      <w:r>
        <w:t xml:space="preserve"> </w:t>
      </w:r>
      <w:hyperlink r:id="rId55">
        <w:r>
          <w:rPr>
            <w:rStyle w:val="Hyperlink"/>
          </w:rPr>
          <w:t xml:space="preserve">[32]</w:t>
        </w:r>
      </w:hyperlink>
      <w:r>
        <w:t xml:space="preserve"> </w:t>
      </w:r>
      <w:hyperlink r:id="rId78">
        <w:r>
          <w:rPr>
            <w:rStyle w:val="Hyperlink"/>
          </w:rPr>
          <w:t xml:space="preserve">[52]</w:t>
        </w:r>
      </w:hyperlink>
      <w:r>
        <w:t xml:space="preserve"> </w:t>
      </w:r>
      <w:r>
        <w:t xml:space="preserve">CAST Universal Design for Learning Guidelines</w:t>
      </w:r>
    </w:p>
    <w:p>
      <w:pPr>
        <w:pStyle w:val="BodyText"/>
      </w:pPr>
      <w:hyperlink r:id="rId90">
        <w:r>
          <w:rPr>
            <w:rStyle w:val="Hyperlink"/>
          </w:rPr>
          <w:t xml:space="preserve">https://udlguidelines.cast.org/</w:t>
        </w:r>
      </w:hyperlink>
    </w:p>
    <w:p>
      <w:pPr>
        <w:pStyle w:val="BodyText"/>
      </w:pPr>
      <w:hyperlink r:id="rId57">
        <w:r>
          <w:rPr>
            <w:rStyle w:val="Hyperlink"/>
          </w:rPr>
          <w:t xml:space="preserve">[33]</w:t>
        </w:r>
      </w:hyperlink>
      <w:r>
        <w:t xml:space="preserve"> </w:t>
      </w:r>
      <w:hyperlink r:id="rId58">
        <w:r>
          <w:rPr>
            <w:rStyle w:val="Hyperlink"/>
          </w:rPr>
          <w:t xml:space="preserve">[34]</w:t>
        </w:r>
      </w:hyperlink>
      <w:r>
        <w:t xml:space="preserve"> </w:t>
      </w:r>
      <w:hyperlink r:id="rId59">
        <w:r>
          <w:rPr>
            <w:rStyle w:val="Hyperlink"/>
          </w:rPr>
          <w:t xml:space="preserve">[35]</w:t>
        </w:r>
      </w:hyperlink>
      <w:r>
        <w:t xml:space="preserve"> </w:t>
      </w:r>
      <w:r>
        <w:t xml:space="preserve">Progressive Disclosure - NN/G</w:t>
      </w:r>
    </w:p>
    <w:p>
      <w:pPr>
        <w:pStyle w:val="BodyText"/>
      </w:pPr>
      <w:hyperlink r:id="rId91">
        <w:r>
          <w:rPr>
            <w:rStyle w:val="Hyperlink"/>
          </w:rPr>
          <w:t xml:space="preserve">https://www.nngroup.com/articles/progressive-disclosure/</w:t>
        </w:r>
      </w:hyperlink>
    </w:p>
    <w:p>
      <w:pPr>
        <w:pStyle w:val="BodyText"/>
      </w:pPr>
      <w:hyperlink r:id="rId60">
        <w:r>
          <w:rPr>
            <w:rStyle w:val="Hyperlink"/>
          </w:rPr>
          <w:t xml:space="preserve">[36]</w:t>
        </w:r>
      </w:hyperlink>
      <w:r>
        <w:t xml:space="preserve"> </w:t>
      </w:r>
      <w:hyperlink r:id="rId61">
        <w:r>
          <w:rPr>
            <w:rStyle w:val="Hyperlink"/>
          </w:rPr>
          <w:t xml:space="preserve">[37]</w:t>
        </w:r>
      </w:hyperlink>
      <w:r>
        <w:t xml:space="preserve"> </w:t>
      </w:r>
      <w:hyperlink r:id="rId62">
        <w:r>
          <w:rPr>
            <w:rStyle w:val="Hyperlink"/>
          </w:rPr>
          <w:t xml:space="preserve">[38]</w:t>
        </w:r>
      </w:hyperlink>
      <w:r>
        <w:t xml:space="preserve"> </w:t>
      </w:r>
      <w:hyperlink r:id="rId63">
        <w:r>
          <w:rPr>
            <w:rStyle w:val="Hyperlink"/>
          </w:rPr>
          <w:t xml:space="preserve">[39]</w:t>
        </w:r>
      </w:hyperlink>
      <w:r>
        <w:t xml:space="preserve"> </w:t>
      </w:r>
      <w:hyperlink r:id="rId64">
        <w:r>
          <w:rPr>
            <w:rStyle w:val="Hyperlink"/>
          </w:rPr>
          <w:t xml:space="preserve">[40]</w:t>
        </w:r>
      </w:hyperlink>
      <w:r>
        <w:t xml:space="preserve"> </w:t>
      </w:r>
      <w:hyperlink r:id="rId70">
        <w:r>
          <w:rPr>
            <w:rStyle w:val="Hyperlink"/>
          </w:rPr>
          <w:t xml:space="preserve">[44]</w:t>
        </w:r>
      </w:hyperlink>
      <w:r>
        <w:t xml:space="preserve"> </w:t>
      </w:r>
      <w:r>
        <w:t xml:space="preserve">12 Mobile Onboarding Best Practices to Improve User Retention</w:t>
      </w:r>
    </w:p>
    <w:p>
      <w:pPr>
        <w:pStyle w:val="BodyText"/>
      </w:pPr>
      <w:hyperlink r:id="rId92">
        <w:r>
          <w:rPr>
            <w:rStyle w:val="Hyperlink"/>
          </w:rPr>
          <w:t xml:space="preserve">https://www.appcues.com/blog/mobile-onboarding-best-practices</w:t>
        </w:r>
      </w:hyperlink>
    </w:p>
    <w:p>
      <w:pPr>
        <w:pStyle w:val="BodyText"/>
      </w:pPr>
      <w:hyperlink r:id="rId68">
        <w:r>
          <w:rPr>
            <w:rStyle w:val="Hyperlink"/>
          </w:rPr>
          <w:t xml:space="preserve">[43]</w:t>
        </w:r>
      </w:hyperlink>
      <w:r>
        <w:t xml:space="preserve"> </w:t>
      </w:r>
      <w:r>
        <w:t xml:space="preserve"> </w:t>
      </w:r>
      <w:r>
        <w:t xml:space="preserve">Reflective practice and knowledge development: Transforming research for a practice-based discipline - PMC</w:t>
      </w:r>
      <w:r>
        <w:t xml:space="preserve"> </w:t>
      </w:r>
    </w:p>
    <w:p>
      <w:pPr>
        <w:pStyle w:val="BodyText"/>
      </w:pPr>
      <w:hyperlink r:id="rId93">
        <w:r>
          <w:rPr>
            <w:rStyle w:val="Hyperlink"/>
          </w:rPr>
          <w:t xml:space="preserve">https://pmc.ncbi.nlm.nih.gov/articles/PMC11740302/</w:t>
        </w:r>
      </w:hyperlink>
    </w:p>
    <w:p>
      <w:pPr>
        <w:pStyle w:val="BodyText"/>
      </w:pPr>
      <w:hyperlink r:id="rId72">
        <w:r>
          <w:rPr>
            <w:rStyle w:val="Hyperlink"/>
          </w:rPr>
          <w:t xml:space="preserve">[45]</w:t>
        </w:r>
      </w:hyperlink>
      <w:r>
        <w:t xml:space="preserve"> </w:t>
      </w:r>
      <w:hyperlink r:id="rId73">
        <w:r>
          <w:rPr>
            <w:rStyle w:val="Hyperlink"/>
          </w:rPr>
          <w:t xml:space="preserve">[46]</w:t>
        </w:r>
      </w:hyperlink>
      <w:r>
        <w:t xml:space="preserve"> </w:t>
      </w:r>
      <w:hyperlink r:id="rId72">
        <w:r>
          <w:rPr>
            <w:rStyle w:val="Hyperlink"/>
          </w:rPr>
          <w:t xml:space="preserve">[47]</w:t>
        </w:r>
      </w:hyperlink>
      <w:r>
        <w:t xml:space="preserve"> </w:t>
      </w:r>
      <w:hyperlink r:id="rId74">
        <w:r>
          <w:rPr>
            <w:rStyle w:val="Hyperlink"/>
          </w:rPr>
          <w:t xml:space="preserve">[48]</w:t>
        </w:r>
      </w:hyperlink>
      <w:r>
        <w:t xml:space="preserve"> </w:t>
      </w:r>
      <w:hyperlink r:id="rId72">
        <w:r>
          <w:rPr>
            <w:rStyle w:val="Hyperlink"/>
          </w:rPr>
          <w:t xml:space="preserve">[49]</w:t>
        </w:r>
      </w:hyperlink>
      <w:r>
        <w:t xml:space="preserve"> </w:t>
      </w:r>
      <w:hyperlink r:id="rId75">
        <w:r>
          <w:rPr>
            <w:rStyle w:val="Hyperlink"/>
          </w:rPr>
          <w:t xml:space="preserve">[50]</w:t>
        </w:r>
      </w:hyperlink>
      <w:r>
        <w:t xml:space="preserve"> </w:t>
      </w:r>
      <w:hyperlink r:id="rId76">
        <w:r>
          <w:rPr>
            <w:rStyle w:val="Hyperlink"/>
          </w:rPr>
          <w:t xml:space="preserve">[51]</w:t>
        </w:r>
      </w:hyperlink>
      <w:r>
        <w:t xml:space="preserve"> </w:t>
      </w:r>
      <w:hyperlink r:id="rId80">
        <w:r>
          <w:rPr>
            <w:rStyle w:val="Hyperlink"/>
          </w:rPr>
          <w:t xml:space="preserve">[55]</w:t>
        </w:r>
      </w:hyperlink>
      <w:r>
        <w:t xml:space="preserve"> </w:t>
      </w:r>
      <w:r>
        <w:t xml:space="preserve"> </w:t>
      </w:r>
      <w:r>
        <w:t xml:space="preserve">Survey Fatigue in Questionnaire Based Research: The Issues and Solutions - PMC</w:t>
      </w:r>
      <w:r>
        <w:t xml:space="preserve"> </w:t>
      </w:r>
    </w:p>
    <w:p>
      <w:pPr>
        <w:pStyle w:val="BodyText"/>
      </w:pPr>
      <w:hyperlink r:id="rId94">
        <w:r>
          <w:rPr>
            <w:rStyle w:val="Hyperlink"/>
          </w:rPr>
          <w:t xml:space="preserve">https://pmc.ncbi.nlm.nih.gov/articles/PMC11833437/</w:t>
        </w:r>
      </w:hyperlink>
    </w:p>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7" Target="https://blogs.uoc.edu/mel/microlearning-mastering-skills-in-short-time-spans/" TargetMode="External" /><Relationship Type="http://schemas.openxmlformats.org/officeDocument/2006/relationships/hyperlink" Id="rId29" Target="https://blogs.uoc.edu/mel/microlearning-mastering-skills-in-short-time-spans/#:~:text=1,by%20students%20and%20improving%20memorization" TargetMode="External" /><Relationship Type="http://schemas.openxmlformats.org/officeDocument/2006/relationships/hyperlink" Id="rId30" Target="https://blogs.uoc.edu/mel/microlearning-mastering-skills-in-short-time-spans/#:~:text=2.%20Just,skills%2C%20or%20gain%20new%20knowledge" TargetMode="External" /><Relationship Type="http://schemas.openxmlformats.org/officeDocument/2006/relationships/hyperlink" Id="rId31" Target="https://blogs.uoc.edu/mel/microlearning-mastering-skills-in-short-time-spans/#:~:text=3,increasingly%20mobile%20and%20connected%20world" TargetMode="External" /><Relationship Type="http://schemas.openxmlformats.org/officeDocument/2006/relationships/hyperlink" Id="rId32" Target="https://blogs.uoc.edu/mel/microlearning-mastering-skills-in-short-time-spans/#:~:text=4,their%20enthusiasm%20for%20further%20learning" TargetMode="External" /><Relationship Type="http://schemas.openxmlformats.org/officeDocument/2006/relationships/hyperlink" Id="rId33" Target="https://blogs.uoc.edu/mel/microlearning-mastering-skills-in-short-time-spans/#:~:text=5,concepts%20build%20on%20prior%20foundations" TargetMode="External" /><Relationship Type="http://schemas.openxmlformats.org/officeDocument/2006/relationships/hyperlink" Id="rId28" Target="https://blogs.uoc.edu/mel/microlearning-mastering-skills-in-short-time-spans/#:~:text=Microlearning%2C%20also%20known%20as%20%E2%80%9Csmall,a%20straightforward%20and%20straightforward%20manner" TargetMode="External" /><Relationship Type="http://schemas.openxmlformats.org/officeDocument/2006/relationships/hyperlink" Id="rId93" Target="https://pmc.ncbi.nlm.nih.gov/articles/PMC11740302/" TargetMode="External" /><Relationship Type="http://schemas.openxmlformats.org/officeDocument/2006/relationships/hyperlink" Id="rId68" Target="https://pmc.ncbi.nlm.nih.gov/articles/PMC11740302/#:~:text=provides%20a%20systematic%20way%20for,thinking%20of%20reflective%20practices%20is" TargetMode="External" /><Relationship Type="http://schemas.openxmlformats.org/officeDocument/2006/relationships/hyperlink" Id="rId94" Target="https://pmc.ncbi.nlm.nih.gov/articles/PMC11833437/" TargetMode="External" /><Relationship Type="http://schemas.openxmlformats.org/officeDocument/2006/relationships/hyperlink" Id="rId74" Target="https://pmc.ncbi.nlm.nih.gov/articles/PMC11833437/#:~:text=,to%20fill%20out%20the%20questionnaires" TargetMode="External" /><Relationship Type="http://schemas.openxmlformats.org/officeDocument/2006/relationships/hyperlink" Id="rId75" Target="https://pmc.ncbi.nlm.nih.gov/articles/PMC11833437/#:~:text=An%20estimated%20time%20for%20questionnaire,be%20provided%20to%20the%20participants" TargetMode="External" /><Relationship Type="http://schemas.openxmlformats.org/officeDocument/2006/relationships/hyperlink" Id="rId76" Target="https://pmc.ncbi.nlm.nih.gov/articles/PMC11833437/#:~:text=The%20researchers%20should%20provide%20the,and%20give%20feedback%20to%20them" TargetMode="External" /><Relationship Type="http://schemas.openxmlformats.org/officeDocument/2006/relationships/hyperlink" Id="rId80" Target="https://pmc.ncbi.nlm.nih.gov/articles/PMC11833437/#:~:text=There%20are%20four%20types%20of,As%20a%20result%2C%20it%20can" TargetMode="External" /><Relationship Type="http://schemas.openxmlformats.org/officeDocument/2006/relationships/hyperlink" Id="rId73" Target="https://pmc.ncbi.nlm.nih.gov/articles/PMC11833437/#:~:text=There%20are%20four%20types%20of,They" TargetMode="External" /><Relationship Type="http://schemas.openxmlformats.org/officeDocument/2006/relationships/hyperlink" Id="rId72" Target="https://pmc.ncbi.nlm.nih.gov/articles/PMC11833437/#:~:text=There%20are%20many%20factors%20contributing,4%20%2C%2022" TargetMode="External" /><Relationship Type="http://schemas.openxmlformats.org/officeDocument/2006/relationships/hyperlink" Id="rId90" Target="https://udlguidelines.cast.org/" TargetMode="External" /><Relationship Type="http://schemas.openxmlformats.org/officeDocument/2006/relationships/hyperlink" Id="rId78" Target="https://udlguidelines.cast.org/#:~:text=,1" TargetMode="External" /><Relationship Type="http://schemas.openxmlformats.org/officeDocument/2006/relationships/hyperlink" Id="rId50" Target="https://udlguidelines.cast.org/#:~:text=,3" TargetMode="External" /><Relationship Type="http://schemas.openxmlformats.org/officeDocument/2006/relationships/hyperlink" Id="rId51" Target="https://udlguidelines.cast.org/#:~:text=,Guideline%201" TargetMode="External" /><Relationship Type="http://schemas.openxmlformats.org/officeDocument/2006/relationships/hyperlink" Id="rId54" Target="https://udlguidelines.cast.org/#:~:text=,Guideline%203" TargetMode="External" /><Relationship Type="http://schemas.openxmlformats.org/officeDocument/2006/relationships/hyperlink" Id="rId53" Target="https://udlguidelines.cast.org/#:~:text=,Guideline%205" TargetMode="External" /><Relationship Type="http://schemas.openxmlformats.org/officeDocument/2006/relationships/hyperlink" Id="rId48" Target="https://udlguidelines.cast.org/#:~:text=,Guideline%207" TargetMode="External" /><Relationship Type="http://schemas.openxmlformats.org/officeDocument/2006/relationships/hyperlink" Id="rId49" Target="https://udlguidelines.cast.org/#:~:text=,Guideline%208" TargetMode="External" /><Relationship Type="http://schemas.openxmlformats.org/officeDocument/2006/relationships/hyperlink" Id="rId55" Target="https://udlguidelines.cast.org/#:~:text=,Guideline%209" TargetMode="External" /><Relationship Type="http://schemas.openxmlformats.org/officeDocument/2006/relationships/hyperlink" Id="rId52" Target="https://udlguidelines.cast.org/#:~:text=Design%20Multiple%20Means%20ofAction%20%26,Expression" TargetMode="External" /><Relationship Type="http://schemas.openxmlformats.org/officeDocument/2006/relationships/hyperlink" Id="rId47" Target="https://udlguidelines.cast.org/#:~:text=The%20goal%20of%20UDL%20is,oriented" TargetMode="External" /><Relationship Type="http://schemas.openxmlformats.org/officeDocument/2006/relationships/hyperlink" Id="rId92" Target="https://www.appcues.com/blog/mobile-onboarding-best-practices" TargetMode="External" /><Relationship Type="http://schemas.openxmlformats.org/officeDocument/2006/relationships/hyperlink" Id="rId60" Target="https://www.appcues.com/blog/mobile-onboarding-best-practices#:~:text=,off%20points" TargetMode="External" /><Relationship Type="http://schemas.openxmlformats.org/officeDocument/2006/relationships/hyperlink" Id="rId64" Target="https://www.appcues.com/blog/mobile-onboarding-best-practices#:~:text=11,mistakes" TargetMode="External" /><Relationship Type="http://schemas.openxmlformats.org/officeDocument/2006/relationships/hyperlink" Id="rId70" Target="https://www.appcues.com/blog/mobile-onboarding-best-practices#:~:text=2" TargetMode="External" /><Relationship Type="http://schemas.openxmlformats.org/officeDocument/2006/relationships/hyperlink" Id="rId62" Target="https://www.appcues.com/blog/mobile-onboarding-best-practices#:~:text=3.%20Reduce%20friction%20in%20sign,and%20login" TargetMode="External" /><Relationship Type="http://schemas.openxmlformats.org/officeDocument/2006/relationships/hyperlink" Id="rId61" Target="https://www.appcues.com/blog/mobile-onboarding-best-practices#:~:text=4,simplify%20onboarding" TargetMode="External" /><Relationship Type="http://schemas.openxmlformats.org/officeDocument/2006/relationships/hyperlink" Id="rId63" Target="https://www.appcues.com/blog/mobile-onboarding-best-practices#:~:text=5" TargetMode="External" /><Relationship Type="http://schemas.openxmlformats.org/officeDocument/2006/relationships/hyperlink" Id="rId86" Target="https://www.articulate.com/blog/what-is-adult-learning-theory/" TargetMode="External" /><Relationship Type="http://schemas.openxmlformats.org/officeDocument/2006/relationships/hyperlink" Id="rId67" Target="https://www.articulate.com/blog/what-is-adult-learning-theory/#:~:text=,what%20didn%E2%80%99t%20work%2C%20and%20why" TargetMode="External" /><Relationship Type="http://schemas.openxmlformats.org/officeDocument/2006/relationships/hyperlink" Id="rId21" Target="https://www.articulate.com/blog/what-is-adult-learning-theory/#:~:text=1" TargetMode="External" /><Relationship Type="http://schemas.openxmlformats.org/officeDocument/2006/relationships/hyperlink" Id="rId23" Target="https://www.articulate.com/blog/what-is-adult-learning-theory/#:~:text=3" TargetMode="External" /><Relationship Type="http://schemas.openxmlformats.org/officeDocument/2006/relationships/hyperlink" Id="rId24" Target="https://www.articulate.com/blog/what-is-adult-learning-theory/#:~:text=4" TargetMode="External" /><Relationship Type="http://schemas.openxmlformats.org/officeDocument/2006/relationships/hyperlink" Id="rId26" Target="https://www.articulate.com/blog/what-is-adult-learning-theory/#:~:text=6" TargetMode="External" /><Relationship Type="http://schemas.openxmlformats.org/officeDocument/2006/relationships/hyperlink" Id="rId22" Target="https://www.articulate.com/blog/what-is-adult-learning-theory/#:~:text=Adult%20learners%20are%20more%20often,training%20on%20their%20own%20schedule" TargetMode="External" /><Relationship Type="http://schemas.openxmlformats.org/officeDocument/2006/relationships/hyperlink" Id="rId66" Target="https://www.articulate.com/blog/what-is-adult-learning-theory/#:~:text=Experiential%20learning" TargetMode="External" /><Relationship Type="http://schemas.openxmlformats.org/officeDocument/2006/relationships/hyperlink" Id="rId25" Target="https://www.articulate.com/blog/what-is-adult-learning-theory/#:~:text=In%20a%20workplace%20training%20environment%2C,right%20when%20they%20need%20it" TargetMode="External" /><Relationship Type="http://schemas.openxmlformats.org/officeDocument/2006/relationships/hyperlink" Id="rId88" Target="https://www.articulate.com/glossary/microlearning/" TargetMode="External" /><Relationship Type="http://schemas.openxmlformats.org/officeDocument/2006/relationships/hyperlink" Id="rId34" Target="https://www.articulate.com/glossary/microlearning/#:~:text=To%20create%20microlearning%20training%20courses,learning%20into%20their%20busy%20schedules" TargetMode="External" /><Relationship Type="http://schemas.openxmlformats.org/officeDocument/2006/relationships/hyperlink" Id="rId89" Target="https://www.digitallearninginstitute.com/blog/mayers-principles-multimedia-learning" TargetMode="External" /><Relationship Type="http://schemas.openxmlformats.org/officeDocument/2006/relationships/hyperlink" Id="rId36" Target="https://www.digitallearninginstitute.com/blog/mayers-principles-multimedia-learning#:~:text=1" TargetMode="External" /><Relationship Type="http://schemas.openxmlformats.org/officeDocument/2006/relationships/hyperlink" Id="rId44" Target="https://www.digitallearninginstitute.com/blog/mayers-principles-multimedia-learning#:~:text=11" TargetMode="External" /><Relationship Type="http://schemas.openxmlformats.org/officeDocument/2006/relationships/hyperlink" Id="rId45" Target="https://www.digitallearninginstitute.com/blog/mayers-principles-multimedia-learning#:~:text=12" TargetMode="External" /><Relationship Type="http://schemas.openxmlformats.org/officeDocument/2006/relationships/hyperlink" Id="rId37" Target="https://www.digitallearninginstitute.com/blog/mayers-principles-multimedia-learning#:~:text=2" TargetMode="External" /><Relationship Type="http://schemas.openxmlformats.org/officeDocument/2006/relationships/hyperlink" Id="rId38" Target="https://www.digitallearninginstitute.com/blog/mayers-principles-multimedia-learning#:~:text=3" TargetMode="External" /><Relationship Type="http://schemas.openxmlformats.org/officeDocument/2006/relationships/hyperlink" Id="rId40" Target="https://www.digitallearninginstitute.com/blog/mayers-principles-multimedia-learning#:~:text=5" TargetMode="External" /><Relationship Type="http://schemas.openxmlformats.org/officeDocument/2006/relationships/hyperlink" Id="rId41" Target="https://www.digitallearninginstitute.com/blog/mayers-principles-multimedia-learning#:~:text=7" TargetMode="External" /><Relationship Type="http://schemas.openxmlformats.org/officeDocument/2006/relationships/hyperlink" Id="rId42" Target="https://www.digitallearninginstitute.com/blog/mayers-principles-multimedia-learning#:~:text=8.%20Pre" TargetMode="External" /><Relationship Type="http://schemas.openxmlformats.org/officeDocument/2006/relationships/hyperlink" Id="rId43" Target="https://www.digitallearninginstitute.com/blog/mayers-principles-multimedia-learning#:~:text=9" TargetMode="External" /><Relationship Type="http://schemas.openxmlformats.org/officeDocument/2006/relationships/hyperlink" Id="rId39" Target="https://www.digitallearninginstitute.com/blog/mayers-principles-multimedia-learning#:~:text=What%20it%20means%3A%20The%20redundancy,in%20the%20way%20of%20learning" TargetMode="External" /><Relationship Type="http://schemas.openxmlformats.org/officeDocument/2006/relationships/hyperlink" Id="rId91" Target="https://www.nngroup.com/articles/progressive-disclosure/" TargetMode="External" /><Relationship Type="http://schemas.openxmlformats.org/officeDocument/2006/relationships/hyperlink" Id="rId58" Target="https://www.nngroup.com/articles/progressive-disclosure/#:~:text=Benefits%20of%20Progressive%20Disclosure" TargetMode="External" /><Relationship Type="http://schemas.openxmlformats.org/officeDocument/2006/relationships/hyperlink" Id="rId59" Target="https://www.nngroup.com/articles/progressive-disclosure/#:~:text=Simple%20as%20the%20concept%20may,when%20designing%20for%20progressive%20disclosure" TargetMode="External" /><Relationship Type="http://schemas.openxmlformats.org/officeDocument/2006/relationships/hyperlink" Id="rId57" Target="https://www.nngroup.com/articles/progressive-disclosure/#:~:text=Summary%3A%C2%A0%20Progressive%20disclosure%20defers%20advanced,prone" TargetMode="External" /></Relationships>
</file>

<file path=word/_rels/footnotes.xml.rels><?xml version="1.0" encoding="UTF-8"?><Relationships xmlns="http://schemas.openxmlformats.org/package/2006/relationships"><Relationship Type="http://schemas.openxmlformats.org/officeDocument/2006/relationships/hyperlink" Id="rId87" Target="https://blogs.uoc.edu/mel/microlearning-mastering-skills-in-short-time-spans/" TargetMode="External" /><Relationship Type="http://schemas.openxmlformats.org/officeDocument/2006/relationships/hyperlink" Id="rId29" Target="https://blogs.uoc.edu/mel/microlearning-mastering-skills-in-short-time-spans/#:~:text=1,by%20students%20and%20improving%20memorization" TargetMode="External" /><Relationship Type="http://schemas.openxmlformats.org/officeDocument/2006/relationships/hyperlink" Id="rId30" Target="https://blogs.uoc.edu/mel/microlearning-mastering-skills-in-short-time-spans/#:~:text=2.%20Just,skills%2C%20or%20gain%20new%20knowledge" TargetMode="External" /><Relationship Type="http://schemas.openxmlformats.org/officeDocument/2006/relationships/hyperlink" Id="rId31" Target="https://blogs.uoc.edu/mel/microlearning-mastering-skills-in-short-time-spans/#:~:text=3,increasingly%20mobile%20and%20connected%20world" TargetMode="External" /><Relationship Type="http://schemas.openxmlformats.org/officeDocument/2006/relationships/hyperlink" Id="rId32" Target="https://blogs.uoc.edu/mel/microlearning-mastering-skills-in-short-time-spans/#:~:text=4,their%20enthusiasm%20for%20further%20learning" TargetMode="External" /><Relationship Type="http://schemas.openxmlformats.org/officeDocument/2006/relationships/hyperlink" Id="rId33" Target="https://blogs.uoc.edu/mel/microlearning-mastering-skills-in-short-time-spans/#:~:text=5,concepts%20build%20on%20prior%20foundations" TargetMode="External" /><Relationship Type="http://schemas.openxmlformats.org/officeDocument/2006/relationships/hyperlink" Id="rId28" Target="https://blogs.uoc.edu/mel/microlearning-mastering-skills-in-short-time-spans/#:~:text=Microlearning%2C%20also%20known%20as%20%E2%80%9Csmall,a%20straightforward%20and%20straightforward%20manner" TargetMode="External" /><Relationship Type="http://schemas.openxmlformats.org/officeDocument/2006/relationships/hyperlink" Id="rId93" Target="https://pmc.ncbi.nlm.nih.gov/articles/PMC11740302/" TargetMode="External" /><Relationship Type="http://schemas.openxmlformats.org/officeDocument/2006/relationships/hyperlink" Id="rId68" Target="https://pmc.ncbi.nlm.nih.gov/articles/PMC11740302/#:~:text=provides%20a%20systematic%20way%20for,thinking%20of%20reflective%20practices%20is" TargetMode="External" /><Relationship Type="http://schemas.openxmlformats.org/officeDocument/2006/relationships/hyperlink" Id="rId94" Target="https://pmc.ncbi.nlm.nih.gov/articles/PMC11833437/" TargetMode="External" /><Relationship Type="http://schemas.openxmlformats.org/officeDocument/2006/relationships/hyperlink" Id="rId74" Target="https://pmc.ncbi.nlm.nih.gov/articles/PMC11833437/#:~:text=,to%20fill%20out%20the%20questionnaires" TargetMode="External" /><Relationship Type="http://schemas.openxmlformats.org/officeDocument/2006/relationships/hyperlink" Id="rId75" Target="https://pmc.ncbi.nlm.nih.gov/articles/PMC11833437/#:~:text=An%20estimated%20time%20for%20questionnaire,be%20provided%20to%20the%20participants" TargetMode="External" /><Relationship Type="http://schemas.openxmlformats.org/officeDocument/2006/relationships/hyperlink" Id="rId76" Target="https://pmc.ncbi.nlm.nih.gov/articles/PMC11833437/#:~:text=The%20researchers%20should%20provide%20the,and%20give%20feedback%20to%20them" TargetMode="External" /><Relationship Type="http://schemas.openxmlformats.org/officeDocument/2006/relationships/hyperlink" Id="rId80" Target="https://pmc.ncbi.nlm.nih.gov/articles/PMC11833437/#:~:text=There%20are%20four%20types%20of,As%20a%20result%2C%20it%20can" TargetMode="External" /><Relationship Type="http://schemas.openxmlformats.org/officeDocument/2006/relationships/hyperlink" Id="rId73" Target="https://pmc.ncbi.nlm.nih.gov/articles/PMC11833437/#:~:text=There%20are%20four%20types%20of,They" TargetMode="External" /><Relationship Type="http://schemas.openxmlformats.org/officeDocument/2006/relationships/hyperlink" Id="rId72" Target="https://pmc.ncbi.nlm.nih.gov/articles/PMC11833437/#:~:text=There%20are%20many%20factors%20contributing,4%20%2C%2022" TargetMode="External" /><Relationship Type="http://schemas.openxmlformats.org/officeDocument/2006/relationships/hyperlink" Id="rId90" Target="https://udlguidelines.cast.org/" TargetMode="External" /><Relationship Type="http://schemas.openxmlformats.org/officeDocument/2006/relationships/hyperlink" Id="rId78" Target="https://udlguidelines.cast.org/#:~:text=,1" TargetMode="External" /><Relationship Type="http://schemas.openxmlformats.org/officeDocument/2006/relationships/hyperlink" Id="rId50" Target="https://udlguidelines.cast.org/#:~:text=,3" TargetMode="External" /><Relationship Type="http://schemas.openxmlformats.org/officeDocument/2006/relationships/hyperlink" Id="rId51" Target="https://udlguidelines.cast.org/#:~:text=,Guideline%201" TargetMode="External" /><Relationship Type="http://schemas.openxmlformats.org/officeDocument/2006/relationships/hyperlink" Id="rId54" Target="https://udlguidelines.cast.org/#:~:text=,Guideline%203" TargetMode="External" /><Relationship Type="http://schemas.openxmlformats.org/officeDocument/2006/relationships/hyperlink" Id="rId53" Target="https://udlguidelines.cast.org/#:~:text=,Guideline%205" TargetMode="External" /><Relationship Type="http://schemas.openxmlformats.org/officeDocument/2006/relationships/hyperlink" Id="rId48" Target="https://udlguidelines.cast.org/#:~:text=,Guideline%207" TargetMode="External" /><Relationship Type="http://schemas.openxmlformats.org/officeDocument/2006/relationships/hyperlink" Id="rId49" Target="https://udlguidelines.cast.org/#:~:text=,Guideline%208" TargetMode="External" /><Relationship Type="http://schemas.openxmlformats.org/officeDocument/2006/relationships/hyperlink" Id="rId55" Target="https://udlguidelines.cast.org/#:~:text=,Guideline%209" TargetMode="External" /><Relationship Type="http://schemas.openxmlformats.org/officeDocument/2006/relationships/hyperlink" Id="rId52" Target="https://udlguidelines.cast.org/#:~:text=Design%20Multiple%20Means%20ofAction%20%26,Expression" TargetMode="External" /><Relationship Type="http://schemas.openxmlformats.org/officeDocument/2006/relationships/hyperlink" Id="rId47" Target="https://udlguidelines.cast.org/#:~:text=The%20goal%20of%20UDL%20is,oriented" TargetMode="External" /><Relationship Type="http://schemas.openxmlformats.org/officeDocument/2006/relationships/hyperlink" Id="rId92" Target="https://www.appcues.com/blog/mobile-onboarding-best-practices" TargetMode="External" /><Relationship Type="http://schemas.openxmlformats.org/officeDocument/2006/relationships/hyperlink" Id="rId60" Target="https://www.appcues.com/blog/mobile-onboarding-best-practices#:~:text=,off%20points" TargetMode="External" /><Relationship Type="http://schemas.openxmlformats.org/officeDocument/2006/relationships/hyperlink" Id="rId64" Target="https://www.appcues.com/blog/mobile-onboarding-best-practices#:~:text=11,mistakes" TargetMode="External" /><Relationship Type="http://schemas.openxmlformats.org/officeDocument/2006/relationships/hyperlink" Id="rId70" Target="https://www.appcues.com/blog/mobile-onboarding-best-practices#:~:text=2" TargetMode="External" /><Relationship Type="http://schemas.openxmlformats.org/officeDocument/2006/relationships/hyperlink" Id="rId62" Target="https://www.appcues.com/blog/mobile-onboarding-best-practices#:~:text=3.%20Reduce%20friction%20in%20sign,and%20login" TargetMode="External" /><Relationship Type="http://schemas.openxmlformats.org/officeDocument/2006/relationships/hyperlink" Id="rId61" Target="https://www.appcues.com/blog/mobile-onboarding-best-practices#:~:text=4,simplify%20onboarding" TargetMode="External" /><Relationship Type="http://schemas.openxmlformats.org/officeDocument/2006/relationships/hyperlink" Id="rId63" Target="https://www.appcues.com/blog/mobile-onboarding-best-practices#:~:text=5" TargetMode="External" /><Relationship Type="http://schemas.openxmlformats.org/officeDocument/2006/relationships/hyperlink" Id="rId86" Target="https://www.articulate.com/blog/what-is-adult-learning-theory/" TargetMode="External" /><Relationship Type="http://schemas.openxmlformats.org/officeDocument/2006/relationships/hyperlink" Id="rId67" Target="https://www.articulate.com/blog/what-is-adult-learning-theory/#:~:text=,what%20didn%E2%80%99t%20work%2C%20and%20why" TargetMode="External" /><Relationship Type="http://schemas.openxmlformats.org/officeDocument/2006/relationships/hyperlink" Id="rId21" Target="https://www.articulate.com/blog/what-is-adult-learning-theory/#:~:text=1" TargetMode="External" /><Relationship Type="http://schemas.openxmlformats.org/officeDocument/2006/relationships/hyperlink" Id="rId23" Target="https://www.articulate.com/blog/what-is-adult-learning-theory/#:~:text=3" TargetMode="External" /><Relationship Type="http://schemas.openxmlformats.org/officeDocument/2006/relationships/hyperlink" Id="rId24" Target="https://www.articulate.com/blog/what-is-adult-learning-theory/#:~:text=4" TargetMode="External" /><Relationship Type="http://schemas.openxmlformats.org/officeDocument/2006/relationships/hyperlink" Id="rId26" Target="https://www.articulate.com/blog/what-is-adult-learning-theory/#:~:text=6" TargetMode="External" /><Relationship Type="http://schemas.openxmlformats.org/officeDocument/2006/relationships/hyperlink" Id="rId22" Target="https://www.articulate.com/blog/what-is-adult-learning-theory/#:~:text=Adult%20learners%20are%20more%20often,training%20on%20their%20own%20schedule" TargetMode="External" /><Relationship Type="http://schemas.openxmlformats.org/officeDocument/2006/relationships/hyperlink" Id="rId66" Target="https://www.articulate.com/blog/what-is-adult-learning-theory/#:~:text=Experiential%20learning" TargetMode="External" /><Relationship Type="http://schemas.openxmlformats.org/officeDocument/2006/relationships/hyperlink" Id="rId25" Target="https://www.articulate.com/blog/what-is-adult-learning-theory/#:~:text=In%20a%20workplace%20training%20environment%2C,right%20when%20they%20need%20it" TargetMode="External" /><Relationship Type="http://schemas.openxmlformats.org/officeDocument/2006/relationships/hyperlink" Id="rId88" Target="https://www.articulate.com/glossary/microlearning/" TargetMode="External" /><Relationship Type="http://schemas.openxmlformats.org/officeDocument/2006/relationships/hyperlink" Id="rId34" Target="https://www.articulate.com/glossary/microlearning/#:~:text=To%20create%20microlearning%20training%20courses,learning%20into%20their%20busy%20schedules" TargetMode="External" /><Relationship Type="http://schemas.openxmlformats.org/officeDocument/2006/relationships/hyperlink" Id="rId89" Target="https://www.digitallearninginstitute.com/blog/mayers-principles-multimedia-learning" TargetMode="External" /><Relationship Type="http://schemas.openxmlformats.org/officeDocument/2006/relationships/hyperlink" Id="rId36" Target="https://www.digitallearninginstitute.com/blog/mayers-principles-multimedia-learning#:~:text=1" TargetMode="External" /><Relationship Type="http://schemas.openxmlformats.org/officeDocument/2006/relationships/hyperlink" Id="rId44" Target="https://www.digitallearninginstitute.com/blog/mayers-principles-multimedia-learning#:~:text=11" TargetMode="External" /><Relationship Type="http://schemas.openxmlformats.org/officeDocument/2006/relationships/hyperlink" Id="rId45" Target="https://www.digitallearninginstitute.com/blog/mayers-principles-multimedia-learning#:~:text=12" TargetMode="External" /><Relationship Type="http://schemas.openxmlformats.org/officeDocument/2006/relationships/hyperlink" Id="rId37" Target="https://www.digitallearninginstitute.com/blog/mayers-principles-multimedia-learning#:~:text=2" TargetMode="External" /><Relationship Type="http://schemas.openxmlformats.org/officeDocument/2006/relationships/hyperlink" Id="rId38" Target="https://www.digitallearninginstitute.com/blog/mayers-principles-multimedia-learning#:~:text=3" TargetMode="External" /><Relationship Type="http://schemas.openxmlformats.org/officeDocument/2006/relationships/hyperlink" Id="rId40" Target="https://www.digitallearninginstitute.com/blog/mayers-principles-multimedia-learning#:~:text=5" TargetMode="External" /><Relationship Type="http://schemas.openxmlformats.org/officeDocument/2006/relationships/hyperlink" Id="rId41" Target="https://www.digitallearninginstitute.com/blog/mayers-principles-multimedia-learning#:~:text=7" TargetMode="External" /><Relationship Type="http://schemas.openxmlformats.org/officeDocument/2006/relationships/hyperlink" Id="rId42" Target="https://www.digitallearninginstitute.com/blog/mayers-principles-multimedia-learning#:~:text=8.%20Pre" TargetMode="External" /><Relationship Type="http://schemas.openxmlformats.org/officeDocument/2006/relationships/hyperlink" Id="rId43" Target="https://www.digitallearninginstitute.com/blog/mayers-principles-multimedia-learning#:~:text=9" TargetMode="External" /><Relationship Type="http://schemas.openxmlformats.org/officeDocument/2006/relationships/hyperlink" Id="rId39" Target="https://www.digitallearninginstitute.com/blog/mayers-principles-multimedia-learning#:~:text=What%20it%20means%3A%20The%20redundancy,in%20the%20way%20of%20learning" TargetMode="External" /><Relationship Type="http://schemas.openxmlformats.org/officeDocument/2006/relationships/hyperlink" Id="rId91" Target="https://www.nngroup.com/articles/progressive-disclosure/" TargetMode="External" /><Relationship Type="http://schemas.openxmlformats.org/officeDocument/2006/relationships/hyperlink" Id="rId58" Target="https://www.nngroup.com/articles/progressive-disclosure/#:~:text=Benefits%20of%20Progressive%20Disclosure" TargetMode="External" /><Relationship Type="http://schemas.openxmlformats.org/officeDocument/2006/relationships/hyperlink" Id="rId59" Target="https://www.nngroup.com/articles/progressive-disclosure/#:~:text=Simple%20as%20the%20concept%20may,when%20designing%20for%20progressive%20disclosure" TargetMode="External" /><Relationship Type="http://schemas.openxmlformats.org/officeDocument/2006/relationships/hyperlink" Id="rId57" Target="https://www.nngroup.com/articles/progressive-disclosure/#:~:text=Summary%3A%C2%A0%20Progressive%20disclosure%20defers%20advanced,pro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2026-05-14T12:32:47Z</dcterms:created>
  <dcterms:modified xsi:type="dcterms:W3CDTF">2026-05-14T12:32:47Z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