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recommendation-decision-table"/>
    <w:p>
      <w:pPr>
        <w:pStyle w:val="Heading1"/>
      </w:pPr>
      <w:r>
        <w:t xml:space="preserve">Recommendation Decision Table</w:t>
      </w:r>
    </w:p>
    <w:p>
      <w:pPr>
        <w:pStyle w:val="FirstParagraph"/>
      </w:pPr>
      <w:r>
        <w:t xml:space="preserve">This table summarises each meaningful recommendation from the research document, evaluates its evidence and impact on BecomingOS and records the decision (ACCEPT, REJECT, DEFER, or RESEARCH MORE) with reasoning and next actions. The evidence column cites relevant sections from the research document.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Recommendation</w:t>
            </w:r>
          </w:p>
        </w:tc>
        <w:tc>
          <w:tcPr/>
          <w:p>
            <w:pPr>
              <w:pStyle w:val="Compact"/>
            </w:pPr>
            <w:r>
              <w:t xml:space="preserve">Evidence / Reasoning</w:t>
            </w:r>
          </w:p>
        </w:tc>
        <w:tc>
          <w:tcPr/>
          <w:p>
            <w:pPr>
              <w:pStyle w:val="Compact"/>
            </w:pPr>
            <w:r>
              <w:t xml:space="preserve">Area Affected</w:t>
            </w:r>
          </w:p>
        </w:tc>
        <w:tc>
          <w:tcPr/>
          <w:p>
            <w:pPr>
              <w:pStyle w:val="Compact"/>
            </w:pPr>
            <w:r>
              <w:t xml:space="preserve">Impact on BecomingOS</w:t>
            </w:r>
          </w:p>
        </w:tc>
        <w:tc>
          <w:tcPr/>
          <w:p>
            <w:pPr>
              <w:pStyle w:val="Compact"/>
            </w:pPr>
            <w:r>
              <w:t xml:space="preserve">Decision</w:t>
            </w:r>
          </w:p>
        </w:tc>
        <w:tc>
          <w:tcPr/>
          <w:p>
            <w:pPr>
              <w:pStyle w:val="Compact"/>
            </w:pPr>
            <w:r>
              <w:t xml:space="preserve">Reason for Decision</w:t>
            </w:r>
          </w:p>
        </w:tc>
        <w:tc>
          <w:tcPr/>
          <w:p>
            <w:pPr>
              <w:pStyle w:val="Compact"/>
            </w:pPr>
            <w:r>
              <w:t xml:space="preserve">Next Action</w:t>
            </w:r>
          </w:p>
        </w:tc>
      </w:tr>
      <w:tr>
        <w:tc>
          <w:tcPr/>
          <w:p>
            <w:pPr>
              <w:pStyle w:val="Compact"/>
            </w:pPr>
            <w:r>
              <w:t xml:space="preserve">1</w:t>
            </w:r>
          </w:p>
        </w:tc>
        <w:tc>
          <w:tcPr/>
          <w:p>
            <w:pPr>
              <w:pStyle w:val="Compact"/>
            </w:pPr>
            <w:r>
              <w:rPr>
                <w:b/>
                <w:bCs/>
              </w:rPr>
              <w:t xml:space="preserve">Embed COM‑B assessments in each module</w:t>
            </w:r>
            <w:r>
              <w:t xml:space="preserve"> </w:t>
            </w:r>
            <w:r>
              <w:t xml:space="preserve">– incorporate an assessment step to determine whether capability, opportunity or motivation is lacking and provide targeted suggestions (e.g., training, environmental restructuring, cue design).</w:t>
            </w:r>
          </w:p>
        </w:tc>
        <w:tc>
          <w:tcPr/>
          <w:p>
            <w:pPr>
              <w:pStyle w:val="Compact"/>
            </w:pPr>
            <w:r>
              <w:t xml:space="preserve">The evidence map notes that behaviour change requires capability, opportunity and motivation (COM‑B); modules should not rely solely on motivation</w:t>
            </w:r>
            <w:hyperlink r:id="rId21">
              <w:r>
                <w:rPr>
                  <w:rStyle w:val="Hyperlink"/>
                </w:rPr>
                <w:t xml:space="preserve">[1]</w:t>
              </w:r>
            </w:hyperlink>
            <w:r>
              <w:t xml:space="preserve">. Recommended changes call for integrating assessments to identify which of these elements is lacking and tailoring interventions</w:t>
            </w:r>
            <w:hyperlink r:id="rId21">
              <w:r>
                <w:rPr>
                  <w:rStyle w:val="Hyperlink"/>
                </w:rPr>
                <w:t xml:space="preserve">[2]</w:t>
              </w:r>
            </w:hyperlink>
            <w:r>
              <w:t xml:space="preserve">.</w:t>
            </w:r>
          </w:p>
        </w:tc>
        <w:tc>
          <w:tcPr/>
          <w:p>
            <w:pPr>
              <w:pStyle w:val="Compact"/>
            </w:pPr>
            <w:r>
              <w:t xml:space="preserve">Product model; module order; question design; Today Directive; Ask AI.</w:t>
            </w:r>
          </w:p>
        </w:tc>
        <w:tc>
          <w:tcPr/>
          <w:p>
            <w:pPr>
              <w:pStyle w:val="Compact"/>
            </w:pPr>
            <w:r>
              <w:t xml:space="preserve">Shifts modules from purely motivational content toward balanced interventions. Enables more personalised recommendations in Today and Ask AI. Increases complexity of question engine.</w:t>
            </w:r>
          </w:p>
        </w:tc>
        <w:tc>
          <w:tcPr/>
          <w:p>
            <w:pPr>
              <w:pStyle w:val="Compact"/>
            </w:pPr>
            <w:r>
              <w:rPr>
                <w:b/>
                <w:bCs/>
              </w:rPr>
              <w:t xml:space="preserve">ACCEPT</w:t>
            </w:r>
          </w:p>
        </w:tc>
        <w:tc>
          <w:tcPr/>
          <w:p>
            <w:pPr>
              <w:pStyle w:val="Compact"/>
            </w:pPr>
            <w:r>
              <w:t xml:space="preserve">Aligns with behaviour‑change theory and ensures modules address root causes rather than symptoms. Fits the educational OS concept.</w:t>
            </w:r>
          </w:p>
        </w:tc>
        <w:tc>
          <w:tcPr/>
          <w:p>
            <w:pPr>
              <w:pStyle w:val="Compact"/>
            </w:pPr>
            <w:r>
              <w:t xml:space="preserve">Design simple capability/opportunity/motivation self‑checks within each module. Prototype and test with users to ensure clarity.</w:t>
            </w:r>
          </w:p>
        </w:tc>
      </w:tr>
      <w:tr>
        <w:tc>
          <w:tcPr/>
          <w:p>
            <w:pPr>
              <w:pStyle w:val="Compact"/>
            </w:pPr>
            <w:r>
              <w:t xml:space="preserve">2</w:t>
            </w:r>
          </w:p>
        </w:tc>
        <w:tc>
          <w:tcPr/>
          <w:p>
            <w:pPr>
              <w:pStyle w:val="Compact"/>
            </w:pPr>
            <w:r>
              <w:rPr>
                <w:b/>
                <w:bCs/>
              </w:rPr>
              <w:t xml:space="preserve">Add values clarification modules (Valued Living Questionnaire, Bull’s‑Eye Survey)</w:t>
            </w:r>
            <w:r>
              <w:t xml:space="preserve"> </w:t>
            </w:r>
            <w:r>
              <w:t xml:space="preserve">– use exercises to help users articulate values, reflect on personal rules and identity statements, and consider future self.</w:t>
            </w:r>
          </w:p>
        </w:tc>
        <w:tc>
          <w:tcPr/>
          <w:p>
            <w:pPr>
              <w:pStyle w:val="Compact"/>
            </w:pPr>
            <w:r>
              <w:t xml:space="preserve">Values and ACT research emphasises that values clarify what is meaningful; committed action aligns behaviour to values</w:t>
            </w:r>
            <w:hyperlink r:id="rId21">
              <w:r>
                <w:rPr>
                  <w:rStyle w:val="Hyperlink"/>
                </w:rPr>
                <w:t xml:space="preserve">[1]</w:t>
              </w:r>
            </w:hyperlink>
            <w:r>
              <w:t xml:space="preserve">. Recommended changes suggest adding these tools</w:t>
            </w:r>
            <w:hyperlink r:id="rId21">
              <w:r>
                <w:rPr>
                  <w:rStyle w:val="Hyperlink"/>
                </w:rPr>
                <w:t xml:space="preserve">[2]</w:t>
              </w:r>
            </w:hyperlink>
            <w:r>
              <w:t xml:space="preserve">.</w:t>
            </w:r>
          </w:p>
        </w:tc>
        <w:tc>
          <w:tcPr/>
          <w:p>
            <w:pPr>
              <w:pStyle w:val="Compact"/>
            </w:pPr>
            <w:r>
              <w:t xml:space="preserve">Module order; question design; educational onboarding; AI interpretation; My OS memory.</w:t>
            </w:r>
          </w:p>
        </w:tc>
        <w:tc>
          <w:tcPr/>
          <w:p>
            <w:pPr>
              <w:pStyle w:val="Compact"/>
            </w:pPr>
            <w:r>
              <w:t xml:space="preserve">Strengthens foundation by ensuring users define their purpose before goals and habits. Adds depth to the Values &amp; Morals module. May extend onboarding time.</w:t>
            </w:r>
          </w:p>
        </w:tc>
        <w:tc>
          <w:tcPr/>
          <w:p>
            <w:pPr>
              <w:pStyle w:val="Compact"/>
            </w:pPr>
            <w:r>
              <w:rPr>
                <w:b/>
                <w:bCs/>
              </w:rPr>
              <w:t xml:space="preserve">ACCEPT</w:t>
            </w:r>
          </w:p>
        </w:tc>
        <w:tc>
          <w:tcPr/>
          <w:p>
            <w:pPr>
              <w:pStyle w:val="Compact"/>
            </w:pPr>
            <w:r>
              <w:t xml:space="preserve">Values clarification is critical for self‑discovery and long‑term behaviour change; it aligns with the product’s core truth and educational purpose.</w:t>
            </w:r>
          </w:p>
        </w:tc>
        <w:tc>
          <w:tcPr/>
          <w:p>
            <w:pPr>
              <w:pStyle w:val="Compact"/>
            </w:pPr>
            <w:r>
              <w:t xml:space="preserve">Design activities based on validated values surveys. Integrate into Module 1 (Values &amp; Morals). Test wording for accessibility and safety.</w:t>
            </w:r>
          </w:p>
        </w:tc>
      </w:tr>
      <w:tr>
        <w:tc>
          <w:tcPr/>
          <w:p>
            <w:pPr>
              <w:pStyle w:val="Compact"/>
            </w:pPr>
            <w:r>
              <w:t xml:space="preserve">3</w:t>
            </w:r>
          </w:p>
        </w:tc>
        <w:tc>
          <w:tcPr/>
          <w:p>
            <w:pPr>
              <w:pStyle w:val="Compact"/>
            </w:pPr>
            <w:r>
              <w:rPr>
                <w:b/>
                <w:bCs/>
              </w:rPr>
              <w:t xml:space="preserve">Apply adult learning and micro‑learning principles</w:t>
            </w:r>
            <w:r>
              <w:t xml:space="preserve"> </w:t>
            </w:r>
            <w:r>
              <w:t xml:space="preserve">– break content into short lessons, provide text/audio/video options and use progressive disclosure.</w:t>
            </w:r>
          </w:p>
        </w:tc>
        <w:tc>
          <w:tcPr/>
          <w:p>
            <w:pPr>
              <w:pStyle w:val="Compact"/>
            </w:pPr>
            <w:r>
              <w:t xml:space="preserve">Adult learning literature highlights the need for autonomy, relevance and manageable cognitive load; micro‑learning improves retention</w:t>
            </w:r>
            <w:hyperlink r:id="rId21">
              <w:r>
                <w:rPr>
                  <w:rStyle w:val="Hyperlink"/>
                </w:rPr>
                <w:t xml:space="preserve">[1]</w:t>
              </w:r>
            </w:hyperlink>
            <w:r>
              <w:t xml:space="preserve">. Product implications recommend short lessons with varied media</w:t>
            </w:r>
            <w:hyperlink r:id="rId21">
              <w:r>
                <w:rPr>
                  <w:rStyle w:val="Hyperlink"/>
                </w:rPr>
                <w:t xml:space="preserve">[2]</w:t>
              </w:r>
            </w:hyperlink>
            <w:r>
              <w:t xml:space="preserve">.</w:t>
            </w:r>
          </w:p>
        </w:tc>
        <w:tc>
          <w:tcPr/>
          <w:p>
            <w:pPr>
              <w:pStyle w:val="Compact"/>
            </w:pPr>
            <w:r>
              <w:t xml:space="preserve">Educational onboarding; module design; user testing.</w:t>
            </w:r>
          </w:p>
        </w:tc>
        <w:tc>
          <w:tcPr/>
          <w:p>
            <w:pPr>
              <w:pStyle w:val="Compact"/>
            </w:pPr>
            <w:r>
              <w:t xml:space="preserve">Enhances engagement and accessibility; may require additional content creation. Ensures modules feel like installing an OS rather than completing worksheets.</w:t>
            </w:r>
          </w:p>
        </w:tc>
        <w:tc>
          <w:tcPr/>
          <w:p>
            <w:pPr>
              <w:pStyle w:val="Compact"/>
            </w:pPr>
            <w:r>
              <w:rPr>
                <w:b/>
                <w:bCs/>
              </w:rPr>
              <w:t xml:space="preserve">ACCEPT</w:t>
            </w:r>
          </w:p>
        </w:tc>
        <w:tc>
          <w:tcPr/>
          <w:p>
            <w:pPr>
              <w:pStyle w:val="Compact"/>
            </w:pPr>
            <w:r>
              <w:t xml:space="preserve">Supports diverse learning styles and reduces fatigue; necessary to differentiate BecomingOS from generic apps.</w:t>
            </w:r>
          </w:p>
        </w:tc>
        <w:tc>
          <w:tcPr/>
          <w:p>
            <w:pPr>
              <w:pStyle w:val="Compact"/>
            </w:pPr>
            <w:r>
              <w:t xml:space="preserve">Develop a micro‑lesson template. Plan media production and narrative flow. Test with users for clarity and engagement.</w:t>
            </w:r>
          </w:p>
        </w:tc>
      </w:tr>
      <w:tr>
        <w:tc>
          <w:tcPr/>
          <w:p>
            <w:pPr>
              <w:pStyle w:val="Compact"/>
            </w:pPr>
            <w:r>
              <w:t xml:space="preserve">4</w:t>
            </w:r>
          </w:p>
        </w:tc>
        <w:tc>
          <w:tcPr/>
          <w:p>
            <w:pPr>
              <w:pStyle w:val="Compact"/>
            </w:pPr>
            <w:r>
              <w:rPr>
                <w:b/>
                <w:bCs/>
              </w:rPr>
              <w:t xml:space="preserve">Revise question design</w:t>
            </w:r>
            <w:r>
              <w:t xml:space="preserve"> </w:t>
            </w:r>
            <w:r>
              <w:t xml:space="preserve">– use forced‑choice yes/no for behavioural tracking; limit ranking questions to small sets; include rating scales with clear anchors; provide open and reflective prompts; implement branching and skip logic to reduce fatigue.</w:t>
            </w:r>
          </w:p>
        </w:tc>
        <w:tc>
          <w:tcPr/>
          <w:p>
            <w:pPr>
              <w:pStyle w:val="Compact"/>
            </w:pPr>
            <w:r>
              <w:t xml:space="preserve">Research on question design notes forced‑choice yes/no improves accuracy</w:t>
            </w:r>
            <w:hyperlink r:id="rId21">
              <w:r>
                <w:rPr>
                  <w:rStyle w:val="Hyperlink"/>
                </w:rPr>
                <w:t xml:space="preserve">[3]</w:t>
              </w:r>
            </w:hyperlink>
            <w:r>
              <w:t xml:space="preserve">, ranking should be limited to top 3–5 items, and open questions are needed for exploration. Recommended changes call for revising question design and adding branching logic to reduce fatigue</w:t>
            </w:r>
            <w:hyperlink r:id="rId21">
              <w:r>
                <w:rPr>
                  <w:rStyle w:val="Hyperlink"/>
                </w:rPr>
                <w:t xml:space="preserve">[2]</w:t>
              </w:r>
            </w:hyperlink>
            <w:r>
              <w:t xml:space="preserve">.</w:t>
            </w:r>
          </w:p>
        </w:tc>
        <w:tc>
          <w:tcPr/>
          <w:p>
            <w:pPr>
              <w:pStyle w:val="Compact"/>
            </w:pPr>
            <w:r>
              <w:t xml:space="preserve">Question design; AI interpretation; My OS memory; user testing.</w:t>
            </w:r>
          </w:p>
        </w:tc>
        <w:tc>
          <w:tcPr/>
          <w:p>
            <w:pPr>
              <w:pStyle w:val="Compact"/>
            </w:pPr>
            <w:r>
              <w:t xml:space="preserve">Improves data quality and reduces user fatigue, but requires a flexible question engine. Supports AI summarisation by standardising data types.</w:t>
            </w:r>
          </w:p>
        </w:tc>
        <w:tc>
          <w:tcPr/>
          <w:p>
            <w:pPr>
              <w:pStyle w:val="Compact"/>
            </w:pPr>
            <w:r>
              <w:rPr>
                <w:b/>
                <w:bCs/>
              </w:rPr>
              <w:t xml:space="preserve">ACCEPT</w:t>
            </w:r>
          </w:p>
        </w:tc>
        <w:tc>
          <w:tcPr/>
          <w:p>
            <w:pPr>
              <w:pStyle w:val="Compact"/>
            </w:pPr>
            <w:r>
              <w:t xml:space="preserve">Enhances safety and accuracy while aligning with motivational interviewing style; essential for building a usable question bank.</w:t>
            </w:r>
          </w:p>
        </w:tc>
        <w:tc>
          <w:tcPr/>
          <w:p>
            <w:pPr>
              <w:pStyle w:val="Compact"/>
            </w:pPr>
            <w:r>
              <w:t xml:space="preserve">Build a question engine with multiple question types and branching. Draft question templates; test emotional intensity and clarity.</w:t>
            </w:r>
          </w:p>
        </w:tc>
      </w:tr>
      <w:tr>
        <w:tc>
          <w:tcPr/>
          <w:p>
            <w:pPr>
              <w:pStyle w:val="Compact"/>
            </w:pPr>
            <w:r>
              <w:t xml:space="preserve">5</w:t>
            </w:r>
          </w:p>
        </w:tc>
        <w:tc>
          <w:tcPr/>
          <w:p>
            <w:pPr>
              <w:pStyle w:val="Compact"/>
            </w:pPr>
            <w:r>
              <w:rPr>
                <w:b/>
                <w:bCs/>
              </w:rPr>
              <w:t xml:space="preserve">Develop a wording style guide</w:t>
            </w:r>
            <w:r>
              <w:t xml:space="preserve"> </w:t>
            </w:r>
            <w:r>
              <w:t xml:space="preserve">– plain language, autonomy‑supportive tone, motivational interviewing (open questions, affirmations, reflective summaries), avoidance of clinical or shaming language.</w:t>
            </w:r>
          </w:p>
        </w:tc>
        <w:tc>
          <w:tcPr/>
          <w:p>
            <w:pPr>
              <w:pStyle w:val="Compact"/>
            </w:pPr>
            <w:r>
              <w:t xml:space="preserve">The research emphasises plain language standards and autonomy‑supportive language</w:t>
            </w:r>
            <w:hyperlink r:id="rId21">
              <w:r>
                <w:rPr>
                  <w:rStyle w:val="Hyperlink"/>
                </w:rPr>
                <w:t xml:space="preserve">[3]</w:t>
              </w:r>
            </w:hyperlink>
            <w:r>
              <w:t xml:space="preserve">. Motivational interviewing techniques are highlighted and recommended changes call for drafting a style guide</w:t>
            </w:r>
            <w:hyperlink r:id="rId21">
              <w:r>
                <w:rPr>
                  <w:rStyle w:val="Hyperlink"/>
                </w:rPr>
                <w:t xml:space="preserve">[2]</w:t>
              </w:r>
            </w:hyperlink>
            <w:r>
              <w:t xml:space="preserve">.</w:t>
            </w:r>
          </w:p>
        </w:tc>
        <w:tc>
          <w:tcPr/>
          <w:p>
            <w:pPr>
              <w:pStyle w:val="Compact"/>
            </w:pPr>
            <w:r>
              <w:t xml:space="preserve">Wording style; educational design; AI interpretation; safety.</w:t>
            </w:r>
          </w:p>
        </w:tc>
        <w:tc>
          <w:tcPr/>
          <w:p>
            <w:pPr>
              <w:pStyle w:val="Compact"/>
            </w:pPr>
            <w:r>
              <w:t xml:space="preserve">Ensures consistency across modules and AI outputs; reduces risk of shame or therapy‑like tone; improves user trust.</w:t>
            </w:r>
          </w:p>
        </w:tc>
        <w:tc>
          <w:tcPr/>
          <w:p>
            <w:pPr>
              <w:pStyle w:val="Compact"/>
            </w:pPr>
            <w:r>
              <w:rPr>
                <w:b/>
                <w:bCs/>
              </w:rPr>
              <w:t xml:space="preserve">ACCEPT</w:t>
            </w:r>
          </w:p>
        </w:tc>
        <w:tc>
          <w:tcPr/>
          <w:p>
            <w:pPr>
              <w:pStyle w:val="Compact"/>
            </w:pPr>
            <w:r>
              <w:t xml:space="preserve">Directly addresses safety and tone requirements; necessary for premium, non‑clinical feel.</w:t>
            </w:r>
          </w:p>
        </w:tc>
        <w:tc>
          <w:tcPr/>
          <w:p>
            <w:pPr>
              <w:pStyle w:val="Compact"/>
            </w:pPr>
            <w:r>
              <w:t xml:space="preserve">Draft the wording and tone guide (Phase 7). Train content creators; update AI prompts to reflect style.</w:t>
            </w:r>
          </w:p>
        </w:tc>
      </w:tr>
      <w:tr>
        <w:tc>
          <w:tcPr/>
          <w:p>
            <w:pPr>
              <w:pStyle w:val="Compact"/>
            </w:pPr>
            <w:r>
              <w:t xml:space="preserve">6</w:t>
            </w:r>
          </w:p>
        </w:tc>
        <w:tc>
          <w:tcPr/>
          <w:p>
            <w:pPr>
              <w:pStyle w:val="Compact"/>
            </w:pPr>
            <w:r>
              <w:rPr>
                <w:b/>
                <w:bCs/>
              </w:rPr>
              <w:t xml:space="preserve">Design structured AI interpretation architecture</w:t>
            </w:r>
            <w:r>
              <w:t xml:space="preserve"> </w:t>
            </w:r>
            <w:r>
              <w:t xml:space="preserve">– specify memory structure (JSON fields: type, content, sources, tags, confidence), compute confidence scores, include reasoning and citations, and require explicit user confirmation before saving or using AI‑generated insights.</w:t>
            </w:r>
          </w:p>
        </w:tc>
        <w:tc>
          <w:tcPr/>
          <w:p>
            <w:pPr>
              <w:pStyle w:val="Compact"/>
            </w:pPr>
            <w:r>
              <w:t xml:space="preserve">AI interpretation section recommends structured outputs, transparency and confirmation loops</w:t>
            </w:r>
            <w:hyperlink r:id="rId21">
              <w:r>
                <w:rPr>
                  <w:rStyle w:val="Hyperlink"/>
                </w:rPr>
                <w:t xml:space="preserve">[3]</w:t>
              </w:r>
            </w:hyperlink>
            <w:r>
              <w:t xml:space="preserve">. Recommended changes detail memory fields and confirm rules</w:t>
            </w:r>
            <w:hyperlink r:id="rId21">
              <w:r>
                <w:rPr>
                  <w:rStyle w:val="Hyperlink"/>
                </w:rPr>
                <w:t xml:space="preserve">[2]</w:t>
              </w:r>
            </w:hyperlink>
            <w:r>
              <w:t xml:space="preserve">.</w:t>
            </w:r>
          </w:p>
        </w:tc>
        <w:tc>
          <w:tcPr/>
          <w:p>
            <w:pPr>
              <w:pStyle w:val="Compact"/>
            </w:pPr>
            <w:r>
              <w:t xml:space="preserve">AI interpretation; My OS memory; safety.</w:t>
            </w:r>
          </w:p>
        </w:tc>
        <w:tc>
          <w:tcPr/>
          <w:p>
            <w:pPr>
              <w:pStyle w:val="Compact"/>
            </w:pPr>
            <w:r>
              <w:t xml:space="preserve">Provides transparency and user control; ensures rejected or deleted memories do not influence future AI outputs; increases development complexity.</w:t>
            </w:r>
          </w:p>
        </w:tc>
        <w:tc>
          <w:tcPr/>
          <w:p>
            <w:pPr>
              <w:pStyle w:val="Compact"/>
            </w:pPr>
            <w:r>
              <w:rPr>
                <w:b/>
                <w:bCs/>
              </w:rPr>
              <w:t xml:space="preserve">ACCEPT</w:t>
            </w:r>
          </w:p>
        </w:tc>
        <w:tc>
          <w:tcPr/>
          <w:p>
            <w:pPr>
              <w:pStyle w:val="Compact"/>
            </w:pPr>
            <w:r>
              <w:t xml:space="preserve">Essential to meet safety boundaries and trust requirements; critical for AI fairness and privacy.</w:t>
            </w:r>
          </w:p>
        </w:tc>
        <w:tc>
          <w:tcPr/>
          <w:p>
            <w:pPr>
              <w:pStyle w:val="Compact"/>
            </w:pPr>
            <w:r>
              <w:t xml:space="preserve">Define schemas and confidence algorithms. Implement confirmation/edit/reject flows. Create deletion logic to exclude rejected memories.</w:t>
            </w:r>
          </w:p>
        </w:tc>
      </w:tr>
      <w:tr>
        <w:tc>
          <w:tcPr/>
          <w:p>
            <w:pPr>
              <w:pStyle w:val="Compact"/>
            </w:pPr>
            <w:r>
              <w:t xml:space="preserve">7</w:t>
            </w:r>
          </w:p>
        </w:tc>
        <w:tc>
          <w:tcPr/>
          <w:p>
            <w:pPr>
              <w:pStyle w:val="Compact"/>
            </w:pPr>
            <w:r>
              <w:rPr>
                <w:b/>
                <w:bCs/>
              </w:rPr>
              <w:t xml:space="preserve">Strengthen safety measures</w:t>
            </w:r>
            <w:r>
              <w:t xml:space="preserve"> </w:t>
            </w:r>
            <w:r>
              <w:t xml:space="preserve">– include clear disclaimer, crisis resources, privacy controls, local storage by default, encryption for cloud storage, user control over data sharing/deletion, and explicit confirmation before calendar modifications.</w:t>
            </w:r>
          </w:p>
        </w:tc>
        <w:tc>
          <w:tcPr/>
          <w:p>
            <w:pPr>
              <w:pStyle w:val="Compact"/>
            </w:pPr>
            <w:r>
              <w:t xml:space="preserve">Safety and limits section underscores that mental health apps must include clear warnings, emergency contacts and privacy information</w:t>
            </w:r>
            <w:hyperlink r:id="rId21">
              <w:r>
                <w:rPr>
                  <w:rStyle w:val="Hyperlink"/>
                </w:rPr>
                <w:t xml:space="preserve">[3]</w:t>
              </w:r>
            </w:hyperlink>
            <w:r>
              <w:t xml:space="preserve">. Recommended changes call for strong safety measures and privacy protections</w:t>
            </w:r>
            <w:hyperlink r:id="rId21">
              <w:r>
                <w:rPr>
                  <w:rStyle w:val="Hyperlink"/>
                </w:rPr>
                <w:t xml:space="preserve">[2]</w:t>
              </w:r>
            </w:hyperlink>
            <w:r>
              <w:t xml:space="preserve">.</w:t>
            </w:r>
          </w:p>
        </w:tc>
        <w:tc>
          <w:tcPr/>
          <w:p>
            <w:pPr>
              <w:pStyle w:val="Compact"/>
            </w:pPr>
            <w:r>
              <w:t xml:space="preserve">Safety; educational onboarding; technical build; calendar; Ask AI.</w:t>
            </w:r>
          </w:p>
        </w:tc>
        <w:tc>
          <w:tcPr/>
          <w:p>
            <w:pPr>
              <w:pStyle w:val="Compact"/>
            </w:pPr>
            <w:r>
              <w:t xml:space="preserve">Protects users from harm and legal risk; ensures transparency and consent. May add friction and require legal counsel.</w:t>
            </w:r>
          </w:p>
        </w:tc>
        <w:tc>
          <w:tcPr/>
          <w:p>
            <w:pPr>
              <w:pStyle w:val="Compact"/>
            </w:pPr>
            <w:r>
              <w:rPr>
                <w:b/>
                <w:bCs/>
              </w:rPr>
              <w:t xml:space="preserve">ACCEPT</w:t>
            </w:r>
          </w:p>
        </w:tc>
        <w:tc>
          <w:tcPr/>
          <w:p>
            <w:pPr>
              <w:pStyle w:val="Compact"/>
            </w:pPr>
            <w:r>
              <w:t xml:space="preserve">Non‑negotiable for regulatory compliance and user trust; aligns with product boundaries.</w:t>
            </w:r>
          </w:p>
        </w:tc>
        <w:tc>
          <w:tcPr/>
          <w:p>
            <w:pPr>
              <w:pStyle w:val="Compact"/>
            </w:pPr>
            <w:r>
              <w:t xml:space="preserve">Draft disclaimer and emergency wording. Define privacy policy and encryption strategy. Implement consent prompts before scheduling or data sharing.</w:t>
            </w:r>
          </w:p>
        </w:tc>
      </w:tr>
      <w:tr>
        <w:tc>
          <w:tcPr/>
          <w:p>
            <w:pPr>
              <w:pStyle w:val="Compact"/>
            </w:pPr>
            <w:r>
              <w:t xml:space="preserve">8</w:t>
            </w:r>
          </w:p>
        </w:tc>
        <w:tc>
          <w:tcPr/>
          <w:p>
            <w:pPr>
              <w:pStyle w:val="Compact"/>
            </w:pPr>
            <w:r>
              <w:rPr>
                <w:b/>
                <w:bCs/>
              </w:rPr>
              <w:t xml:space="preserve">Enhance privacy protections</w:t>
            </w:r>
            <w:r>
              <w:t xml:space="preserve"> </w:t>
            </w:r>
            <w:r>
              <w:t xml:space="preserve">– store data locally by default; require encryption and user consent for cloud storage; allow users to control data sharing and deletion; comply with privacy laws (GDPR, CCPA, Australian).</w:t>
            </w:r>
          </w:p>
        </w:tc>
        <w:tc>
          <w:tcPr/>
          <w:p>
            <w:pPr>
              <w:pStyle w:val="Compact"/>
            </w:pPr>
            <w:r>
              <w:t xml:space="preserve">Safety and limits and recommended changes emphasise local storage, encryption and compliance</w:t>
            </w:r>
            <w:hyperlink r:id="rId21">
              <w:r>
                <w:rPr>
                  <w:rStyle w:val="Hyperlink"/>
                </w:rPr>
                <w:t xml:space="preserve">[3]</w:t>
              </w:r>
            </w:hyperlink>
            <w:hyperlink r:id="rId21">
              <w:r>
                <w:rPr>
                  <w:rStyle w:val="Hyperlink"/>
                </w:rPr>
                <w:t xml:space="preserve">[2]</w:t>
              </w:r>
            </w:hyperlink>
            <w:r>
              <w:t xml:space="preserve">.</w:t>
            </w:r>
          </w:p>
        </w:tc>
        <w:tc>
          <w:tcPr/>
          <w:p>
            <w:pPr>
              <w:pStyle w:val="Compact"/>
            </w:pPr>
            <w:r>
              <w:t xml:space="preserve">Safety; My OS memory; technical build.</w:t>
            </w:r>
          </w:p>
        </w:tc>
        <w:tc>
          <w:tcPr/>
          <w:p>
            <w:pPr>
              <w:pStyle w:val="Compact"/>
            </w:pPr>
            <w:r>
              <w:t xml:space="preserve">Increases trust and legal compliance; may slow development due to encryption and legal review.</w:t>
            </w:r>
          </w:p>
        </w:tc>
        <w:tc>
          <w:tcPr/>
          <w:p>
            <w:pPr>
              <w:pStyle w:val="Compact"/>
            </w:pPr>
          </w:p>
        </w:tc>
        <w:tc>
          <w:tcPr/>
          <w:p>
            <w:pPr>
              <w:pStyle w:val="Compact"/>
            </w:pPr>
          </w:p>
        </w:tc>
        <w:tc>
          <w:tcPr/>
          <w:p>
            <w:pPr>
              <w:pStyle w:val="Compact"/>
            </w:pPr>
          </w:p>
        </w:tc>
      </w:tr>
      <w:tr>
        <w:tc>
          <w:tcPr/>
          <w:p>
            <w:pPr>
              <w:pStyle w:val="Compact"/>
            </w:pPr>
            <w:r>
              <w:rPr>
                <w:b/>
                <w:bCs/>
              </w:rPr>
              <w:t xml:space="preserve">ACCEPT</w:t>
            </w:r>
          </w:p>
        </w:tc>
        <w:tc>
          <w:tcPr/>
          <w:p>
            <w:pPr>
              <w:pStyle w:val="Compact"/>
            </w:pPr>
            <w:r>
              <w:t xml:space="preserve">Supports user ownership of My OS and aligns with educational rather than surveillance model.</w:t>
            </w:r>
          </w:p>
        </w:tc>
        <w:tc>
          <w:tcPr/>
          <w:p>
            <w:pPr>
              <w:pStyle w:val="Compact"/>
            </w:pPr>
            <w:r>
              <w:t xml:space="preserve">Define local storage architecture; integrate optional encrypted cloud backup; consult legal counsel on privacy law compliance.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rPr>
                <w:b/>
                <w:bCs/>
              </w:rPr>
              <w:t xml:space="preserve">Decide module sequence and scope</w:t>
            </w:r>
            <w:r>
              <w:t xml:space="preserve"> </w:t>
            </w:r>
            <w:r>
              <w:t xml:space="preserve">– determine order (values, identity, goal setting, habit formation, life alignment) and number of topics in first release.</w:t>
            </w:r>
          </w:p>
        </w:tc>
        <w:tc>
          <w:tcPr/>
          <w:p>
            <w:pPr>
              <w:pStyle w:val="Compact"/>
            </w:pPr>
            <w:r>
              <w:t xml:space="preserve">Product implications and decisions required call for sequencing modules starting with values and identity, followed by goal setting and habit formation</w:t>
            </w:r>
            <w:hyperlink r:id="rId21">
              <w:r>
                <w:rPr>
                  <w:rStyle w:val="Hyperlink"/>
                </w:rPr>
                <w:t xml:space="preserve">[2]</w:t>
              </w:r>
            </w:hyperlink>
            <w:r>
              <w:t xml:space="preserve">.</w:t>
            </w:r>
          </w:p>
        </w:tc>
        <w:tc>
          <w:tcPr/>
          <w:p>
            <w:pPr>
              <w:pStyle w:val="Compact"/>
            </w:pPr>
            <w:r>
              <w:t xml:space="preserve">Module order; curriculum design; user testing.</w:t>
            </w:r>
          </w:p>
        </w:tc>
        <w:tc>
          <w:tcPr/>
          <w:p>
            <w:pPr>
              <w:pStyle w:val="Compact"/>
            </w:pPr>
            <w:r>
              <w:t xml:space="preserve">Ensures modules build logically on each other; influences MVP scope.</w:t>
            </w:r>
          </w:p>
        </w:tc>
        <w:tc>
          <w:tcPr/>
          <w:p>
            <w:pPr>
              <w:pStyle w:val="Compact"/>
            </w:pPr>
            <w:r>
              <w:rPr>
                <w:b/>
                <w:bCs/>
              </w:rPr>
              <w:t xml:space="preserve">ACCEPT</w:t>
            </w:r>
          </w:p>
        </w:tc>
        <w:tc>
          <w:tcPr/>
          <w:p>
            <w:pPr>
              <w:pStyle w:val="Compact"/>
            </w:pPr>
            <w:r>
              <w:t xml:space="preserve">Necessary to design coherent curriculum and manage scope; aligns with research recommendations.</w:t>
            </w:r>
          </w:p>
        </w:tc>
        <w:tc>
          <w:tcPr/>
          <w:p>
            <w:pPr>
              <w:pStyle w:val="Compact"/>
            </w:pPr>
            <w:r>
              <w:t xml:space="preserve">Plan final module order (Phase 5). Conduct gap analysis to confirm readiness.</w:t>
            </w:r>
          </w:p>
        </w:tc>
      </w:tr>
      <w:tr>
        <w:tc>
          <w:tcPr/>
          <w:p>
            <w:pPr>
              <w:pStyle w:val="Compact"/>
            </w:pPr>
            <w:r>
              <w:t xml:space="preserve">10</w:t>
            </w:r>
          </w:p>
        </w:tc>
        <w:tc>
          <w:tcPr/>
          <w:p>
            <w:pPr>
              <w:pStyle w:val="Compact"/>
            </w:pPr>
            <w:r>
              <w:rPr>
                <w:b/>
                <w:bCs/>
              </w:rPr>
              <w:t xml:space="preserve">Choose question format library and standardise across modules</w:t>
            </w:r>
            <w:r>
              <w:t xml:space="preserve"> </w:t>
            </w:r>
            <w:r>
              <w:t xml:space="preserve">– select question types (open text, rating, ranking, slider, forced choice) and standardise interactions.</w:t>
            </w:r>
          </w:p>
        </w:tc>
        <w:tc>
          <w:tcPr/>
          <w:p>
            <w:pPr>
              <w:pStyle w:val="Compact"/>
            </w:pPr>
            <w:r>
              <w:t xml:space="preserve">Decisions required state that question formats should be selected and standardised</w:t>
            </w:r>
            <w:hyperlink r:id="rId21">
              <w:r>
                <w:rPr>
                  <w:rStyle w:val="Hyperlink"/>
                </w:rPr>
                <w:t xml:space="preserve">[2]</w:t>
              </w:r>
            </w:hyperlink>
            <w:r>
              <w:t xml:space="preserve">.</w:t>
            </w:r>
          </w:p>
        </w:tc>
        <w:tc>
          <w:tcPr/>
          <w:p>
            <w:pPr>
              <w:pStyle w:val="Compact"/>
            </w:pPr>
            <w:r>
              <w:t xml:space="preserve">Question design; technical build.</w:t>
            </w:r>
          </w:p>
        </w:tc>
        <w:tc>
          <w:tcPr/>
          <w:p>
            <w:pPr>
              <w:pStyle w:val="Compact"/>
            </w:pPr>
            <w:r>
              <w:t xml:space="preserve">Provides consistency and simplifies development; ensures comparability across modules.</w:t>
            </w:r>
          </w:p>
        </w:tc>
        <w:tc>
          <w:tcPr/>
          <w:p>
            <w:pPr>
              <w:pStyle w:val="Compact"/>
            </w:pPr>
            <w:r>
              <w:rPr>
                <w:b/>
                <w:bCs/>
              </w:rPr>
              <w:t xml:space="preserve">ACCEPT</w:t>
            </w:r>
          </w:p>
        </w:tc>
        <w:tc>
          <w:tcPr/>
          <w:p>
            <w:pPr>
              <w:pStyle w:val="Compact"/>
            </w:pPr>
            <w:r>
              <w:t xml:space="preserve">Supports user experience and AI interpretation; necessary for question bank creation.</w:t>
            </w:r>
          </w:p>
        </w:tc>
        <w:tc>
          <w:tcPr/>
          <w:p>
            <w:pPr>
              <w:pStyle w:val="Compact"/>
            </w:pPr>
            <w:r>
              <w:t xml:space="preserve">Define supported question types, design UI components, and test with users.</w:t>
            </w:r>
          </w:p>
        </w:tc>
      </w:tr>
      <w:tr>
        <w:tc>
          <w:tcPr/>
          <w:p>
            <w:pPr>
              <w:pStyle w:val="Compact"/>
            </w:pPr>
            <w:r>
              <w:t xml:space="preserve">11</w:t>
            </w:r>
          </w:p>
        </w:tc>
        <w:tc>
          <w:tcPr/>
          <w:p>
            <w:pPr>
              <w:pStyle w:val="Compact"/>
            </w:pPr>
            <w:r>
              <w:rPr>
                <w:b/>
                <w:bCs/>
              </w:rPr>
              <w:t xml:space="preserve">Wording style guide approval</w:t>
            </w:r>
            <w:r>
              <w:t xml:space="preserve"> </w:t>
            </w:r>
            <w:r>
              <w:t xml:space="preserve">– finalise tone and obtain stakeholder buy‑in.</w:t>
            </w:r>
          </w:p>
        </w:tc>
        <w:tc>
          <w:tcPr/>
          <w:p>
            <w:pPr>
              <w:pStyle w:val="Compact"/>
            </w:pPr>
            <w:r>
              <w:t xml:space="preserve">Decisions required call for finalising the wording style guide</w:t>
            </w:r>
            <w:hyperlink r:id="rId21">
              <w:r>
                <w:rPr>
                  <w:rStyle w:val="Hyperlink"/>
                </w:rPr>
                <w:t xml:space="preserve">[2]</w:t>
              </w:r>
            </w:hyperlink>
            <w:r>
              <w:t xml:space="preserve">.</w:t>
            </w:r>
          </w:p>
        </w:tc>
        <w:tc>
          <w:tcPr/>
          <w:p>
            <w:pPr>
              <w:pStyle w:val="Compact"/>
            </w:pPr>
            <w:r>
              <w:t xml:space="preserve">Wording style; stakeholder alignment.</w:t>
            </w:r>
          </w:p>
        </w:tc>
        <w:tc>
          <w:tcPr/>
          <w:p>
            <w:pPr>
              <w:pStyle w:val="Compact"/>
            </w:pPr>
            <w:r>
              <w:t xml:space="preserve">Ensures consistent tone across content and AI; fosters organisational alignment.</w:t>
            </w:r>
          </w:p>
        </w:tc>
        <w:tc>
          <w:tcPr/>
          <w:p>
            <w:pPr>
              <w:pStyle w:val="Compact"/>
            </w:pPr>
            <w:r>
              <w:rPr>
                <w:b/>
                <w:bCs/>
              </w:rPr>
              <w:t xml:space="preserve">ACCEPT</w:t>
            </w:r>
          </w:p>
        </w:tc>
        <w:tc>
          <w:tcPr/>
          <w:p>
            <w:pPr>
              <w:pStyle w:val="Compact"/>
            </w:pPr>
            <w:r>
              <w:t xml:space="preserve">Critical to maintain voice consistency; required before content production.</w:t>
            </w:r>
          </w:p>
        </w:tc>
        <w:tc>
          <w:tcPr/>
          <w:p>
            <w:pPr>
              <w:pStyle w:val="Compact"/>
            </w:pPr>
            <w:r>
              <w:t xml:space="preserve">Prepare guide (Phase 7), then circulate for review and approval.</w:t>
            </w:r>
          </w:p>
        </w:tc>
      </w:tr>
      <w:tr>
        <w:tc>
          <w:tcPr/>
          <w:p>
            <w:pPr>
              <w:pStyle w:val="Compact"/>
            </w:pPr>
            <w:r>
              <w:t xml:space="preserve">12</w:t>
            </w:r>
          </w:p>
        </w:tc>
        <w:tc>
          <w:tcPr/>
          <w:p>
            <w:pPr>
              <w:pStyle w:val="Compact"/>
            </w:pPr>
            <w:r>
              <w:rPr>
                <w:b/>
                <w:bCs/>
              </w:rPr>
              <w:t xml:space="preserve">Select AI model and safety framework</w:t>
            </w:r>
            <w:r>
              <w:t xml:space="preserve"> </w:t>
            </w:r>
            <w:r>
              <w:t xml:space="preserve">– choose LLM or summarisation model supporting structured outputs, confidence scores and explanation; define architecture for user memory and deletion procedures.</w:t>
            </w:r>
          </w:p>
        </w:tc>
        <w:tc>
          <w:tcPr/>
          <w:p>
            <w:pPr>
              <w:pStyle w:val="Compact"/>
            </w:pPr>
            <w:r>
              <w:t xml:space="preserve">Decisions required include selecting an AI model and safety framework</w:t>
            </w:r>
            <w:hyperlink r:id="rId21">
              <w:r>
                <w:rPr>
                  <w:rStyle w:val="Hyperlink"/>
                </w:rPr>
                <w:t xml:space="preserve">[2]</w:t>
              </w:r>
            </w:hyperlink>
            <w:r>
              <w:t xml:space="preserve">.</w:t>
            </w:r>
          </w:p>
        </w:tc>
        <w:tc>
          <w:tcPr/>
          <w:p>
            <w:pPr>
              <w:pStyle w:val="Compact"/>
            </w:pPr>
            <w:r>
              <w:t xml:space="preserve">AI interpretation; technical build.</w:t>
            </w:r>
          </w:p>
        </w:tc>
        <w:tc>
          <w:tcPr/>
          <w:p>
            <w:pPr>
              <w:pStyle w:val="Compact"/>
            </w:pPr>
            <w:r>
              <w:t xml:space="preserve">Affects feasibility of structured summarisation and memory safety; influences cost and performance.</w:t>
            </w:r>
          </w:p>
        </w:tc>
        <w:tc>
          <w:tcPr/>
          <w:p>
            <w:pPr>
              <w:pStyle w:val="Compact"/>
            </w:pPr>
            <w:r>
              <w:rPr>
                <w:b/>
                <w:bCs/>
              </w:rPr>
              <w:t xml:space="preserve">ACCEPT (DEFER TECHNICAL)</w:t>
            </w:r>
          </w:p>
        </w:tc>
        <w:tc>
          <w:tcPr/>
          <w:p>
            <w:pPr>
              <w:pStyle w:val="Compact"/>
            </w:pPr>
            <w:r>
              <w:t xml:space="preserve">Necessary but technical specifics can be decided after curriculum design; high impact but not needed immediately for conceptual design.</w:t>
            </w:r>
          </w:p>
        </w:tc>
        <w:tc>
          <w:tcPr/>
          <w:p>
            <w:pPr>
              <w:pStyle w:val="Compact"/>
            </w:pPr>
            <w:r>
              <w:t xml:space="preserve">Research potential models and summarisation frameworks; evaluate safety features; final decision in technical architecture phase.</w:t>
            </w:r>
          </w:p>
        </w:tc>
      </w:tr>
      <w:tr>
        <w:tc>
          <w:tcPr/>
          <w:p>
            <w:pPr>
              <w:pStyle w:val="Compact"/>
            </w:pPr>
            <w:r>
              <w:t xml:space="preserve">13</w:t>
            </w:r>
          </w:p>
        </w:tc>
        <w:tc>
          <w:tcPr/>
          <w:p>
            <w:pPr>
              <w:pStyle w:val="Compact"/>
            </w:pPr>
            <w:r>
              <w:rPr>
                <w:b/>
                <w:bCs/>
              </w:rPr>
              <w:t xml:space="preserve">Legal and privacy compliance</w:t>
            </w:r>
            <w:r>
              <w:t xml:space="preserve"> </w:t>
            </w:r>
            <w:r>
              <w:t xml:space="preserve">– engage legal counsel to confirm disclaimer wording, data‑processing agreements and compliance with privacy laws (GDPR, CCPA, Australian).</w:t>
            </w:r>
          </w:p>
        </w:tc>
        <w:tc>
          <w:tcPr/>
          <w:p>
            <w:pPr>
              <w:pStyle w:val="Compact"/>
            </w:pPr>
            <w:r>
              <w:t xml:space="preserve">Decisions required highlight the need for legal review and compliance</w:t>
            </w:r>
            <w:hyperlink r:id="rId21">
              <w:r>
                <w:rPr>
                  <w:rStyle w:val="Hyperlink"/>
                </w:rPr>
                <w:t xml:space="preserve">[2]</w:t>
              </w:r>
            </w:hyperlink>
            <w:r>
              <w:t xml:space="preserve">.</w:t>
            </w:r>
          </w:p>
        </w:tc>
        <w:tc>
          <w:tcPr/>
          <w:p>
            <w:pPr>
              <w:pStyle w:val="Compact"/>
            </w:pPr>
            <w:r>
              <w:t xml:space="preserve">Safety; policy; technical build.</w:t>
            </w:r>
          </w:p>
        </w:tc>
        <w:tc>
          <w:tcPr/>
          <w:p>
            <w:pPr>
              <w:pStyle w:val="Compact"/>
            </w:pPr>
            <w:r>
              <w:t xml:space="preserve">Ensures legal compliance and reduces risk; may delay launch.</w:t>
            </w:r>
          </w:p>
        </w:tc>
        <w:tc>
          <w:tcPr/>
          <w:p>
            <w:pPr>
              <w:pStyle w:val="Compact"/>
            </w:pPr>
            <w:r>
              <w:rPr>
                <w:b/>
                <w:bCs/>
              </w:rPr>
              <w:t xml:space="preserve">ACCEPT</w:t>
            </w:r>
          </w:p>
        </w:tc>
        <w:tc>
          <w:tcPr/>
          <w:p>
            <w:pPr>
              <w:pStyle w:val="Compact"/>
            </w:pPr>
            <w:r>
              <w:t xml:space="preserve">Mandatory for responsible launch; cannot proceed without compliance.</w:t>
            </w:r>
          </w:p>
        </w:tc>
        <w:tc>
          <w:tcPr/>
          <w:p>
            <w:pPr>
              <w:pStyle w:val="Compact"/>
            </w:pPr>
            <w:r>
              <w:t xml:space="preserve">Initiate legal consultation; incorporate feedback into disclaimer, privacy policy and data architecture.</w:t>
            </w:r>
          </w:p>
        </w:tc>
      </w:tr>
      <w:tr>
        <w:tc>
          <w:tcPr/>
          <w:p>
            <w:pPr>
              <w:pStyle w:val="Compact"/>
            </w:pPr>
            <w:r>
              <w:t xml:space="preserve">14</w:t>
            </w:r>
          </w:p>
        </w:tc>
        <w:tc>
          <w:tcPr/>
          <w:p>
            <w:pPr>
              <w:pStyle w:val="Compact"/>
            </w:pPr>
            <w:r>
              <w:rPr>
                <w:b/>
                <w:bCs/>
              </w:rPr>
              <w:t xml:space="preserve">Emergency support integration</w:t>
            </w:r>
            <w:r>
              <w:t xml:space="preserve"> </w:t>
            </w:r>
            <w:r>
              <w:t xml:space="preserve">– decide which crisis hotlines and professional resources to link and how to display them contextually.</w:t>
            </w:r>
          </w:p>
        </w:tc>
        <w:tc>
          <w:tcPr/>
          <w:p>
            <w:pPr>
              <w:pStyle w:val="Compact"/>
            </w:pPr>
            <w:r>
              <w:t xml:space="preserve">Decisions required emphasise adding crisis resources and professional support</w:t>
            </w:r>
            <w:hyperlink r:id="rId21">
              <w:r>
                <w:rPr>
                  <w:rStyle w:val="Hyperlink"/>
                </w:rPr>
                <w:t xml:space="preserve">[2]</w:t>
              </w:r>
            </w:hyperlink>
            <w:r>
              <w:t xml:space="preserve">.</w:t>
            </w:r>
          </w:p>
        </w:tc>
        <w:tc>
          <w:tcPr/>
          <w:p>
            <w:pPr>
              <w:pStyle w:val="Compact"/>
            </w:pPr>
            <w:r>
              <w:t xml:space="preserve">Safety; educational onboarding; module design.</w:t>
            </w:r>
          </w:p>
        </w:tc>
        <w:tc>
          <w:tcPr/>
          <w:p>
            <w:pPr>
              <w:pStyle w:val="Compact"/>
            </w:pPr>
            <w:r>
              <w:t xml:space="preserve">Provides a safety net; helps users in distress; may need localisation.</w:t>
            </w:r>
          </w:p>
        </w:tc>
        <w:tc>
          <w:tcPr/>
          <w:p>
            <w:pPr>
              <w:pStyle w:val="Compact"/>
            </w:pPr>
            <w:r>
              <w:rPr>
                <w:b/>
                <w:bCs/>
              </w:rPr>
              <w:t xml:space="preserve">ACCEPT</w:t>
            </w:r>
          </w:p>
        </w:tc>
        <w:tc>
          <w:tcPr/>
          <w:p>
            <w:pPr>
              <w:pStyle w:val="Compact"/>
            </w:pPr>
            <w:r>
              <w:t xml:space="preserve">Essential for mental‑health‑adjacent content; meets safety boundaries.</w:t>
            </w:r>
          </w:p>
        </w:tc>
        <w:tc>
          <w:tcPr/>
          <w:p>
            <w:pPr>
              <w:pStyle w:val="Compact"/>
            </w:pPr>
            <w:r>
              <w:t xml:space="preserve">Identify relevant local and international crisis lines; design contextual display (onboarding, high‑intensity sections).</w:t>
            </w:r>
          </w:p>
        </w:tc>
      </w:tr>
      <w:tr>
        <w:tc>
          <w:tcPr/>
          <w:p>
            <w:pPr>
              <w:pStyle w:val="Compact"/>
            </w:pPr>
            <w:r>
              <w:t xml:space="preserve">15</w:t>
            </w:r>
          </w:p>
        </w:tc>
        <w:tc>
          <w:tcPr/>
          <w:p>
            <w:pPr>
              <w:pStyle w:val="Compact"/>
            </w:pPr>
            <w:r>
              <w:rPr>
                <w:b/>
                <w:bCs/>
              </w:rPr>
              <w:t xml:space="preserve">Accessibility requirements</w:t>
            </w:r>
            <w:r>
              <w:t xml:space="preserve"> </w:t>
            </w:r>
            <w:r>
              <w:t xml:space="preserve">– decide on standards (e.g., WCAG 2.2), language support and inclusive design features.</w:t>
            </w:r>
          </w:p>
        </w:tc>
        <w:tc>
          <w:tcPr/>
          <w:p>
            <w:pPr>
              <w:pStyle w:val="Compact"/>
            </w:pPr>
            <w:r>
              <w:t xml:space="preserve">Decisions required mention accessibility standards and inclusive design</w:t>
            </w:r>
            <w:hyperlink r:id="rId21">
              <w:r>
                <w:rPr>
                  <w:rStyle w:val="Hyperlink"/>
                </w:rPr>
                <w:t xml:space="preserve">[2]</w:t>
              </w:r>
            </w:hyperlink>
            <w:r>
              <w:t xml:space="preserve">.</w:t>
            </w:r>
          </w:p>
        </w:tc>
        <w:tc>
          <w:tcPr/>
          <w:p>
            <w:pPr>
              <w:pStyle w:val="Compact"/>
            </w:pPr>
            <w:r>
              <w:t xml:space="preserve">Technical build; design.</w:t>
            </w:r>
          </w:p>
        </w:tc>
        <w:tc>
          <w:tcPr/>
          <w:p>
            <w:pPr>
              <w:pStyle w:val="Compact"/>
            </w:pPr>
            <w:r>
              <w:t xml:space="preserve">Ensures product is usable by diverse users; may increase development scope.</w:t>
            </w:r>
          </w:p>
        </w:tc>
        <w:tc>
          <w:tcPr/>
          <w:p>
            <w:pPr>
              <w:pStyle w:val="Compact"/>
            </w:pPr>
            <w:r>
              <w:rPr>
                <w:b/>
                <w:bCs/>
              </w:rPr>
              <w:t xml:space="preserve">ACCEPT</w:t>
            </w:r>
          </w:p>
        </w:tc>
        <w:tc>
          <w:tcPr/>
          <w:p>
            <w:pPr>
              <w:pStyle w:val="Compact"/>
            </w:pPr>
            <w:r>
              <w:t xml:space="preserve">Aligns with inclusive values and legal standards; essential for broad adoption.</w:t>
            </w:r>
          </w:p>
        </w:tc>
        <w:tc>
          <w:tcPr/>
          <w:p>
            <w:pPr>
              <w:pStyle w:val="Compact"/>
            </w:pPr>
            <w:r>
              <w:t xml:space="preserve">Adopt WCAG 2.2 as baseline; plan for language support; conduct accessibility audits.</w:t>
            </w:r>
          </w:p>
        </w:tc>
      </w:tr>
      <w:tr>
        <w:tc>
          <w:tcPr/>
          <w:p>
            <w:pPr>
              <w:pStyle w:val="Compact"/>
            </w:pPr>
            <w:r>
              <w:t xml:space="preserve">16</w:t>
            </w:r>
          </w:p>
        </w:tc>
        <w:tc>
          <w:tcPr/>
          <w:p>
            <w:pPr>
              <w:pStyle w:val="Compact"/>
            </w:pPr>
            <w:r>
              <w:rPr>
                <w:b/>
                <w:bCs/>
              </w:rPr>
              <w:t xml:space="preserve">Future‑self and identity features</w:t>
            </w:r>
            <w:r>
              <w:t xml:space="preserve"> </w:t>
            </w:r>
            <w:r>
              <w:t xml:space="preserve">– decide how to implement future‑self prompts (visualisations, letters, VR/AR) and personal rule creation without over‑rigidity.</w:t>
            </w:r>
          </w:p>
        </w:tc>
        <w:tc>
          <w:tcPr/>
          <w:p>
            <w:pPr>
              <w:pStyle w:val="Compact"/>
            </w:pPr>
            <w:r>
              <w:t xml:space="preserve">Decisions required list this feature consideration</w:t>
            </w:r>
            <w:hyperlink r:id="rId21">
              <w:r>
                <w:rPr>
                  <w:rStyle w:val="Hyperlink"/>
                </w:rPr>
                <w:t xml:space="preserve">[2]</w:t>
              </w:r>
            </w:hyperlink>
            <w:r>
              <w:t xml:space="preserve">.</w:t>
            </w:r>
          </w:p>
        </w:tc>
        <w:tc>
          <w:tcPr/>
          <w:p>
            <w:pPr>
              <w:pStyle w:val="Compact"/>
            </w:pPr>
            <w:r>
              <w:t xml:space="preserve">Module design; AI interpretation; technical build.</w:t>
            </w:r>
          </w:p>
        </w:tc>
        <w:tc>
          <w:tcPr/>
          <w:p>
            <w:pPr>
              <w:pStyle w:val="Compact"/>
            </w:pPr>
            <w:r>
              <w:t xml:space="preserve">Potentially powerful but may add complexity and risk; VR/AR could be over‑scope for MVP.</w:t>
            </w:r>
          </w:p>
        </w:tc>
        <w:tc>
          <w:tcPr/>
          <w:p>
            <w:pPr>
              <w:pStyle w:val="Compact"/>
            </w:pPr>
            <w:r>
              <w:rPr>
                <w:b/>
                <w:bCs/>
              </w:rPr>
              <w:t xml:space="preserve">DEFER</w:t>
            </w:r>
          </w:p>
        </w:tc>
        <w:tc>
          <w:tcPr/>
          <w:p>
            <w:pPr>
              <w:pStyle w:val="Compact"/>
            </w:pPr>
            <w:r>
              <w:t xml:space="preserve">While important, immersive future‑self features are beyond MVP scope and may require further research on safety and efficacy.</w:t>
            </w:r>
          </w:p>
        </w:tc>
        <w:tc>
          <w:tcPr/>
          <w:p>
            <w:pPr>
              <w:pStyle w:val="Compact"/>
            </w:pPr>
            <w:r>
              <w:t xml:space="preserve">Include simpler future‑self reflection prompts (letters/journals) in MVP; research immersive interventions for later versions.</w:t>
            </w:r>
          </w:p>
        </w:tc>
      </w:tr>
      <w:tr>
        <w:tc>
          <w:tcPr/>
          <w:p>
            <w:pPr>
              <w:pStyle w:val="Compact"/>
            </w:pPr>
            <w:r>
              <w:t xml:space="preserve">17</w:t>
            </w:r>
          </w:p>
        </w:tc>
        <w:tc>
          <w:tcPr/>
          <w:p>
            <w:pPr>
              <w:pStyle w:val="Compact"/>
            </w:pPr>
            <w:r>
              <w:rPr>
                <w:b/>
                <w:bCs/>
              </w:rPr>
              <w:t xml:space="preserve">Use implementation intentions and cue design</w:t>
            </w:r>
            <w:r>
              <w:t xml:space="preserve"> </w:t>
            </w:r>
            <w:r>
              <w:t xml:space="preserve">– teach users to create if‑then plans and select consistent cues (time of day, existing routines) to support habit formation; avoid promising quick results.</w:t>
            </w:r>
          </w:p>
        </w:tc>
        <w:tc>
          <w:tcPr/>
          <w:p>
            <w:pPr>
              <w:pStyle w:val="Compact"/>
            </w:pPr>
            <w:r>
              <w:t xml:space="preserve">Evidence map notes strong effect of implementation intentions when users have strong goal intentions and highlights that automaticity develops slowly; modules should teach implementation intentions and emphasise long formation periods</w:t>
            </w:r>
            <w:hyperlink r:id="rId21">
              <w:r>
                <w:rPr>
                  <w:rStyle w:val="Hyperlink"/>
                </w:rPr>
                <w:t xml:space="preserve">[1]</w:t>
              </w:r>
            </w:hyperlink>
            <w:r>
              <w:t xml:space="preserve">.</w:t>
            </w:r>
          </w:p>
        </w:tc>
        <w:tc>
          <w:tcPr/>
          <w:p>
            <w:pPr>
              <w:pStyle w:val="Compact"/>
            </w:pPr>
            <w:r>
              <w:t xml:space="preserve">Question design; module content; Today Directive.</w:t>
            </w:r>
          </w:p>
        </w:tc>
        <w:tc>
          <w:tcPr/>
          <w:p>
            <w:pPr>
              <w:pStyle w:val="Compact"/>
            </w:pPr>
            <w:r>
              <w:t xml:space="preserve">Helps users translate goals into daily actions; emphasises patience and resilience.</w:t>
            </w:r>
          </w:p>
        </w:tc>
        <w:tc>
          <w:tcPr/>
          <w:p>
            <w:pPr>
              <w:pStyle w:val="Compact"/>
            </w:pPr>
            <w:r>
              <w:rPr>
                <w:b/>
                <w:bCs/>
              </w:rPr>
              <w:t xml:space="preserve">ACCEPT</w:t>
            </w:r>
          </w:p>
        </w:tc>
        <w:tc>
          <w:tcPr/>
          <w:p>
            <w:pPr>
              <w:pStyle w:val="Compact"/>
            </w:pPr>
            <w:r>
              <w:t xml:space="preserve">Supports habit formation theory and ensures realistic expectations; aligns with educational approach.</w:t>
            </w:r>
          </w:p>
        </w:tc>
        <w:tc>
          <w:tcPr/>
          <w:p>
            <w:pPr>
              <w:pStyle w:val="Compact"/>
            </w:pPr>
            <w:r>
              <w:t xml:space="preserve">Include implementation intention exercises in relevant modules; design questions to capture cues and plan; integrate into Today’s directive generation.</w:t>
            </w:r>
          </w:p>
        </w:tc>
      </w:tr>
      <w:tr>
        <w:tc>
          <w:tcPr/>
          <w:p>
            <w:pPr>
              <w:pStyle w:val="Compact"/>
            </w:pPr>
            <w:r>
              <w:t xml:space="preserve">18</w:t>
            </w:r>
          </w:p>
        </w:tc>
        <w:tc>
          <w:tcPr/>
          <w:p>
            <w:pPr>
              <w:pStyle w:val="Compact"/>
            </w:pPr>
            <w:r>
              <w:rPr>
                <w:b/>
                <w:bCs/>
              </w:rPr>
              <w:t xml:space="preserve">Encourage clear, challenging yet attainable goals with feedback</w:t>
            </w:r>
            <w:r>
              <w:t xml:space="preserve"> </w:t>
            </w:r>
            <w:r>
              <w:t xml:space="preserve">– motivate users to set specific goals linked to personal values and identity and revisit progress regularly.</w:t>
            </w:r>
          </w:p>
        </w:tc>
        <w:tc>
          <w:tcPr/>
          <w:p>
            <w:pPr>
              <w:pStyle w:val="Compact"/>
            </w:pPr>
            <w:r>
              <w:t xml:space="preserve">Evidence map highlights that specific, challenging goals with feedback improve performance and that goals linked to values and future self increase self‑integration</w:t>
            </w:r>
            <w:hyperlink r:id="rId21">
              <w:r>
                <w:rPr>
                  <w:rStyle w:val="Hyperlink"/>
                </w:rPr>
                <w:t xml:space="preserve">[1]</w:t>
              </w:r>
            </w:hyperlink>
            <w:r>
              <w:t xml:space="preserve">.</w:t>
            </w:r>
          </w:p>
        </w:tc>
        <w:tc>
          <w:tcPr/>
          <w:p>
            <w:pPr>
              <w:pStyle w:val="Compact"/>
            </w:pPr>
            <w:r>
              <w:t xml:space="preserve">Module content; question design; Today Directive.</w:t>
            </w:r>
          </w:p>
        </w:tc>
        <w:tc>
          <w:tcPr/>
          <w:p>
            <w:pPr>
              <w:pStyle w:val="Compact"/>
            </w:pPr>
            <w:r>
              <w:t xml:space="preserve">Aligns goals with values, improving motivation and persistence; requires goal‑tracking features.</w:t>
            </w:r>
          </w:p>
        </w:tc>
        <w:tc>
          <w:tcPr/>
          <w:p>
            <w:pPr>
              <w:pStyle w:val="Compact"/>
            </w:pPr>
            <w:r>
              <w:rPr>
                <w:b/>
                <w:bCs/>
              </w:rPr>
              <w:t xml:space="preserve">ACCEPT</w:t>
            </w:r>
          </w:p>
        </w:tc>
        <w:tc>
          <w:tcPr/>
          <w:p>
            <w:pPr>
              <w:pStyle w:val="Compact"/>
            </w:pPr>
            <w:r>
              <w:t xml:space="preserve">Fits core product truth of installing a personal OS; strengthens identity alignment and motivation.</w:t>
            </w:r>
          </w:p>
        </w:tc>
        <w:tc>
          <w:tcPr/>
          <w:p>
            <w:pPr>
              <w:pStyle w:val="Compact"/>
            </w:pPr>
            <w:r>
              <w:t xml:space="preserve">Incorporate goal‑setting exercises in the Goals &amp; Missions module; provide feedback loops via Today and Review modules.</w:t>
            </w:r>
          </w:p>
        </w:tc>
      </w:tr>
      <w:tr>
        <w:tc>
          <w:tcPr/>
          <w:p>
            <w:pPr>
              <w:pStyle w:val="Compact"/>
            </w:pPr>
            <w:r>
              <w:t xml:space="preserve">19</w:t>
            </w:r>
          </w:p>
        </w:tc>
        <w:tc>
          <w:tcPr/>
          <w:p>
            <w:pPr>
              <w:pStyle w:val="Compact"/>
            </w:pPr>
            <w:r>
              <w:rPr>
                <w:b/>
                <w:bCs/>
              </w:rPr>
              <w:t xml:space="preserve">Limit high‑intensity emotional prompts and provide warnings</w:t>
            </w:r>
            <w:r>
              <w:t xml:space="preserve"> </w:t>
            </w:r>
            <w:r>
              <w:t xml:space="preserve">– ask fewer distressing questions, offer skip/pause options, and display crisis resources.</w:t>
            </w:r>
          </w:p>
        </w:tc>
        <w:tc>
          <w:tcPr/>
          <w:p>
            <w:pPr>
              <w:pStyle w:val="Compact"/>
            </w:pPr>
            <w:r>
              <w:t xml:space="preserve">Research on emotional risks shows that asking about distressing topics can temporarily increase distress; question design should limit high‑intensity prompts and provide safeguards</w:t>
            </w:r>
            <w:hyperlink r:id="rId21">
              <w:r>
                <w:rPr>
                  <w:rStyle w:val="Hyperlink"/>
                </w:rPr>
                <w:t xml:space="preserve">[3]</w:t>
              </w:r>
            </w:hyperlink>
            <w:r>
              <w:t xml:space="preserve">.</w:t>
            </w:r>
          </w:p>
        </w:tc>
        <w:tc>
          <w:tcPr/>
          <w:p>
            <w:pPr>
              <w:pStyle w:val="Compact"/>
            </w:pPr>
            <w:r>
              <w:t xml:space="preserve">Question design; safety; user testing.</w:t>
            </w:r>
          </w:p>
        </w:tc>
        <w:tc>
          <w:tcPr/>
          <w:p>
            <w:pPr>
              <w:pStyle w:val="Compact"/>
            </w:pPr>
            <w:r>
              <w:t xml:space="preserve">Protects users from emotional harm; ensures product does not resemble therapy.</w:t>
            </w:r>
          </w:p>
        </w:tc>
        <w:tc>
          <w:tcPr/>
          <w:p>
            <w:pPr>
              <w:pStyle w:val="Compact"/>
            </w:pPr>
            <w:r>
              <w:rPr>
                <w:b/>
                <w:bCs/>
              </w:rPr>
              <w:t xml:space="preserve">ACCEPT</w:t>
            </w:r>
          </w:p>
        </w:tc>
        <w:tc>
          <w:tcPr/>
          <w:p>
            <w:pPr>
              <w:pStyle w:val="Compact"/>
            </w:pPr>
            <w:r>
              <w:t xml:space="preserve">Critical for safety; prevents harm and legal risk.</w:t>
            </w:r>
          </w:p>
        </w:tc>
        <w:tc>
          <w:tcPr/>
          <w:p>
            <w:pPr>
              <w:pStyle w:val="Compact"/>
            </w:pPr>
            <w:r>
              <w:t xml:space="preserve">Design branching logic to allow skipping or pausing; add content warnings and crisis links near high‑intensity prompts.</w:t>
            </w:r>
          </w:p>
        </w:tc>
      </w:tr>
      <w:tr>
        <w:tc>
          <w:tcPr/>
          <w:p>
            <w:pPr>
              <w:pStyle w:val="Compact"/>
            </w:pPr>
            <w:r>
              <w:t xml:space="preserve">20</w:t>
            </w:r>
          </w:p>
        </w:tc>
        <w:tc>
          <w:tcPr/>
          <w:p>
            <w:pPr>
              <w:pStyle w:val="Compact"/>
            </w:pPr>
            <w:r>
              <w:rPr>
                <w:b/>
                <w:bCs/>
              </w:rPr>
              <w:t xml:space="preserve">Avoid large ranking tasks; use rating scales instead</w:t>
            </w:r>
            <w:r>
              <w:t xml:space="preserve"> </w:t>
            </w:r>
            <w:r>
              <w:t xml:space="preserve">– ranking scales force differentiation but may be perceived as overwhelming; rating scales with clear anchors are simpler and less fatiguing.</w:t>
            </w:r>
          </w:p>
        </w:tc>
        <w:tc>
          <w:tcPr/>
          <w:p>
            <w:pPr>
              <w:pStyle w:val="Compact"/>
            </w:pPr>
            <w:r>
              <w:t xml:space="preserve">Evidence map points out that ranking scales force differentiation but may be overwhelming, while rating scales are familiar and low effort</w:t>
            </w:r>
            <w:hyperlink r:id="rId21">
              <w:r>
                <w:rPr>
                  <w:rStyle w:val="Hyperlink"/>
                </w:rPr>
                <w:t xml:space="preserve">[3]</w:t>
              </w:r>
            </w:hyperlink>
            <w:r>
              <w:t xml:space="preserve">.</w:t>
            </w:r>
          </w:p>
        </w:tc>
        <w:tc>
          <w:tcPr/>
          <w:p>
            <w:pPr>
              <w:pStyle w:val="Compact"/>
            </w:pPr>
            <w:r>
              <w:t xml:space="preserve">Question design.</w:t>
            </w:r>
          </w:p>
        </w:tc>
        <w:tc>
          <w:tcPr/>
          <w:p>
            <w:pPr>
              <w:pStyle w:val="Compact"/>
            </w:pPr>
            <w:r>
              <w:t xml:space="preserve">Reduces cognitive load and improves data quality.</w:t>
            </w:r>
          </w:p>
        </w:tc>
        <w:tc>
          <w:tcPr/>
          <w:p>
            <w:pPr>
              <w:pStyle w:val="Compact"/>
            </w:pPr>
            <w:r>
              <w:rPr>
                <w:b/>
                <w:bCs/>
              </w:rPr>
              <w:t xml:space="preserve">ACCEPT</w:t>
            </w:r>
          </w:p>
        </w:tc>
        <w:tc>
          <w:tcPr/>
          <w:p>
            <w:pPr>
              <w:pStyle w:val="Compact"/>
            </w:pPr>
            <w:r>
              <w:t xml:space="preserve">Supports user experience; easier to implement.</w:t>
            </w:r>
          </w:p>
        </w:tc>
        <w:tc>
          <w:tcPr/>
          <w:p>
            <w:pPr>
              <w:pStyle w:val="Compact"/>
            </w:pPr>
            <w:r>
              <w:t xml:space="preserve">Prefer rating scales with 5–7 points; limit ranking to small sets of top items (3–5).</w:t>
            </w:r>
          </w:p>
        </w:tc>
      </w:tr>
      <w:tr>
        <w:tc>
          <w:tcPr/>
          <w:p>
            <w:pPr>
              <w:pStyle w:val="Compact"/>
            </w:pPr>
            <w:r>
              <w:t xml:space="preserve">21</w:t>
            </w:r>
          </w:p>
        </w:tc>
        <w:tc>
          <w:tcPr/>
          <w:p>
            <w:pPr>
              <w:pStyle w:val="Compact"/>
            </w:pPr>
            <w:r>
              <w:rPr>
                <w:b/>
                <w:bCs/>
              </w:rPr>
              <w:t xml:space="preserve">Use plain language and avoid clinical or diagnostic terms</w:t>
            </w:r>
            <w:r>
              <w:t xml:space="preserve"> </w:t>
            </w:r>
            <w:r>
              <w:t xml:space="preserve">– adopt collaborative, autonomy‑supportive wording; summarise user input and confirm understanding.</w:t>
            </w:r>
          </w:p>
        </w:tc>
        <w:tc>
          <w:tcPr/>
          <w:p>
            <w:pPr>
              <w:pStyle w:val="Compact"/>
            </w:pPr>
            <w:r>
              <w:t xml:space="preserve">Wording style section calls for plain, simple language, avoidance of clinical labels and prescriptive/shaming language, and adoption of autonomy‑supportive tone</w:t>
            </w:r>
            <w:hyperlink r:id="rId21">
              <w:r>
                <w:rPr>
                  <w:rStyle w:val="Hyperlink"/>
                </w:rPr>
                <w:t xml:space="preserve">[3]</w:t>
              </w:r>
            </w:hyperlink>
            <w:r>
              <w:t xml:space="preserve">.</w:t>
            </w:r>
          </w:p>
        </w:tc>
        <w:tc>
          <w:tcPr/>
          <w:p>
            <w:pPr>
              <w:pStyle w:val="Compact"/>
            </w:pPr>
            <w:r>
              <w:t xml:space="preserve">Wording style; AI interpretation; safety.</w:t>
            </w:r>
          </w:p>
        </w:tc>
        <w:tc>
          <w:tcPr/>
          <w:p>
            <w:pPr>
              <w:pStyle w:val="Compact"/>
            </w:pPr>
            <w:r>
              <w:t xml:space="preserve">Ensures safe, premium feel; reduces risk of misinterpretation or offence.</w:t>
            </w:r>
          </w:p>
        </w:tc>
        <w:tc>
          <w:tcPr/>
          <w:p>
            <w:pPr>
              <w:pStyle w:val="Compact"/>
            </w:pPr>
            <w:r>
              <w:rPr>
                <w:b/>
                <w:bCs/>
              </w:rPr>
              <w:t xml:space="preserve">ACCEPT</w:t>
            </w:r>
          </w:p>
        </w:tc>
        <w:tc>
          <w:tcPr/>
          <w:p>
            <w:pPr>
              <w:pStyle w:val="Compact"/>
            </w:pPr>
            <w:r>
              <w:t xml:space="preserve">Essential to differentiate the product from therapy and maintain trust.</w:t>
            </w:r>
          </w:p>
        </w:tc>
        <w:tc>
          <w:tcPr/>
          <w:p>
            <w:pPr>
              <w:pStyle w:val="Compact"/>
            </w:pPr>
            <w:r>
              <w:t xml:space="preserve">Incorporate guidelines into wording and tone guide; train content creators and adjust AI prompts accordingly.</w:t>
            </w:r>
          </w:p>
        </w:tc>
      </w:tr>
      <w:tr>
        <w:tc>
          <w:tcPr/>
          <w:p>
            <w:pPr>
              <w:pStyle w:val="Compact"/>
            </w:pPr>
            <w:r>
              <w:t xml:space="preserve">22</w:t>
            </w:r>
          </w:p>
        </w:tc>
        <w:tc>
          <w:tcPr/>
          <w:p>
            <w:pPr>
              <w:pStyle w:val="Compact"/>
            </w:pPr>
            <w:r>
              <w:rPr>
                <w:b/>
                <w:bCs/>
              </w:rPr>
              <w:t xml:space="preserve">Build privacy by design (local storage, encryption, user consent)</w:t>
            </w:r>
            <w:r>
              <w:t xml:space="preserve"> </w:t>
            </w:r>
            <w:r>
              <w:t xml:space="preserve">– store data locally, encrypt cloud data, obtain explicit consent for sharing and modifications.</w:t>
            </w:r>
          </w:p>
        </w:tc>
        <w:tc>
          <w:tcPr/>
          <w:p>
            <w:pPr>
              <w:pStyle w:val="Compact"/>
            </w:pPr>
            <w:r>
              <w:t xml:space="preserve">Safety and limits and recommended changes emphasise privacy controls and user consent</w:t>
            </w:r>
            <w:hyperlink r:id="rId21">
              <w:r>
                <w:rPr>
                  <w:rStyle w:val="Hyperlink"/>
                </w:rPr>
                <w:t xml:space="preserve">[3]</w:t>
              </w:r>
            </w:hyperlink>
            <w:hyperlink r:id="rId21">
              <w:r>
                <w:rPr>
                  <w:rStyle w:val="Hyperlink"/>
                </w:rPr>
                <w:t xml:space="preserve">[2]</w:t>
              </w:r>
            </w:hyperlink>
            <w:r>
              <w:t xml:space="preserve">.</w:t>
            </w:r>
          </w:p>
        </w:tc>
        <w:tc>
          <w:tcPr/>
          <w:p>
            <w:pPr>
              <w:pStyle w:val="Compact"/>
            </w:pPr>
            <w:r>
              <w:t xml:space="preserve">Technical build; My OS memory; safety.</w:t>
            </w:r>
          </w:p>
        </w:tc>
        <w:tc>
          <w:tcPr/>
          <w:p>
            <w:pPr>
              <w:pStyle w:val="Compact"/>
            </w:pPr>
            <w:r>
              <w:t xml:space="preserve">Enhances trust and meets legal requirements; may increase technical complexity.</w:t>
            </w:r>
          </w:p>
        </w:tc>
        <w:tc>
          <w:tcPr/>
          <w:p>
            <w:pPr>
              <w:pStyle w:val="Compact"/>
            </w:pPr>
            <w:r>
              <w:rPr>
                <w:b/>
                <w:bCs/>
              </w:rPr>
              <w:t xml:space="preserve">ACCEPT</w:t>
            </w:r>
          </w:p>
        </w:tc>
        <w:tc>
          <w:tcPr/>
          <w:p>
            <w:pPr>
              <w:pStyle w:val="Compact"/>
            </w:pPr>
            <w:r>
              <w:t xml:space="preserve">Non‑negotiable for user ownership and regulatory compliance.</w:t>
            </w:r>
          </w:p>
        </w:tc>
        <w:tc>
          <w:tcPr/>
          <w:p>
            <w:pPr>
              <w:pStyle w:val="Compact"/>
            </w:pPr>
            <w:r>
              <w:t xml:space="preserve">Develop local memory architecture; implement encryption for optional cloud storage; provide user control UI.</w:t>
            </w:r>
          </w:p>
        </w:tc>
      </w:tr>
      <w:tr>
        <w:tc>
          <w:tcPr/>
          <w:p>
            <w:pPr>
              <w:pStyle w:val="Compact"/>
            </w:pPr>
            <w:r>
              <w:t xml:space="preserve">23</w:t>
            </w:r>
          </w:p>
        </w:tc>
        <w:tc>
          <w:tcPr/>
          <w:p>
            <w:pPr>
              <w:pStyle w:val="Compact"/>
            </w:pPr>
            <w:r>
              <w:rPr>
                <w:b/>
                <w:bCs/>
              </w:rPr>
              <w:t xml:space="preserve">Avoid therapy, diagnosis and high‑impact decision automation</w:t>
            </w:r>
            <w:r>
              <w:t xml:space="preserve"> </w:t>
            </w:r>
            <w:r>
              <w:t xml:space="preserve">– do not include therapeutic interventions, diagnostics or advice in mental, physical, legal or financial domains; avoid automated scheduling without consent.</w:t>
            </w:r>
          </w:p>
        </w:tc>
        <w:tc>
          <w:tcPr/>
          <w:p>
            <w:pPr>
              <w:pStyle w:val="Compact"/>
            </w:pPr>
            <w:r>
              <w:t xml:space="preserve">What should not be built yet section warns against therapy or diagnosis features, high‑impact decision automation, automatic scheduling and data sharing without robust privacy protections</w:t>
            </w:r>
            <w:hyperlink r:id="rId21">
              <w:r>
                <w:rPr>
                  <w:rStyle w:val="Hyperlink"/>
                </w:rPr>
                <w:t xml:space="preserve">[2]</w:t>
              </w:r>
            </w:hyperlink>
            <w:r>
              <w:t xml:space="preserve">.</w:t>
            </w:r>
          </w:p>
        </w:tc>
        <w:tc>
          <w:tcPr/>
          <w:p>
            <w:pPr>
              <w:pStyle w:val="Compact"/>
            </w:pPr>
            <w:r>
              <w:t xml:space="preserve">Safety; technical build; Today; Ask AI.</w:t>
            </w:r>
          </w:p>
        </w:tc>
        <w:tc>
          <w:tcPr/>
          <w:p>
            <w:pPr>
              <w:pStyle w:val="Compact"/>
            </w:pPr>
            <w:r>
              <w:t xml:space="preserve">Prevents legal and ethical violations; clarifies scope.</w:t>
            </w:r>
          </w:p>
        </w:tc>
        <w:tc>
          <w:tcPr/>
          <w:p>
            <w:pPr>
              <w:pStyle w:val="Compact"/>
            </w:pPr>
            <w:r>
              <w:rPr>
                <w:b/>
                <w:bCs/>
              </w:rPr>
              <w:t xml:space="preserve">ACCEPT / REJECT</w:t>
            </w:r>
            <w:r>
              <w:t xml:space="preserve"> </w:t>
            </w:r>
            <w:r>
              <w:t xml:space="preserve">(i.e., reject those features)</w:t>
            </w:r>
          </w:p>
        </w:tc>
        <w:tc>
          <w:tcPr/>
          <w:p>
            <w:pPr>
              <w:pStyle w:val="Compact"/>
            </w:pPr>
            <w:r>
              <w:t xml:space="preserve">These features are explicitly outside the BecomingOS scope; rejecting them preserves product integrity and safety.</w:t>
            </w:r>
          </w:p>
        </w:tc>
        <w:tc>
          <w:tcPr/>
          <w:p>
            <w:pPr>
              <w:pStyle w:val="Compact"/>
            </w:pPr>
            <w:r>
              <w:t xml:space="preserve">Exclude therapy or diagnostic features from design; ensure AI cannot offer high‑impact advice; require user confirmation before scheduling or life‑altering actions.</w:t>
            </w:r>
          </w:p>
        </w:tc>
      </w:tr>
    </w:tbl>
    <w:bookmarkStart w:id="22" w:name="top-10-most-important-recommendations"/>
    <w:p>
      <w:pPr>
        <w:pStyle w:val="Heading2"/>
      </w:pPr>
      <w:r>
        <w:t xml:space="preserve">Top 10 Most Important Recommendations</w:t>
      </w:r>
    </w:p>
    <w:p>
      <w:pPr>
        <w:pStyle w:val="Compact"/>
        <w:numPr>
          <w:ilvl w:val="0"/>
          <w:numId w:val="1001"/>
        </w:numPr>
      </w:pPr>
      <w:r>
        <w:rPr>
          <w:b/>
          <w:bCs/>
        </w:rPr>
        <w:t xml:space="preserve">Embed COM‑B assessments</w:t>
      </w:r>
      <w:r>
        <w:t xml:space="preserve"> </w:t>
      </w:r>
      <w:r>
        <w:t xml:space="preserve">– ensures interventions address capability, opportunity and motivation.</w:t>
      </w:r>
    </w:p>
    <w:p>
      <w:pPr>
        <w:pStyle w:val="Compact"/>
        <w:numPr>
          <w:ilvl w:val="0"/>
          <w:numId w:val="1001"/>
        </w:numPr>
      </w:pPr>
      <w:r>
        <w:rPr>
          <w:b/>
          <w:bCs/>
        </w:rPr>
        <w:t xml:space="preserve">Add values clarification modules</w:t>
      </w:r>
      <w:r>
        <w:t xml:space="preserve"> </w:t>
      </w:r>
      <w:r>
        <w:t xml:space="preserve">– grounds the OS in personal meaning.</w:t>
      </w:r>
    </w:p>
    <w:p>
      <w:pPr>
        <w:pStyle w:val="Compact"/>
        <w:numPr>
          <w:ilvl w:val="0"/>
          <w:numId w:val="1001"/>
        </w:numPr>
      </w:pPr>
      <w:r>
        <w:rPr>
          <w:b/>
          <w:bCs/>
        </w:rPr>
        <w:t xml:space="preserve">Develop a wording style guide</w:t>
      </w:r>
      <w:r>
        <w:t xml:space="preserve"> </w:t>
      </w:r>
      <w:r>
        <w:t xml:space="preserve">– maintains a calm, non‑clinical voice.</w:t>
      </w:r>
    </w:p>
    <w:p>
      <w:pPr>
        <w:pStyle w:val="Compact"/>
        <w:numPr>
          <w:ilvl w:val="0"/>
          <w:numId w:val="1001"/>
        </w:numPr>
      </w:pPr>
      <w:r>
        <w:rPr>
          <w:b/>
          <w:bCs/>
        </w:rPr>
        <w:t xml:space="preserve">Design structured AI interpretation architecture</w:t>
      </w:r>
      <w:r>
        <w:t xml:space="preserve"> </w:t>
      </w:r>
      <w:r>
        <w:t xml:space="preserve">– ensures transparency and user control.</w:t>
      </w:r>
    </w:p>
    <w:p>
      <w:pPr>
        <w:pStyle w:val="Compact"/>
        <w:numPr>
          <w:ilvl w:val="0"/>
          <w:numId w:val="1001"/>
        </w:numPr>
      </w:pPr>
      <w:r>
        <w:rPr>
          <w:b/>
          <w:bCs/>
        </w:rPr>
        <w:t xml:space="preserve">Strengthen safety measures and privacy protections</w:t>
      </w:r>
      <w:r>
        <w:t xml:space="preserve"> </w:t>
      </w:r>
      <w:r>
        <w:t xml:space="preserve">– critical for legal compliance and user trust.</w:t>
      </w:r>
    </w:p>
    <w:p>
      <w:pPr>
        <w:pStyle w:val="Compact"/>
        <w:numPr>
          <w:ilvl w:val="0"/>
          <w:numId w:val="1001"/>
        </w:numPr>
      </w:pPr>
      <w:r>
        <w:rPr>
          <w:b/>
          <w:bCs/>
        </w:rPr>
        <w:t xml:space="preserve">Revise question design</w:t>
      </w:r>
      <w:r>
        <w:t xml:space="preserve"> </w:t>
      </w:r>
      <w:r>
        <w:t xml:space="preserve">– improves data quality and reduces fatigue.</w:t>
      </w:r>
    </w:p>
    <w:p>
      <w:pPr>
        <w:pStyle w:val="Compact"/>
        <w:numPr>
          <w:ilvl w:val="0"/>
          <w:numId w:val="1001"/>
        </w:numPr>
      </w:pPr>
      <w:r>
        <w:rPr>
          <w:b/>
          <w:bCs/>
        </w:rPr>
        <w:t xml:space="preserve">Apply adult learning and micro‑learning</w:t>
      </w:r>
      <w:r>
        <w:t xml:space="preserve"> </w:t>
      </w:r>
      <w:r>
        <w:t xml:space="preserve">– enhances engagement and retention.</w:t>
      </w:r>
    </w:p>
    <w:p>
      <w:pPr>
        <w:pStyle w:val="Compact"/>
        <w:numPr>
          <w:ilvl w:val="0"/>
          <w:numId w:val="1001"/>
        </w:numPr>
      </w:pPr>
      <w:r>
        <w:rPr>
          <w:b/>
          <w:bCs/>
        </w:rPr>
        <w:t xml:space="preserve">Encourage clear, challenging yet attainable goals with feedback</w:t>
      </w:r>
      <w:r>
        <w:t xml:space="preserve"> </w:t>
      </w:r>
      <w:r>
        <w:t xml:space="preserve">– ties actions to values and identity.</w:t>
      </w:r>
    </w:p>
    <w:p>
      <w:pPr>
        <w:pStyle w:val="Compact"/>
        <w:numPr>
          <w:ilvl w:val="0"/>
          <w:numId w:val="1001"/>
        </w:numPr>
      </w:pPr>
      <w:r>
        <w:rPr>
          <w:b/>
          <w:bCs/>
        </w:rPr>
        <w:t xml:space="preserve">Use implementation intentions and cue design</w:t>
      </w:r>
      <w:r>
        <w:t xml:space="preserve"> </w:t>
      </w:r>
      <w:r>
        <w:t xml:space="preserve">– bridges intention–behaviour gap.</w:t>
      </w:r>
    </w:p>
    <w:p>
      <w:pPr>
        <w:pStyle w:val="Compact"/>
        <w:numPr>
          <w:ilvl w:val="0"/>
          <w:numId w:val="1001"/>
        </w:numPr>
      </w:pPr>
      <w:r>
        <w:rPr>
          <w:b/>
          <w:bCs/>
        </w:rPr>
        <w:t xml:space="preserve">Limit high‑intensity prompts and avoid large ranking tasks</w:t>
      </w:r>
      <w:r>
        <w:t xml:space="preserve"> </w:t>
      </w:r>
      <w:r>
        <w:t xml:space="preserve">– protects user wellbeing.</w:t>
      </w:r>
    </w:p>
    <w:bookmarkEnd w:id="22"/>
    <w:bookmarkStart w:id="23" w:name="Xfd74e4d8cc53f1d54fed72709e6048be86cf97d"/>
    <w:p>
      <w:pPr>
        <w:pStyle w:val="Heading2"/>
      </w:pPr>
      <w:r>
        <w:t xml:space="preserve">Recommendations Confirming the Current BecomingOS Plan</w:t>
      </w:r>
    </w:p>
    <w:p>
      <w:pPr>
        <w:pStyle w:val="Compact"/>
        <w:numPr>
          <w:ilvl w:val="0"/>
          <w:numId w:val="1002"/>
        </w:numPr>
      </w:pPr>
      <w:r>
        <w:t xml:space="preserve">Emphasising values and identity as early modules confirms the proposed sequence of Values and Identity before Goals and Planning.</w:t>
      </w:r>
    </w:p>
    <w:p>
      <w:pPr>
        <w:pStyle w:val="Compact"/>
        <w:numPr>
          <w:ilvl w:val="0"/>
          <w:numId w:val="1002"/>
        </w:numPr>
      </w:pPr>
      <w:r>
        <w:t xml:space="preserve">Avoiding therapy or diagnosis aligns with the non‑clinical, educational positioning.</w:t>
      </w:r>
    </w:p>
    <w:p>
      <w:pPr>
        <w:pStyle w:val="Compact"/>
        <w:numPr>
          <w:ilvl w:val="0"/>
          <w:numId w:val="1002"/>
        </w:numPr>
      </w:pPr>
      <w:r>
        <w:t xml:space="preserve">Providing user confirmation and edit/reject flows for AI insights matches existing design principles.</w:t>
      </w:r>
    </w:p>
    <w:bookmarkEnd w:id="23"/>
    <w:bookmarkStart w:id="24" w:name="X8ec73f9cac921928532ea23269fdd41512a1467"/>
    <w:p>
      <w:pPr>
        <w:pStyle w:val="Heading2"/>
      </w:pPr>
      <w:r>
        <w:t xml:space="preserve">Recommendations Changing the Current BecomingOS Plan</w:t>
      </w:r>
    </w:p>
    <w:p>
      <w:pPr>
        <w:pStyle w:val="Compact"/>
        <w:numPr>
          <w:ilvl w:val="0"/>
          <w:numId w:val="1003"/>
        </w:numPr>
      </w:pPr>
      <w:r>
        <w:t xml:space="preserve">Embedding COM‑B assessments introduces capability and opportunity considerations, shifting the focus beyond motivation.</w:t>
      </w:r>
    </w:p>
    <w:p>
      <w:pPr>
        <w:pStyle w:val="Compact"/>
        <w:numPr>
          <w:ilvl w:val="0"/>
          <w:numId w:val="1003"/>
        </w:numPr>
      </w:pPr>
      <w:r>
        <w:t xml:space="preserve">Revising question design with forced‑choice and rating scales requires reworking the question engine.</w:t>
      </w:r>
    </w:p>
    <w:p>
      <w:pPr>
        <w:pStyle w:val="Compact"/>
        <w:numPr>
          <w:ilvl w:val="0"/>
          <w:numId w:val="1003"/>
        </w:numPr>
      </w:pPr>
      <w:r>
        <w:t xml:space="preserve">Implementing structured AI outputs and confidence scoring requires a new data architecture.</w:t>
      </w:r>
    </w:p>
    <w:p>
      <w:pPr>
        <w:pStyle w:val="Compact"/>
        <w:numPr>
          <w:ilvl w:val="0"/>
          <w:numId w:val="1003"/>
        </w:numPr>
      </w:pPr>
      <w:r>
        <w:t xml:space="preserve">Adding values clarification exercises may extend the Values module and require new content.</w:t>
      </w:r>
    </w:p>
    <w:bookmarkEnd w:id="24"/>
    <w:bookmarkStart w:id="25" w:name="recommendations-creating-new-risks"/>
    <w:p>
      <w:pPr>
        <w:pStyle w:val="Heading2"/>
      </w:pPr>
      <w:r>
        <w:t xml:space="preserve">Recommendations Creating New Risks</w:t>
      </w:r>
    </w:p>
    <w:p>
      <w:pPr>
        <w:pStyle w:val="Compact"/>
        <w:numPr>
          <w:ilvl w:val="0"/>
          <w:numId w:val="1004"/>
        </w:numPr>
      </w:pPr>
      <w:r>
        <w:t xml:space="preserve">Complex future‑self interventions (e.g., VR/AR) risk over‑scope and may cause confusion or distress if not carefully implemented; these are deferred.</w:t>
      </w:r>
    </w:p>
    <w:p>
      <w:pPr>
        <w:pStyle w:val="Compact"/>
        <w:numPr>
          <w:ilvl w:val="0"/>
          <w:numId w:val="1004"/>
        </w:numPr>
      </w:pPr>
      <w:r>
        <w:t xml:space="preserve">Branching logic may lead to inconsistent data across users; careful design is needed to ensure comparability.</w:t>
      </w:r>
    </w:p>
    <w:bookmarkEnd w:id="25"/>
    <w:bookmarkStart w:id="26" w:name="recommendations-deferred-until-after-mvp"/>
    <w:p>
      <w:pPr>
        <w:pStyle w:val="Heading2"/>
      </w:pPr>
      <w:r>
        <w:t xml:space="preserve">Recommendations Deferred until After MVP</w:t>
      </w:r>
    </w:p>
    <w:p>
      <w:pPr>
        <w:pStyle w:val="Compact"/>
        <w:numPr>
          <w:ilvl w:val="0"/>
          <w:numId w:val="1005"/>
        </w:numPr>
      </w:pPr>
      <w:r>
        <w:t xml:space="preserve">Future‑self and identity features involving immersive visualisations or VR/AR.</w:t>
      </w:r>
    </w:p>
    <w:p>
      <w:pPr>
        <w:pStyle w:val="Compact"/>
        <w:numPr>
          <w:ilvl w:val="0"/>
          <w:numId w:val="1005"/>
        </w:numPr>
      </w:pPr>
      <w:r>
        <w:t xml:space="preserve">Advanced AI model selection and safety framework decisions (technical details) – to be addressed after curriculum design.</w:t>
      </w:r>
    </w:p>
    <w:bookmarkEnd w:id="26"/>
    <w:bookmarkStart w:id="27" w:name="recommendations-rejected"/>
    <w:p>
      <w:pPr>
        <w:pStyle w:val="Heading2"/>
      </w:pPr>
      <w:r>
        <w:t xml:space="preserve">Recommendations Rejected</w:t>
      </w:r>
    </w:p>
    <w:p>
      <w:pPr>
        <w:pStyle w:val="Compact"/>
        <w:numPr>
          <w:ilvl w:val="0"/>
          <w:numId w:val="1006"/>
        </w:numPr>
      </w:pPr>
      <w:r>
        <w:t xml:space="preserve">Therapy or diagnosis features, high‑impact decision automation, automatic scheduling or life‑altering actions without consent, data sharing with third parties and emotionally intense interventions without safeguards are rejected because they violate safety boundaries and product positioning</w:t>
      </w:r>
      <w:hyperlink r:id="rId21">
        <w:r>
          <w:rPr>
            <w:rStyle w:val="Hyperlink"/>
          </w:rPr>
          <w:t xml:space="preserve">[2]</w:t>
        </w:r>
      </w:hyperlink>
      <w:r>
        <w:t xml:space="preserve">.</w:t>
      </w:r>
    </w:p>
    <w:bookmarkEnd w:id="27"/>
    <w:bookmarkStart w:id="28" w:name="recommendations-requiring-more-research"/>
    <w:p>
      <w:pPr>
        <w:pStyle w:val="Heading2"/>
      </w:pPr>
      <w:r>
        <w:t xml:space="preserve">Recommendations Requiring More Research</w:t>
      </w:r>
    </w:p>
    <w:p>
      <w:pPr>
        <w:pStyle w:val="Compact"/>
        <w:numPr>
          <w:ilvl w:val="0"/>
          <w:numId w:val="1007"/>
        </w:numPr>
      </w:pPr>
      <w:r>
        <w:t xml:space="preserve">Optimal length and media mix for micro‑learning lessons across diverse populations.</w:t>
      </w:r>
    </w:p>
    <w:p>
      <w:pPr>
        <w:pStyle w:val="Compact"/>
        <w:numPr>
          <w:ilvl w:val="0"/>
          <w:numId w:val="1007"/>
        </w:numPr>
      </w:pPr>
      <w:r>
        <w:t xml:space="preserve">Impact of forced‑choice vs ranking vs rating in self‑reflection contexts; further empirical testing is needed.</w:t>
      </w:r>
    </w:p>
    <w:p>
      <w:pPr>
        <w:pStyle w:val="Compact"/>
        <w:numPr>
          <w:ilvl w:val="0"/>
          <w:numId w:val="1007"/>
        </w:numPr>
      </w:pPr>
      <w:r>
        <w:t xml:space="preserve">Bias checking and fairness evaluation methods for AI summarisation in a personal development setting.</w:t>
      </w:r>
    </w:p>
    <w:p>
      <w:pPr>
        <w:pStyle w:val="Compact"/>
        <w:numPr>
          <w:ilvl w:val="0"/>
          <w:numId w:val="1007"/>
        </w:numPr>
      </w:pPr>
      <w:r>
        <w:t xml:space="preserve">Legal requirements across jurisdictions beyond the research scope (e.g., specifics of Australian privacy law, GDPR, CCPA). Further investigation with legal counsel is required.</w:t>
      </w:r>
    </w:p>
    <w:bookmarkEnd w:id="28"/>
    <w:bookmarkEnd w:id="29"/>
    <w:bookmarkEnd w:id="30"/>
    <w:p>
      <w:r>
        <w:pict>
          <v:rect style="width:0;height:1.5pt" o:hralign="center" o:hrstd="t" o:hr="t"/>
        </w:pict>
      </w:r>
    </w:p>
    <w:bookmarkStart w:id="3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[title unknown]</w:t>
      </w:r>
    </w:p>
    <w:p>
      <w:pPr>
        <w:pStyle w:val="BodyText"/>
      </w:pPr>
      <w:hyperlink r:id="rId21">
        <w:r>
          <w:rPr>
            <w:rStyle w:val="Hyperlink"/>
          </w:rPr>
          <w:t xml:space="preserve">file:///home/oai/share/Pasted%20text%20%282%29.txt</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file:///home/oai/share/Pasted%20text%20%282%29.txt" TargetMode="External" /></Relationships>
</file>

<file path=word/_rels/footnotes.xml.rels><?xml version="1.0" encoding="UTF-8"?><Relationships xmlns="http://schemas.openxmlformats.org/package/2006/relationships"><Relationship Type="http://schemas.openxmlformats.org/officeDocument/2006/relationships/hyperlink" Id="rId21" Target="file:///home/oai/share/Pasted%20text%20%282%29.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2026-05-14T13:25:31Z</dcterms:created>
  <dcterms:modified xsi:type="dcterms:W3CDTF">2026-05-14T13:25:31Z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