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calendar-and-review-model"/>
    <w:p>
      <w:pPr>
        <w:pStyle w:val="Heading1"/>
      </w:pPr>
      <w:r>
        <w:t xml:space="preserve">Calendar and Review Model</w:t>
      </w:r>
    </w:p>
    <w:p>
      <w:pPr>
        <w:pStyle w:val="FirstParagraph"/>
      </w:pPr>
      <w:r>
        <w:t xml:space="preserve">This document outlines how BecomingOS handles calendar alignment and review loops. The calendar is designed to support life alignment rather than simple scheduling. Reviews help the user reflect on daily actions and weekly patterns to continuously refine their personal OS.</w:t>
      </w:r>
    </w:p>
    <w:bookmarkStart w:id="21" w:name="calendar-inputs-in-mvp"/>
    <w:p>
      <w:pPr>
        <w:pStyle w:val="Heading2"/>
      </w:pPr>
      <w:r>
        <w:t xml:space="preserve">1. Calendar Inputs in MVP</w:t>
      </w:r>
    </w:p>
    <w:p>
      <w:pPr>
        <w:pStyle w:val="Compact"/>
        <w:numPr>
          <w:ilvl w:val="0"/>
          <w:numId w:val="1001"/>
        </w:numPr>
      </w:pPr>
      <w:r>
        <w:rPr>
          <w:b/>
          <w:bCs/>
        </w:rPr>
        <w:t xml:space="preserve">Fixed Commitments:</w:t>
      </w:r>
      <w:r>
        <w:t xml:space="preserve"> </w:t>
      </w:r>
      <w:r>
        <w:t xml:space="preserve">Obligations that cannot be moved (e.g., work hours, appointments, family events). Users enter or import these manually; the system does not infer them.</w:t>
      </w:r>
    </w:p>
    <w:p>
      <w:pPr>
        <w:pStyle w:val="Compact"/>
        <w:numPr>
          <w:ilvl w:val="0"/>
          <w:numId w:val="1001"/>
        </w:numPr>
      </w:pPr>
      <w:r>
        <w:rPr>
          <w:b/>
          <w:bCs/>
        </w:rPr>
        <w:t xml:space="preserve">Flexible Commitments:</w:t>
      </w:r>
      <w:r>
        <w:t xml:space="preserve"> </w:t>
      </w:r>
      <w:r>
        <w:t xml:space="preserve">Activities that can be scheduled at various times (e.g., exercise, study). Users categorise commitments as flexible and specify desired frequency or duration.</w:t>
      </w:r>
    </w:p>
    <w:p>
      <w:pPr>
        <w:pStyle w:val="Compact"/>
        <w:numPr>
          <w:ilvl w:val="0"/>
          <w:numId w:val="1001"/>
        </w:numPr>
      </w:pPr>
      <w:r>
        <w:rPr>
          <w:b/>
          <w:bCs/>
        </w:rPr>
        <w:t xml:space="preserve">Energy Windows:</w:t>
      </w:r>
      <w:r>
        <w:t xml:space="preserve"> </w:t>
      </w:r>
      <w:r>
        <w:t xml:space="preserve">Times of day when the user feels most and least energised. Collected through questions in the Planning &amp; Calendar module.</w:t>
      </w:r>
    </w:p>
    <w:p>
      <w:pPr>
        <w:pStyle w:val="Compact"/>
        <w:numPr>
          <w:ilvl w:val="0"/>
          <w:numId w:val="1001"/>
        </w:numPr>
      </w:pPr>
      <w:r>
        <w:rPr>
          <w:b/>
          <w:bCs/>
        </w:rPr>
        <w:t xml:space="preserve">Risk Windows:</w:t>
      </w:r>
      <w:r>
        <w:t xml:space="preserve"> </w:t>
      </w:r>
      <w:r>
        <w:t xml:space="preserve">Times of day or situations prone to negative patterns or triggers (e.g., late nights when procrastination occurs). Collected from identity and pattern reflections.</w:t>
      </w:r>
    </w:p>
    <w:p>
      <w:pPr>
        <w:pStyle w:val="Compact"/>
        <w:numPr>
          <w:ilvl w:val="0"/>
          <w:numId w:val="1001"/>
        </w:numPr>
      </w:pPr>
      <w:r>
        <w:rPr>
          <w:b/>
          <w:bCs/>
        </w:rPr>
        <w:t xml:space="preserve">Goal Activities:</w:t>
      </w:r>
      <w:r>
        <w:t xml:space="preserve"> </w:t>
      </w:r>
      <w:r>
        <w:t xml:space="preserve">Sessions or tasks derived from missions and goals (e.g., “Work on project,” “Run 5 km”). Linked to implementation intentions.</w:t>
      </w:r>
    </w:p>
    <w:p>
      <w:pPr>
        <w:pStyle w:val="Compact"/>
        <w:numPr>
          <w:ilvl w:val="0"/>
          <w:numId w:val="1001"/>
        </w:numPr>
      </w:pPr>
      <w:r>
        <w:rPr>
          <w:b/>
          <w:bCs/>
        </w:rPr>
        <w:t xml:space="preserve">Needs Activities:</w:t>
      </w:r>
      <w:r>
        <w:t xml:space="preserve"> </w:t>
      </w:r>
      <w:r>
        <w:t xml:space="preserve">Activities designed to meet unmet needs (e.g., “Call a friend,” “Spend time outdoors”).</w:t>
      </w:r>
    </w:p>
    <w:p>
      <w:pPr>
        <w:pStyle w:val="Compact"/>
        <w:numPr>
          <w:ilvl w:val="0"/>
          <w:numId w:val="1001"/>
        </w:numPr>
      </w:pPr>
      <w:r>
        <w:rPr>
          <w:b/>
          <w:bCs/>
        </w:rPr>
        <w:t xml:space="preserve">Calendar Preferences:</w:t>
      </w:r>
      <w:r>
        <w:t xml:space="preserve"> </w:t>
      </w:r>
      <w:r>
        <w:t xml:space="preserve">User preferences on notification timing, scheduling suggestions and consent for external calendar integration.</w:t>
      </w:r>
    </w:p>
    <w:bookmarkEnd w:id="21"/>
    <w:bookmarkStart w:id="22" w:name="manual-calendar-vs-import"/>
    <w:p>
      <w:pPr>
        <w:pStyle w:val="Heading2"/>
      </w:pPr>
      <w:r>
        <w:t xml:space="preserve">2. Manual Calendar vs Import</w:t>
      </w:r>
    </w:p>
    <w:p>
      <w:pPr>
        <w:pStyle w:val="FirstParagraph"/>
      </w:pPr>
      <w:r>
        <w:t xml:space="preserve">For the MVP, the calendar will be manual by default. Users can:</w:t>
      </w:r>
    </w:p>
    <w:p>
      <w:pPr>
        <w:pStyle w:val="Compact"/>
        <w:numPr>
          <w:ilvl w:val="0"/>
          <w:numId w:val="1002"/>
        </w:numPr>
      </w:pPr>
      <w:r>
        <w:t xml:space="preserve">Add events directly into the BecomingOS calendar.</w:t>
      </w:r>
    </w:p>
    <w:p>
      <w:pPr>
        <w:pStyle w:val="Compact"/>
        <w:numPr>
          <w:ilvl w:val="0"/>
          <w:numId w:val="1002"/>
        </w:numPr>
      </w:pPr>
      <w:r>
        <w:t xml:space="preserve">Mark events as fixed or flexible.</w:t>
      </w:r>
    </w:p>
    <w:p>
      <w:pPr>
        <w:pStyle w:val="Compact"/>
        <w:numPr>
          <w:ilvl w:val="0"/>
          <w:numId w:val="1002"/>
        </w:numPr>
      </w:pPr>
      <w:r>
        <w:t xml:space="preserve">Tag events with associated values, needs or goals.</w:t>
      </w:r>
    </w:p>
    <w:p>
      <w:pPr>
        <w:pStyle w:val="Compact"/>
        <w:numPr>
          <w:ilvl w:val="0"/>
          <w:numId w:val="1002"/>
        </w:numPr>
      </w:pPr>
      <w:r>
        <w:t xml:space="preserve">Optionally import events from external calendars if they choose, with clear consent and ability to remove imported data.</w:t>
      </w:r>
    </w:p>
    <w:p>
      <w:pPr>
        <w:pStyle w:val="FirstParagraph"/>
      </w:pPr>
      <w:r>
        <w:t xml:space="preserve">No automatic write‑back to external calendars is allowed. All changes require user confirmation.</w:t>
      </w:r>
    </w:p>
    <w:bookmarkEnd w:id="22"/>
    <w:bookmarkStart w:id="23" w:name="Xb3b2e3f75d3e90c0ed743f9b7584a59656164ee"/>
    <w:p>
      <w:pPr>
        <w:pStyle w:val="Heading2"/>
      </w:pPr>
      <w:r>
        <w:t xml:space="preserve">3. Distinguishing Fixed and Flexible Commitments</w:t>
      </w:r>
    </w:p>
    <w:p>
      <w:pPr>
        <w:pStyle w:val="FirstParagraph"/>
      </w:pPr>
      <w:r>
        <w:t xml:space="preserve">During the Planning &amp; Calendar module, users label each commitment as:</w:t>
      </w:r>
    </w:p>
    <w:p>
      <w:pPr>
        <w:pStyle w:val="Compact"/>
        <w:numPr>
          <w:ilvl w:val="0"/>
          <w:numId w:val="1003"/>
        </w:numPr>
      </w:pPr>
      <w:r>
        <w:rPr>
          <w:b/>
          <w:bCs/>
        </w:rPr>
        <w:t xml:space="preserve">Fixed:</w:t>
      </w:r>
      <w:r>
        <w:t xml:space="preserve"> </w:t>
      </w:r>
      <w:r>
        <w:t xml:space="preserve">Date/time cannot change without serious consequences.</w:t>
      </w:r>
    </w:p>
    <w:p>
      <w:pPr>
        <w:pStyle w:val="Compact"/>
        <w:numPr>
          <w:ilvl w:val="0"/>
          <w:numId w:val="1003"/>
        </w:numPr>
      </w:pPr>
      <w:r>
        <w:rPr>
          <w:b/>
          <w:bCs/>
        </w:rPr>
        <w:t xml:space="preserve">Flexible:</w:t>
      </w:r>
      <w:r>
        <w:t xml:space="preserve"> </w:t>
      </w:r>
      <w:r>
        <w:t xml:space="preserve">Date/time can move as long as the commitment is honoured within a time frame.</w:t>
      </w:r>
    </w:p>
    <w:p>
      <w:pPr>
        <w:pStyle w:val="Compact"/>
        <w:numPr>
          <w:ilvl w:val="0"/>
          <w:numId w:val="1003"/>
        </w:numPr>
      </w:pPr>
      <w:r>
        <w:rPr>
          <w:b/>
          <w:bCs/>
        </w:rPr>
        <w:t xml:space="preserve">Optional:</w:t>
      </w:r>
      <w:r>
        <w:t xml:space="preserve"> </w:t>
      </w:r>
      <w:r>
        <w:t xml:space="preserve">Nice to do but not required (optional activities become candidates for removal when schedules conflict).</w:t>
      </w:r>
    </w:p>
    <w:p>
      <w:pPr>
        <w:pStyle w:val="FirstParagraph"/>
      </w:pPr>
      <w:r>
        <w:t xml:space="preserve">The calendar engine uses these labels to avoid scheduling goals or needs during fixed commitments and to suggest adjustments within flexible commitments.</w:t>
      </w:r>
    </w:p>
    <w:bookmarkEnd w:id="23"/>
    <w:bookmarkStart w:id="24" w:name="capturing-energy-windows"/>
    <w:p>
      <w:pPr>
        <w:pStyle w:val="Heading2"/>
      </w:pPr>
      <w:r>
        <w:t xml:space="preserve">4. Capturing Energy Windows</w:t>
      </w:r>
    </w:p>
    <w:p>
      <w:pPr>
        <w:pStyle w:val="FirstParagraph"/>
      </w:pPr>
      <w:r>
        <w:t xml:space="preserve">Users specify when they feel high, medium or low energy throughout the day (e.g., morning, afternoon, evening). They can adjust these windows over time. The calendar engine prioritises scheduling mentally demanding tasks during high‑energy windows and restorative tasks during low‑energy windows.</w:t>
      </w:r>
    </w:p>
    <w:bookmarkEnd w:id="24"/>
    <w:bookmarkStart w:id="25" w:name="capturing-risk-windows"/>
    <w:p>
      <w:pPr>
        <w:pStyle w:val="Heading2"/>
      </w:pPr>
      <w:r>
        <w:t xml:space="preserve">5. Capturing Risk Windows</w:t>
      </w:r>
    </w:p>
    <w:p>
      <w:pPr>
        <w:pStyle w:val="FirstParagraph"/>
      </w:pPr>
      <w:r>
        <w:t xml:space="preserve">Risk windows are time periods or contexts associated with negative patterns or triggers (e.g., late night snacking, stress after work). Users identify these windows in the Identity &amp; Patterns module. The calendar engine avoids scheduling high‑willpower tasks during risk windows and may trigger Bad Day Mode suggestions if risk windows coincide with low energy.</w:t>
      </w:r>
    </w:p>
    <w:bookmarkEnd w:id="25"/>
    <w:bookmarkStart w:id="26" w:name="comparing-values-and-goals-against-time"/>
    <w:p>
      <w:pPr>
        <w:pStyle w:val="Heading2"/>
      </w:pPr>
      <w:r>
        <w:t xml:space="preserve">6. Comparing Values and Goals Against Time</w:t>
      </w:r>
    </w:p>
    <w:p>
      <w:pPr>
        <w:pStyle w:val="FirstParagraph"/>
      </w:pPr>
      <w:r>
        <w:t xml:space="preserve">The calendar includes a weekly snapshot comparing:</w:t>
      </w:r>
    </w:p>
    <w:p>
      <w:pPr>
        <w:pStyle w:val="Compact"/>
        <w:numPr>
          <w:ilvl w:val="0"/>
          <w:numId w:val="1004"/>
        </w:numPr>
      </w:pPr>
      <w:r>
        <w:t xml:space="preserve">Time spent on activities aligned with top values vs. unaligned activities.</w:t>
      </w:r>
    </w:p>
    <w:p>
      <w:pPr>
        <w:pStyle w:val="Compact"/>
        <w:numPr>
          <w:ilvl w:val="0"/>
          <w:numId w:val="1004"/>
        </w:numPr>
      </w:pPr>
      <w:r>
        <w:t xml:space="preserve">Hours invested in missions and goals vs. time spent on obligations.</w:t>
      </w:r>
    </w:p>
    <w:p>
      <w:pPr>
        <w:pStyle w:val="Compact"/>
        <w:numPr>
          <w:ilvl w:val="0"/>
          <w:numId w:val="1004"/>
        </w:numPr>
      </w:pPr>
      <w:r>
        <w:t xml:space="preserve">Distribution of need‑fulfilling activities (e.g., social connection, learning, creativity).</w:t>
      </w:r>
    </w:p>
    <w:p>
      <w:pPr>
        <w:pStyle w:val="FirstParagraph"/>
      </w:pPr>
      <w:r>
        <w:t xml:space="preserve">These comparisons are presented in simple bar charts or pie charts in the review sections, accompanied by reflective prompts. The AI summarises patterns tentatively and asks users whether they wish to adjust their schedule.</w:t>
      </w:r>
    </w:p>
    <w:bookmarkEnd w:id="26"/>
    <w:bookmarkStart w:id="27" w:name="creating-calendar-recommendations"/>
    <w:p>
      <w:pPr>
        <w:pStyle w:val="Heading2"/>
      </w:pPr>
      <w:r>
        <w:t xml:space="preserve">7. Creating Calendar Recommendations</w:t>
      </w:r>
    </w:p>
    <w:p>
      <w:pPr>
        <w:pStyle w:val="FirstParagraph"/>
      </w:pPr>
      <w:r>
        <w:t xml:space="preserve">Calendar suggestions are generated based on:</w:t>
      </w:r>
    </w:p>
    <w:p>
      <w:pPr>
        <w:pStyle w:val="Compact"/>
        <w:numPr>
          <w:ilvl w:val="0"/>
          <w:numId w:val="1005"/>
        </w:numPr>
      </w:pPr>
      <w:r>
        <w:t xml:space="preserve">Availability within energy windows and flexible commitments.</w:t>
      </w:r>
    </w:p>
    <w:p>
      <w:pPr>
        <w:pStyle w:val="Compact"/>
        <w:numPr>
          <w:ilvl w:val="0"/>
          <w:numId w:val="1005"/>
        </w:numPr>
      </w:pPr>
      <w:r>
        <w:t xml:space="preserve">Priority of goals, needs and values.</w:t>
      </w:r>
    </w:p>
    <w:p>
      <w:pPr>
        <w:pStyle w:val="Compact"/>
        <w:numPr>
          <w:ilvl w:val="0"/>
          <w:numId w:val="1005"/>
        </w:numPr>
      </w:pPr>
      <w:r>
        <w:t xml:space="preserve">Implementation intentions cues (e.g., “Tuesday at 7 AM” for running).</w:t>
      </w:r>
    </w:p>
    <w:p>
      <w:pPr>
        <w:pStyle w:val="Compact"/>
        <w:numPr>
          <w:ilvl w:val="0"/>
          <w:numId w:val="1005"/>
        </w:numPr>
      </w:pPr>
      <w:r>
        <w:t xml:space="preserve">Risk windows to avoid scheduling demanding tasks.</w:t>
      </w:r>
    </w:p>
    <w:p>
      <w:pPr>
        <w:pStyle w:val="FirstParagraph"/>
      </w:pPr>
      <w:r>
        <w:t xml:space="preserve">The system might suggest: “You have a 2‑hour flexible block on Thursday afternoon. Would you like to schedule time for your mission ‘Learn Japanese’? It aligns with your values of learning and curiosity.”</w:t>
      </w:r>
    </w:p>
    <w:bookmarkEnd w:id="27"/>
    <w:bookmarkStart w:id="28" w:name="X98cfd79563524510df6a10ad64c5bc0994f27e2"/>
    <w:p>
      <w:pPr>
        <w:pStyle w:val="Heading2"/>
      </w:pPr>
      <w:r>
        <w:t xml:space="preserve">8. Why Calendar Write‑Back Should Not Be Automatic</w:t>
      </w:r>
    </w:p>
    <w:p>
      <w:pPr>
        <w:pStyle w:val="Compact"/>
        <w:numPr>
          <w:ilvl w:val="0"/>
          <w:numId w:val="1006"/>
        </w:numPr>
      </w:pPr>
      <w:r>
        <w:rPr>
          <w:b/>
          <w:bCs/>
        </w:rPr>
        <w:t xml:space="preserve">User Autonomy:</w:t>
      </w:r>
      <w:r>
        <w:t xml:space="preserve"> </w:t>
      </w:r>
      <w:r>
        <w:t xml:space="preserve">Automatic scheduling can feel intrusive and reduce sense of control. It may conflict with personal or professional boundaries.</w:t>
      </w:r>
    </w:p>
    <w:p>
      <w:pPr>
        <w:pStyle w:val="Compact"/>
        <w:numPr>
          <w:ilvl w:val="0"/>
          <w:numId w:val="1006"/>
        </w:numPr>
      </w:pPr>
      <w:r>
        <w:rPr>
          <w:b/>
          <w:bCs/>
        </w:rPr>
        <w:t xml:space="preserve">Safety:</w:t>
      </w:r>
      <w:r>
        <w:t xml:space="preserve"> </w:t>
      </w:r>
      <w:r>
        <w:t xml:space="preserve">The system avoids inadvertently adding stress by overfilling the user’s calendar or rescheduling commitments without permission.</w:t>
      </w:r>
    </w:p>
    <w:p>
      <w:pPr>
        <w:pStyle w:val="Compact"/>
        <w:numPr>
          <w:ilvl w:val="0"/>
          <w:numId w:val="1006"/>
        </w:numPr>
      </w:pPr>
      <w:r>
        <w:rPr>
          <w:b/>
          <w:bCs/>
        </w:rPr>
        <w:t xml:space="preserve">Privacy:</w:t>
      </w:r>
      <w:r>
        <w:t xml:space="preserve"> </w:t>
      </w:r>
      <w:r>
        <w:t xml:space="preserve">Writing to external calendars may expose sensitive details. Explicit confirmation ensures consent.</w:t>
      </w:r>
    </w:p>
    <w:p>
      <w:pPr>
        <w:pStyle w:val="FirstParagraph"/>
      </w:pPr>
      <w:r>
        <w:t xml:space="preserve">Therefore, all calendar suggestions are prompts. Users must confirm before an event is added, moved or removed.</w:t>
      </w:r>
    </w:p>
    <w:bookmarkEnd w:id="28"/>
    <w:bookmarkStart w:id="29" w:name="what-requires-explicit-approval"/>
    <w:p>
      <w:pPr>
        <w:pStyle w:val="Heading2"/>
      </w:pPr>
      <w:r>
        <w:t xml:space="preserve">9. What Requires Explicit Approval</w:t>
      </w:r>
    </w:p>
    <w:p>
      <w:pPr>
        <w:pStyle w:val="Compact"/>
        <w:numPr>
          <w:ilvl w:val="0"/>
          <w:numId w:val="1007"/>
        </w:numPr>
      </w:pPr>
      <w:r>
        <w:t xml:space="preserve">Adding a suggested event to the user’s calendar (internal or external).</w:t>
      </w:r>
    </w:p>
    <w:p>
      <w:pPr>
        <w:pStyle w:val="Compact"/>
        <w:numPr>
          <w:ilvl w:val="0"/>
          <w:numId w:val="1007"/>
        </w:numPr>
      </w:pPr>
      <w:r>
        <w:t xml:space="preserve">Moving or deleting a flexible commitment.</w:t>
      </w:r>
    </w:p>
    <w:p>
      <w:pPr>
        <w:pStyle w:val="Compact"/>
        <w:numPr>
          <w:ilvl w:val="0"/>
          <w:numId w:val="1007"/>
        </w:numPr>
      </w:pPr>
      <w:r>
        <w:t xml:space="preserve">Editing event details (time, duration, tags).</w:t>
      </w:r>
    </w:p>
    <w:p>
      <w:pPr>
        <w:pStyle w:val="Compact"/>
        <w:numPr>
          <w:ilvl w:val="0"/>
          <w:numId w:val="1007"/>
        </w:numPr>
      </w:pPr>
      <w:r>
        <w:t xml:space="preserve">Importing or exporting calendar data.</w:t>
      </w:r>
    </w:p>
    <w:p>
      <w:pPr>
        <w:pStyle w:val="FirstParagraph"/>
      </w:pPr>
      <w:r>
        <w:t xml:space="preserve">In each case, the interface should present a clear confirmation dialog explaining what will happen.</w:t>
      </w:r>
    </w:p>
    <w:bookmarkEnd w:id="29"/>
    <w:bookmarkStart w:id="30" w:name="daily-review"/>
    <w:p>
      <w:pPr>
        <w:pStyle w:val="Heading2"/>
      </w:pPr>
      <w:r>
        <w:t xml:space="preserve">10. Daily Review</w:t>
      </w:r>
    </w:p>
    <w:p>
      <w:pPr>
        <w:pStyle w:val="FirstParagraph"/>
      </w:pPr>
      <w:r>
        <w:t xml:space="preserve">The daily review is a short check‑in at the end of each day. It asks:</w:t>
      </w:r>
    </w:p>
    <w:p>
      <w:pPr>
        <w:pStyle w:val="Compact"/>
        <w:numPr>
          <w:ilvl w:val="0"/>
          <w:numId w:val="1008"/>
        </w:numPr>
      </w:pPr>
      <w:r>
        <w:rPr>
          <w:b/>
          <w:bCs/>
        </w:rPr>
        <w:t xml:space="preserve">Completion:</w:t>
      </w:r>
      <w:r>
        <w:t xml:space="preserve"> </w:t>
      </w:r>
      <w:r>
        <w:t xml:space="preserve">“Did you complete Today’s Best Move?” (Yes/No/Partly).</w:t>
      </w:r>
    </w:p>
    <w:p>
      <w:pPr>
        <w:pStyle w:val="Compact"/>
        <w:numPr>
          <w:ilvl w:val="0"/>
          <w:numId w:val="1008"/>
        </w:numPr>
      </w:pPr>
      <w:r>
        <w:rPr>
          <w:b/>
          <w:bCs/>
        </w:rPr>
        <w:t xml:space="preserve">Helped:</w:t>
      </w:r>
      <w:r>
        <w:t xml:space="preserve"> </w:t>
      </w:r>
      <w:r>
        <w:t xml:space="preserve">“What helped you succeed today?” (Open text; low intensity).</w:t>
      </w:r>
    </w:p>
    <w:p>
      <w:pPr>
        <w:pStyle w:val="Compact"/>
        <w:numPr>
          <w:ilvl w:val="0"/>
          <w:numId w:val="1008"/>
        </w:numPr>
      </w:pPr>
      <w:r>
        <w:rPr>
          <w:b/>
          <w:bCs/>
        </w:rPr>
        <w:t xml:space="preserve">Hindered:</w:t>
      </w:r>
      <w:r>
        <w:t xml:space="preserve"> </w:t>
      </w:r>
      <w:r>
        <w:t xml:space="preserve">“What got in the way?” (Open text; low intensity).</w:t>
      </w:r>
    </w:p>
    <w:p>
      <w:pPr>
        <w:pStyle w:val="Compact"/>
        <w:numPr>
          <w:ilvl w:val="0"/>
          <w:numId w:val="1008"/>
        </w:numPr>
      </w:pPr>
      <w:r>
        <w:rPr>
          <w:b/>
          <w:bCs/>
        </w:rPr>
        <w:t xml:space="preserve">Patterns:</w:t>
      </w:r>
      <w:r>
        <w:t xml:space="preserve"> </w:t>
      </w:r>
      <w:r>
        <w:t xml:space="preserve">“Did any patterns show up (positive or negative)?” (Multiple choice with “other” option).</w:t>
      </w:r>
    </w:p>
    <w:p>
      <w:pPr>
        <w:pStyle w:val="Compact"/>
        <w:numPr>
          <w:ilvl w:val="0"/>
          <w:numId w:val="1008"/>
        </w:numPr>
      </w:pPr>
      <w:r>
        <w:rPr>
          <w:b/>
          <w:bCs/>
        </w:rPr>
        <w:t xml:space="preserve">Memory Suggestion:</w:t>
      </w:r>
      <w:r>
        <w:t xml:space="preserve"> </w:t>
      </w:r>
      <w:r>
        <w:t xml:space="preserve">“Is there anything the system should remember?” (Open text, optional.)</w:t>
      </w:r>
    </w:p>
    <w:p>
      <w:pPr>
        <w:pStyle w:val="FirstParagraph"/>
      </w:pPr>
      <w:r>
        <w:t xml:space="preserve">AI will summarise the user’s reflections, suggest updates to patterns, needs or goals if relevant and ask for confirmation before saving any changes. High‑intensity insights are not sought in the daily review.</w:t>
      </w:r>
    </w:p>
    <w:bookmarkEnd w:id="30"/>
    <w:bookmarkStart w:id="31" w:name="weekly-review"/>
    <w:p>
      <w:pPr>
        <w:pStyle w:val="Heading2"/>
      </w:pPr>
      <w:r>
        <w:t xml:space="preserve">11. Weekly Review</w:t>
      </w:r>
    </w:p>
    <w:p>
      <w:pPr>
        <w:pStyle w:val="FirstParagraph"/>
      </w:pPr>
      <w:r>
        <w:t xml:space="preserve">Each week, the user is prompted to review their progress. The weekly review asks:</w:t>
      </w:r>
    </w:p>
    <w:p>
      <w:pPr>
        <w:pStyle w:val="Compact"/>
        <w:numPr>
          <w:ilvl w:val="0"/>
          <w:numId w:val="1009"/>
        </w:numPr>
      </w:pPr>
      <w:r>
        <w:rPr>
          <w:b/>
          <w:bCs/>
        </w:rPr>
        <w:t xml:space="preserve">Values Honoured:</w:t>
      </w:r>
      <w:r>
        <w:t xml:space="preserve"> </w:t>
      </w:r>
      <w:r>
        <w:t xml:space="preserve">“Which value did you honour most this week?” (Multiple choice or open text).</w:t>
      </w:r>
    </w:p>
    <w:p>
      <w:pPr>
        <w:pStyle w:val="Compact"/>
        <w:numPr>
          <w:ilvl w:val="0"/>
          <w:numId w:val="1009"/>
        </w:numPr>
      </w:pPr>
      <w:r>
        <w:rPr>
          <w:b/>
          <w:bCs/>
        </w:rPr>
        <w:t xml:space="preserve">Values Neglected:</w:t>
      </w:r>
      <w:r>
        <w:t xml:space="preserve"> </w:t>
      </w:r>
      <w:r>
        <w:t xml:space="preserve">“Which value felt neglected?” (Multiple choice or open text).</w:t>
      </w:r>
    </w:p>
    <w:p>
      <w:pPr>
        <w:pStyle w:val="Compact"/>
        <w:numPr>
          <w:ilvl w:val="0"/>
          <w:numId w:val="1009"/>
        </w:numPr>
      </w:pPr>
      <w:r>
        <w:rPr>
          <w:b/>
          <w:bCs/>
        </w:rPr>
        <w:t xml:space="preserve">Goal Progress:</w:t>
      </w:r>
      <w:r>
        <w:t xml:space="preserve"> </w:t>
      </w:r>
      <w:r>
        <w:t xml:space="preserve">“Which goal moved forward?” (Select from active goals; open reflection on progress).</w:t>
      </w:r>
    </w:p>
    <w:p>
      <w:pPr>
        <w:pStyle w:val="Compact"/>
        <w:numPr>
          <w:ilvl w:val="0"/>
          <w:numId w:val="1009"/>
        </w:numPr>
      </w:pPr>
      <w:r>
        <w:rPr>
          <w:b/>
          <w:bCs/>
        </w:rPr>
        <w:t xml:space="preserve">Pattern Repetition:</w:t>
      </w:r>
      <w:r>
        <w:t xml:space="preserve"> </w:t>
      </w:r>
      <w:r>
        <w:t xml:space="preserve">“Which pattern repeated this week?” (Select from known patterns; open reflection on triggers and interrupts).</w:t>
      </w:r>
    </w:p>
    <w:p>
      <w:pPr>
        <w:pStyle w:val="Compact"/>
        <w:numPr>
          <w:ilvl w:val="0"/>
          <w:numId w:val="1009"/>
        </w:numPr>
      </w:pPr>
      <w:r>
        <w:rPr>
          <w:b/>
          <w:bCs/>
        </w:rPr>
        <w:t xml:space="preserve">Need Unmet:</w:t>
      </w:r>
      <w:r>
        <w:t xml:space="preserve"> </w:t>
      </w:r>
      <w:r>
        <w:t xml:space="preserve">“Which need was unmet?” (Select from needs list; open reflection).</w:t>
      </w:r>
    </w:p>
    <w:p>
      <w:pPr>
        <w:pStyle w:val="Compact"/>
        <w:numPr>
          <w:ilvl w:val="0"/>
          <w:numId w:val="1009"/>
        </w:numPr>
      </w:pPr>
      <w:r>
        <w:rPr>
          <w:b/>
          <w:bCs/>
        </w:rPr>
        <w:t xml:space="preserve">Plan Change:</w:t>
      </w:r>
      <w:r>
        <w:t xml:space="preserve"> </w:t>
      </w:r>
      <w:r>
        <w:t xml:space="preserve">“What should change next week?” (Open text; suggestions for adjustments.)</w:t>
      </w:r>
    </w:p>
    <w:p>
      <w:pPr>
        <w:pStyle w:val="Compact"/>
        <w:numPr>
          <w:ilvl w:val="0"/>
          <w:numId w:val="1009"/>
        </w:numPr>
      </w:pPr>
      <w:r>
        <w:rPr>
          <w:b/>
          <w:bCs/>
        </w:rPr>
        <w:t xml:space="preserve">My OS Updates:</w:t>
      </w:r>
      <w:r>
        <w:t xml:space="preserve"> </w:t>
      </w:r>
      <w:r>
        <w:t xml:space="preserve">“Would you like to update any values, goals, patterns or needs based on this week?” (Multi‑select or skip.)</w:t>
      </w:r>
    </w:p>
    <w:p>
      <w:pPr>
        <w:pStyle w:val="FirstParagraph"/>
      </w:pPr>
      <w:r>
        <w:t xml:space="preserve">The AI summarises weekly trends, tentatively suggests adjustments (e.g., “It seems like creativity wasn’t honoured; would you like to schedule a creative activity?”) and seeks confirmation. No changes are made without user approval.</w:t>
      </w:r>
    </w:p>
    <w:bookmarkEnd w:id="31"/>
    <w:bookmarkStart w:id="32" w:name="X501277b413dc93cbdc45a047d58f227c47dd2b7"/>
    <w:p>
      <w:pPr>
        <w:pStyle w:val="Heading2"/>
      </w:pPr>
      <w:r>
        <w:t xml:space="preserve">12. AI Suggestions in Review and Confirmation</w:t>
      </w:r>
    </w:p>
    <w:p>
      <w:pPr>
        <w:pStyle w:val="Compact"/>
        <w:numPr>
          <w:ilvl w:val="0"/>
          <w:numId w:val="1010"/>
        </w:numPr>
      </w:pPr>
      <w:r>
        <w:t xml:space="preserve">AI suggestions in daily and weekly reviews follow the same tentativeness and confirmation rules as other interpretations. They propose possible memory updates, but the user must accept or edit them before they take effect.</w:t>
      </w:r>
    </w:p>
    <w:p>
      <w:pPr>
        <w:pStyle w:val="Compact"/>
        <w:numPr>
          <w:ilvl w:val="0"/>
          <w:numId w:val="1010"/>
        </w:numPr>
      </w:pPr>
      <w:r>
        <w:t xml:space="preserve">Examples: “You reported feeling low energy on afternoons this week. Would you like to adjust your energy windows?” or “You mentioned avoiding difficult conversations twice. Should we note this as a pattern?”</w:t>
      </w:r>
    </w:p>
    <w:bookmarkEnd w:id="32"/>
    <w:bookmarkStart w:id="33" w:name="safety-and-boundaries"/>
    <w:p>
      <w:pPr>
        <w:pStyle w:val="Heading2"/>
      </w:pPr>
      <w:r>
        <w:t xml:space="preserve">13. Safety and Boundaries</w:t>
      </w:r>
    </w:p>
    <w:p>
      <w:pPr>
        <w:pStyle w:val="Compact"/>
        <w:numPr>
          <w:ilvl w:val="0"/>
          <w:numId w:val="1011"/>
        </w:numPr>
      </w:pPr>
      <w:r>
        <w:t xml:space="preserve">Reviews should never shame the user for missed directives or goals. Language must remain supportive and emphasize learning (“What helped you this week?” rather than “Why did you fail?”).</w:t>
      </w:r>
    </w:p>
    <w:p>
      <w:pPr>
        <w:pStyle w:val="Compact"/>
        <w:numPr>
          <w:ilvl w:val="0"/>
          <w:numId w:val="1011"/>
        </w:numPr>
      </w:pPr>
      <w:r>
        <w:t xml:space="preserve">The system must not interpret patterns or behaviours as diagnoses.</w:t>
      </w:r>
    </w:p>
    <w:p>
      <w:pPr>
        <w:pStyle w:val="Compact"/>
        <w:numPr>
          <w:ilvl w:val="0"/>
          <w:numId w:val="1011"/>
        </w:numPr>
      </w:pPr>
      <w:r>
        <w:t xml:space="preserve">Crisis resources should be easily accessible during reviews, particularly when discussing unmet needs or negative patterns.</w:t>
      </w:r>
    </w:p>
    <w:p>
      <w:pPr>
        <w:pStyle w:val="FirstParagraph"/>
      </w:pPr>
      <w:r>
        <w:t xml:space="preserve">By implementing this calendar and review model, BecomingOS ensures that the user’s time aligns with their personal OS and that continuous reflection drives incremental improvements without overwhelming or judging the user.</w:t>
      </w:r>
    </w:p>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2026-05-14T13:16:02Z</dcterms:created>
  <dcterms:modified xsi:type="dcterms:W3CDTF">2026-05-14T13:16:02Z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