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a4d150c7237c9e31bb6b339f18945ac2bce0b56"/>
    <w:p>
      <w:pPr>
        <w:pStyle w:val="Heading1"/>
      </w:pPr>
      <w:r>
        <w:t xml:space="preserve">Crisis Localisation and Safety Routing Policy for BecomingOS</w:t>
      </w:r>
    </w:p>
    <w:p>
      <w:pPr>
        <w:pStyle w:val="FirstParagraph"/>
      </w:pPr>
      <w:r>
        <w:t xml:space="preserve">BecomingOS is a wellness product and</w:t>
      </w:r>
      <w:r>
        <w:t xml:space="preserve"> </w:t>
      </w:r>
      <w:r>
        <w:rPr>
          <w:b/>
          <w:bCs/>
        </w:rPr>
        <w:t xml:space="preserve">not</w:t>
      </w:r>
      <w:r>
        <w:t xml:space="preserve"> </w:t>
      </w:r>
      <w:r>
        <w:t xml:space="preserve">an emergency service, crisis‑monitoring tool or a provider of psychotherapy. It must nonetheless respond appropriately when users reveal that they are in immediate danger, at risk of self‑harm, harm to others, experiencing abuse, overdose or other high‑risk situations. This policy defines when and how the product surfaces crisis‑specific guidance, how local resources are determined, what information is stored and how the process is maintained. All language in this policy should be localisable and culturally sensitive.</w:t>
      </w:r>
    </w:p>
    <w:bookmarkStart w:id="23" w:name="crisis-localisation-policy"/>
    <w:p>
      <w:pPr>
        <w:pStyle w:val="Heading2"/>
      </w:pPr>
      <w:r>
        <w:t xml:space="preserve">1 Crisis localisation policy</w:t>
      </w:r>
    </w:p>
    <w:p>
      <w:pPr>
        <w:numPr>
          <w:ilvl w:val="0"/>
          <w:numId w:val="1001"/>
        </w:numPr>
      </w:pPr>
      <w:r>
        <w:rPr>
          <w:b/>
          <w:bCs/>
        </w:rPr>
        <w:t xml:space="preserve">Detect risk statements.</w:t>
      </w:r>
      <w:r>
        <w:t xml:space="preserve"> </w:t>
      </w:r>
      <w:r>
        <w:t xml:space="preserve">Detect user‑generated text for crisis triggers (see categories in § 9). Detection uses a combination of keyword patterns and machine‑learning models trained to identify imminent danger, suicidal ideation, non‑suicidal self‑injury, harm to others, overdose, abuse and domestic‑violence reports. Low‑risk disclosures of distress (e.g., “I’m having a bad day”) are handled by a “Bad‑Day Mode” with supportive but non‑clinical language.</w:t>
      </w:r>
    </w:p>
    <w:p>
      <w:pPr>
        <w:numPr>
          <w:ilvl w:val="0"/>
          <w:numId w:val="1001"/>
        </w:numPr>
      </w:pPr>
      <w:r>
        <w:rPr>
          <w:b/>
          <w:bCs/>
        </w:rPr>
        <w:t xml:space="preserve">Determine locale.</w:t>
      </w:r>
    </w:p>
    <w:p>
      <w:pPr>
        <w:numPr>
          <w:ilvl w:val="0"/>
          <w:numId w:val="1001"/>
        </w:numPr>
      </w:pPr>
      <w:r>
        <w:t xml:space="preserve">Use the user’s self‑reported country/region (from profile or onboarding).</w:t>
      </w:r>
    </w:p>
    <w:p>
      <w:pPr>
        <w:pStyle w:val="Compact"/>
        <w:numPr>
          <w:ilvl w:val="0"/>
          <w:numId w:val="1001"/>
        </w:numPr>
      </w:pPr>
      <w:r>
        <w:t xml:space="preserve">If not available, derive approximate country/region from billing address or device settings.</w:t>
      </w:r>
    </w:p>
    <w:p>
      <w:pPr>
        <w:numPr>
          <w:ilvl w:val="0"/>
          <w:numId w:val="1001"/>
        </w:numPr>
      </w:pPr>
      <w:r>
        <w:t xml:space="preserve">If still unknown, use IP‑geolocation at country level. If all methods fail, assume “unknown locale” and provide generic crisis instructions.</w:t>
      </w:r>
    </w:p>
    <w:p>
      <w:pPr>
        <w:numPr>
          <w:ilvl w:val="0"/>
          <w:numId w:val="1001"/>
        </w:numPr>
      </w:pPr>
      <w:r>
        <w:rPr>
          <w:b/>
          <w:bCs/>
        </w:rPr>
        <w:t xml:space="preserve">Map to local crisis resources.</w:t>
      </w:r>
    </w:p>
    <w:p>
      <w:pPr>
        <w:numPr>
          <w:ilvl w:val="0"/>
          <w:numId w:val="1001"/>
        </w:numPr>
      </w:pPr>
      <w:r>
        <w:t xml:space="preserve">Each supported country has a list of emergency numbers and mental‑health helplines verified from official sources (e.g., 988 in the US</w:t>
      </w:r>
      <w:hyperlink r:id="rId21">
        <w:r>
          <w:rPr>
            <w:rStyle w:val="Hyperlink"/>
          </w:rPr>
          <w:t xml:space="preserve">[1]</w:t>
        </w:r>
      </w:hyperlink>
      <w:r>
        <w:t xml:space="preserve">, Lifeline 13 11 14 in Australia</w:t>
      </w:r>
      <w:hyperlink r:id="rId22">
        <w:r>
          <w:rPr>
            <w:rStyle w:val="Hyperlink"/>
          </w:rPr>
          <w:t xml:space="preserve">[2]</w:t>
        </w:r>
      </w:hyperlink>
      <w:r>
        <w:t xml:space="preserve">, 988/Talk Suicide in Canada</w:t>
      </w:r>
      <w:hyperlink r:id="rId22">
        <w:r>
          <w:rPr>
            <w:rStyle w:val="Hyperlink"/>
          </w:rPr>
          <w:t xml:space="preserve">[3]</w:t>
        </w:r>
      </w:hyperlink>
      <w:r>
        <w:t xml:space="preserve">, Samaritans in the UK</w:t>
      </w:r>
      <w:hyperlink r:id="rId22">
        <w:r>
          <w:rPr>
            <w:rStyle w:val="Hyperlink"/>
          </w:rPr>
          <w:t xml:space="preserve">[4]</w:t>
        </w:r>
      </w:hyperlink>
      <w:r>
        <w:t xml:space="preserve">).</w:t>
      </w:r>
    </w:p>
    <w:p>
      <w:pPr>
        <w:pStyle w:val="Compact"/>
        <w:numPr>
          <w:ilvl w:val="0"/>
          <w:numId w:val="1001"/>
        </w:numPr>
      </w:pPr>
      <w:r>
        <w:t xml:space="preserve">Present the most appropriate resource for the user’s locale based on the risk category (e.g., domestic‑violence hotline vs. suicide lifeline).</w:t>
      </w:r>
    </w:p>
    <w:p>
      <w:pPr>
        <w:numPr>
          <w:ilvl w:val="0"/>
          <w:numId w:val="1001"/>
        </w:numPr>
      </w:pPr>
      <w:r>
        <w:t xml:space="preserve">When multiple languages are spoken in a country, list services available in each language (e.g., 988 in English/Spanish</w:t>
      </w:r>
      <w:hyperlink r:id="rId21">
        <w:r>
          <w:rPr>
            <w:rStyle w:val="Hyperlink"/>
          </w:rPr>
          <w:t xml:space="preserve">[1]</w:t>
        </w:r>
      </w:hyperlink>
      <w:r>
        <w:t xml:space="preserve"> </w:t>
      </w:r>
      <w:r>
        <w:t xml:space="preserve">or bilingual Kids Help Phone</w:t>
      </w:r>
      <w:hyperlink r:id="rId22">
        <w:r>
          <w:rPr>
            <w:rStyle w:val="Hyperlink"/>
          </w:rPr>
          <w:t xml:space="preserve">[3]</w:t>
        </w:r>
      </w:hyperlink>
      <w:r>
        <w:t xml:space="preserve">).</w:t>
      </w:r>
    </w:p>
    <w:p>
      <w:pPr>
        <w:numPr>
          <w:ilvl w:val="0"/>
          <w:numId w:val="1001"/>
        </w:numPr>
      </w:pPr>
      <w:r>
        <w:rPr>
          <w:b/>
          <w:bCs/>
        </w:rPr>
        <w:t xml:space="preserve">Surface crisis guidance.</w:t>
      </w:r>
    </w:p>
    <w:p>
      <w:pPr>
        <w:numPr>
          <w:ilvl w:val="0"/>
          <w:numId w:val="1001"/>
        </w:numPr>
      </w:pPr>
      <w:r>
        <w:rPr>
          <w:b/>
          <w:bCs/>
        </w:rPr>
        <w:t xml:space="preserve">Immediate danger (high risk):</w:t>
      </w:r>
      <w:r>
        <w:t xml:space="preserve"> </w:t>
      </w:r>
      <w:r>
        <w:t xml:space="preserve">Intercept the conversation and display a crisis card with supportive language and local emergency resources. This card should clearly state that the user appears to be in immediate danger, encourage contacting emergency services or helplines, and make clear that BecomingOS cannot provide urgent help. (See § 10 for copy.)</w:t>
      </w:r>
    </w:p>
    <w:p>
      <w:pPr>
        <w:pStyle w:val="Compact"/>
        <w:numPr>
          <w:ilvl w:val="0"/>
          <w:numId w:val="1001"/>
        </w:numPr>
      </w:pPr>
      <w:r>
        <w:rPr>
          <w:b/>
          <w:bCs/>
        </w:rPr>
        <w:t xml:space="preserve">Non‑immediate risk (moderate risk):</w:t>
      </w:r>
      <w:r>
        <w:t xml:space="preserve"> </w:t>
      </w:r>
      <w:r>
        <w:t xml:space="preserve">Provide empathetic text acknowledging the user’s distress, encourage them to contact local helplines or talk to someone they trust, and provide general coping suggestions (such as breathing exercises). Continue the conversation only if the user indicates they are safe; otherwise move to “Bad‑Day Mode” or crisis card.</w:t>
      </w:r>
    </w:p>
    <w:p>
      <w:pPr>
        <w:numPr>
          <w:ilvl w:val="0"/>
          <w:numId w:val="1001"/>
        </w:numPr>
      </w:pPr>
      <w:r>
        <w:rPr>
          <w:b/>
          <w:bCs/>
        </w:rPr>
        <w:t xml:space="preserve">No crisis detected:</w:t>
      </w:r>
      <w:r>
        <w:t xml:space="preserve"> </w:t>
      </w:r>
      <w:r>
        <w:t xml:space="preserve">Proceed with normal product flow.</w:t>
      </w:r>
    </w:p>
    <w:p>
      <w:pPr>
        <w:numPr>
          <w:ilvl w:val="0"/>
          <w:numId w:val="1001"/>
        </w:numPr>
      </w:pPr>
      <w:r>
        <w:rPr>
          <w:b/>
          <w:bCs/>
        </w:rPr>
        <w:t xml:space="preserve">Do not imply real‑time monitoring.</w:t>
      </w:r>
      <w:r>
        <w:t xml:space="preserve"> </w:t>
      </w:r>
      <w:r>
        <w:t xml:space="preserve">The wording must never suggest that BecomingOS is watching or listening to the user in real time or that it can contact third parties on their behalf. Instead, emphasise that the advice is automated and based solely on the user’s input.</w:t>
      </w:r>
    </w:p>
    <w:p>
      <w:pPr>
        <w:numPr>
          <w:ilvl w:val="0"/>
          <w:numId w:val="1001"/>
        </w:numPr>
      </w:pPr>
      <w:r>
        <w:rPr>
          <w:b/>
          <w:bCs/>
        </w:rPr>
        <w:t xml:space="preserve">No emergency contact or automatic dispatch.</w:t>
      </w:r>
      <w:r>
        <w:t xml:space="preserve"> </w:t>
      </w:r>
      <w:r>
        <w:t xml:space="preserve">The system must not call emergency services or notify third parties on behalf of the user. It can suggest that the user contact emergency services themselves and may remind them to have someone they trust with them.</w:t>
      </w:r>
    </w:p>
    <w:p>
      <w:pPr>
        <w:numPr>
          <w:ilvl w:val="0"/>
          <w:numId w:val="1001"/>
        </w:numPr>
      </w:pPr>
      <w:r>
        <w:rPr>
          <w:b/>
          <w:bCs/>
        </w:rPr>
        <w:t xml:space="preserve">Data minimisation.</w:t>
      </w:r>
      <w:r>
        <w:t xml:space="preserve"> </w:t>
      </w:r>
      <w:r>
        <w:t xml:space="preserve">Do not store raw crisis text by default. Log only anonymised metadata needed for safety auditing (see § 15). Personal identifiers must be removed or hashed. Use aggregated statistics to improve detection but ensure no one’s crisis words are retrievable.</w:t>
      </w:r>
    </w:p>
    <w:p>
      <w:pPr>
        <w:numPr>
          <w:ilvl w:val="0"/>
          <w:numId w:val="1001"/>
        </w:numPr>
      </w:pPr>
      <w:r>
        <w:rPr>
          <w:b/>
          <w:bCs/>
        </w:rPr>
        <w:t xml:space="preserve">Recovery after crisis event.</w:t>
      </w:r>
      <w:r>
        <w:t xml:space="preserve"> </w:t>
      </w:r>
      <w:r>
        <w:t xml:space="preserve">Once the user confirms they are safe or chooses to exit the crisis card, normal functionality may resume. The system should not repeatedly surface crisis messages unless new high‑risk statements are detected. However, offer follow‑up resources (e.g., therapy options) if appropriate.</w:t>
      </w:r>
    </w:p>
    <w:bookmarkEnd w:id="23"/>
    <w:bookmarkStart w:id="28" w:name="supported-launch-geography-assumptions"/>
    <w:p>
      <w:pPr>
        <w:pStyle w:val="Heading2"/>
      </w:pPr>
      <w:r>
        <w:t xml:space="preserve">2 Supported launch geography assumptions</w:t>
      </w:r>
    </w:p>
    <w:p>
      <w:pPr>
        <w:pStyle w:val="FirstParagraph"/>
      </w:pPr>
      <w:r>
        <w:t xml:space="preserve">BecomingOS initially supports crisis localisation for the following geographies, with the expectation that the list will expand over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Region/country</w:t>
            </w:r>
          </w:p>
        </w:tc>
        <w:tc>
          <w:tcPr/>
          <w:p>
            <w:pPr>
              <w:pStyle w:val="Compact"/>
            </w:pPr>
            <w:r>
              <w:t xml:space="preserve">Verified emergency numbers and helplines (examples)</w:t>
            </w:r>
          </w:p>
        </w:tc>
        <w:tc>
          <w:tcPr/>
          <w:p>
            <w:pPr>
              <w:pStyle w:val="Compact"/>
            </w:pPr>
            <w:r>
              <w:t xml:space="preserve">Languages supported</w:t>
            </w:r>
          </w:p>
        </w:tc>
        <w:tc>
          <w:tcPr/>
          <w:p>
            <w:pPr>
              <w:pStyle w:val="Compact"/>
            </w:pPr>
            <w:r>
              <w:t xml:space="preserve">Notes</w:t>
            </w:r>
          </w:p>
        </w:tc>
      </w:tr>
      <w:tr>
        <w:tc>
          <w:tcPr/>
          <w:p>
            <w:pPr>
              <w:pStyle w:val="Compact"/>
            </w:pPr>
            <w:r>
              <w:rPr>
                <w:b/>
                <w:bCs/>
              </w:rPr>
              <w:t xml:space="preserve">Australia</w:t>
            </w:r>
          </w:p>
        </w:tc>
        <w:tc>
          <w:tcPr/>
          <w:p>
            <w:pPr>
              <w:pStyle w:val="Compact"/>
            </w:pPr>
            <w:r>
              <w:t xml:space="preserve">National emergency 000/112/106; Lifeline 13 11 14; Kids Helpline 1800 55 1800; Beyond Blue 1300 224 636; Suicide Call Back 1300 659 467</w:t>
            </w:r>
            <w:hyperlink r:id="rId22">
              <w:r>
                <w:rPr>
                  <w:rStyle w:val="Hyperlink"/>
                </w:rPr>
                <w:t xml:space="preserve">[5]</w:t>
              </w:r>
            </w:hyperlink>
          </w:p>
        </w:tc>
        <w:tc>
          <w:tcPr/>
          <w:p>
            <w:pPr>
              <w:pStyle w:val="Compact"/>
            </w:pPr>
            <w:r>
              <w:t xml:space="preserve">English</w:t>
            </w:r>
          </w:p>
        </w:tc>
        <w:tc>
          <w:tcPr/>
          <w:p>
            <w:pPr>
              <w:pStyle w:val="Compact"/>
            </w:pPr>
            <w:r>
              <w:t xml:space="preserve">Provide option for TTY (106) for users who are deaf.</w:t>
            </w:r>
          </w:p>
        </w:tc>
      </w:tr>
      <w:tr>
        <w:tc>
          <w:tcPr/>
          <w:p>
            <w:pPr>
              <w:pStyle w:val="Compact"/>
            </w:pPr>
            <w:r>
              <w:rPr>
                <w:b/>
                <w:bCs/>
              </w:rPr>
              <w:t xml:space="preserve">Canada</w:t>
            </w:r>
          </w:p>
        </w:tc>
        <w:tc>
          <w:tcPr/>
          <w:p>
            <w:pPr>
              <w:pStyle w:val="Compact"/>
            </w:pPr>
            <w:r>
              <w:t xml:space="preserve">Emergency 911; 988 suicide crisis helpline (call/text); Kids Help Phone; Talk Suicide Canada 1‑833‑456‑4566; Crisis Text Line (text HOME/PARLER to 686868)</w:t>
            </w:r>
            <w:hyperlink r:id="rId22">
              <w:r>
                <w:rPr>
                  <w:rStyle w:val="Hyperlink"/>
                </w:rPr>
                <w:t xml:space="preserve">[3]</w:t>
              </w:r>
            </w:hyperlink>
          </w:p>
        </w:tc>
        <w:tc>
          <w:tcPr/>
          <w:p>
            <w:pPr>
              <w:pStyle w:val="Compact"/>
            </w:pPr>
            <w:r>
              <w:t xml:space="preserve">English, French</w:t>
            </w:r>
          </w:p>
        </w:tc>
        <w:tc>
          <w:tcPr/>
          <w:p>
            <w:pPr>
              <w:pStyle w:val="Compact"/>
            </w:pPr>
            <w:r>
              <w:t xml:space="preserve">Include language toggle.</w:t>
            </w:r>
          </w:p>
        </w:tc>
      </w:tr>
      <w:tr>
        <w:tc>
          <w:tcPr/>
          <w:p>
            <w:pPr>
              <w:pStyle w:val="Compact"/>
            </w:pPr>
            <w:r>
              <w:rPr>
                <w:b/>
                <w:bCs/>
              </w:rPr>
              <w:t xml:space="preserve">United States</w:t>
            </w:r>
          </w:p>
        </w:tc>
        <w:tc>
          <w:tcPr/>
          <w:p>
            <w:pPr>
              <w:pStyle w:val="Compact"/>
            </w:pPr>
            <w:r>
              <w:t xml:space="preserve">Emergency 911; 211 for social‑services referral; 988 Suicide &amp; Crisis Lifeline (call/text/chat)</w:t>
            </w:r>
            <w:hyperlink r:id="rId24">
              <w:r>
                <w:rPr>
                  <w:rStyle w:val="Hyperlink"/>
                </w:rPr>
                <w:t xml:space="preserve">[6]</w:t>
              </w:r>
            </w:hyperlink>
            <w:r>
              <w:t xml:space="preserve">; Veterans Crisis Line (press 1 after 988); Crisis Text Line (text HOME to 741‑741); Trevor Project for LGBTQ+ youth</w:t>
            </w:r>
            <w:hyperlink r:id="rId25">
              <w:r>
                <w:rPr>
                  <w:rStyle w:val="Hyperlink"/>
                </w:rPr>
                <w:t xml:space="preserve">[7]</w:t>
              </w:r>
            </w:hyperlink>
          </w:p>
        </w:tc>
        <w:tc>
          <w:tcPr/>
          <w:p>
            <w:pPr>
              <w:pStyle w:val="Compact"/>
            </w:pPr>
            <w:r>
              <w:t xml:space="preserve">English, Spanish; relay services for deaf</w:t>
            </w:r>
          </w:p>
        </w:tc>
        <w:tc>
          <w:tcPr/>
          <w:p>
            <w:pPr>
              <w:pStyle w:val="Compact"/>
            </w:pPr>
            <w:r>
              <w:t xml:space="preserve">Provide options for Spanish and Deaf/HoH users; emphasise that 988 is free and confidential</w:t>
            </w:r>
            <w:hyperlink r:id="rId21">
              <w:r>
                <w:rPr>
                  <w:rStyle w:val="Hyperlink"/>
                </w:rPr>
                <w:t xml:space="preserve">[1]</w:t>
              </w:r>
            </w:hyperlink>
            <w:r>
              <w:t xml:space="preserve">.</w:t>
            </w:r>
          </w:p>
        </w:tc>
      </w:tr>
      <w:tr>
        <w:tc>
          <w:tcPr/>
          <w:p>
            <w:pPr>
              <w:pStyle w:val="Compact"/>
            </w:pPr>
            <w:r>
              <w:rPr>
                <w:b/>
                <w:bCs/>
              </w:rPr>
              <w:t xml:space="preserve">United Kingdom</w:t>
            </w:r>
          </w:p>
        </w:tc>
        <w:tc>
          <w:tcPr/>
          <w:p>
            <w:pPr>
              <w:pStyle w:val="Compact"/>
            </w:pPr>
            <w:r>
              <w:t xml:space="preserve">Emergency 999/112; NHS 111 Option 2 (where available); National Suicide Prevention Helpline UK 0800 689 5652; SOS Silence of Suicide 0808 115 1505; Samaritans 116 123 (24/7)</w:t>
            </w:r>
            <w:hyperlink r:id="rId22">
              <w:r>
                <w:rPr>
                  <w:rStyle w:val="Hyperlink"/>
                </w:rPr>
                <w:t xml:space="preserve">[4]</w:t>
              </w:r>
            </w:hyperlink>
            <w:r>
              <w:t xml:space="preserve">; CALM 0800 58 58 58; Shout (text SHOUT to 85258); PAPYRUS HOPELINE247 0800 068 4141 / text 07860 039967</w:t>
            </w:r>
            <w:hyperlink r:id="rId26">
              <w:r>
                <w:rPr>
                  <w:rStyle w:val="Hyperlink"/>
                </w:rPr>
                <w:t xml:space="preserve">[8]</w:t>
              </w:r>
            </w:hyperlink>
          </w:p>
        </w:tc>
        <w:tc>
          <w:tcPr/>
          <w:p>
            <w:pPr>
              <w:pStyle w:val="Compact"/>
            </w:pPr>
            <w:r>
              <w:t xml:space="preserve">English</w:t>
            </w:r>
          </w:p>
        </w:tc>
        <w:tc>
          <w:tcPr/>
          <w:p>
            <w:pPr>
              <w:pStyle w:val="Compact"/>
            </w:pPr>
            <w:r>
              <w:t xml:space="preserve">Provide separate resources for Northern Ireland (Lifeline 0808 808 8000)</w:t>
            </w:r>
            <w:hyperlink r:id="rId27">
              <w:r>
                <w:rPr>
                  <w:rStyle w:val="Hyperlink"/>
                </w:rPr>
                <w:t xml:space="preserve">[9]</w:t>
              </w:r>
            </w:hyperlink>
            <w:r>
              <w:t xml:space="preserve">.</w:t>
            </w:r>
          </w:p>
        </w:tc>
      </w:tr>
      <w:tr>
        <w:tc>
          <w:tcPr/>
          <w:p>
            <w:pPr>
              <w:pStyle w:val="Compact"/>
            </w:pPr>
            <w:r>
              <w:rPr>
                <w:b/>
                <w:bCs/>
              </w:rPr>
              <w:t xml:space="preserve">Other countries</w:t>
            </w:r>
          </w:p>
        </w:tc>
        <w:tc>
          <w:tcPr/>
          <w:p>
            <w:pPr>
              <w:pStyle w:val="Compact"/>
            </w:pPr>
            <w:r>
              <w:t xml:space="preserve">See the crisis database (See § 5). Where local services are unavailable or unknown, present generic instructions directing the user to call local emergency services and consult the country’s ministry of health or mental‑health organisations.</w:t>
            </w:r>
          </w:p>
        </w:tc>
        <w:tc>
          <w:tcPr/>
          <w:p>
            <w:pPr>
              <w:pStyle w:val="Compact"/>
            </w:pPr>
            <w:r>
              <w:t xml:space="preserve">Local languages where possible.</w:t>
            </w:r>
          </w:p>
        </w:tc>
        <w:tc>
          <w:tcPr/>
          <w:p>
            <w:pPr>
              <w:pStyle w:val="Compact"/>
            </w:pPr>
            <w:r>
              <w:t xml:space="preserve">Fallback wording is required (see § 4).</w:t>
            </w:r>
          </w:p>
        </w:tc>
      </w:tr>
    </w:tbl>
    <w:bookmarkEnd w:id="28"/>
    <w:bookmarkStart w:id="29" w:name="locale-detection-rules"/>
    <w:p>
      <w:pPr>
        <w:pStyle w:val="Heading2"/>
      </w:pPr>
      <w:r>
        <w:t xml:space="preserve">3 Locale detection rules</w:t>
      </w:r>
    </w:p>
    <w:p>
      <w:pPr>
        <w:pStyle w:val="Compact"/>
        <w:numPr>
          <w:ilvl w:val="0"/>
          <w:numId w:val="1002"/>
        </w:numPr>
      </w:pPr>
      <w:r>
        <w:rPr>
          <w:b/>
          <w:bCs/>
        </w:rPr>
        <w:t xml:space="preserve">Primary:</w:t>
      </w:r>
      <w:r>
        <w:t xml:space="preserve"> </w:t>
      </w:r>
      <w:r>
        <w:t xml:space="preserve">Use the user’s selected country/region from their BecomingOS profile or account settings. This respects user consent and avoids unnecessary IP inference.</w:t>
      </w:r>
    </w:p>
    <w:p>
      <w:pPr>
        <w:pStyle w:val="Compact"/>
        <w:numPr>
          <w:ilvl w:val="0"/>
          <w:numId w:val="1002"/>
        </w:numPr>
      </w:pPr>
      <w:r>
        <w:rPr>
          <w:b/>
          <w:bCs/>
        </w:rPr>
        <w:t xml:space="preserve">Secondary:</w:t>
      </w:r>
      <w:r>
        <w:t xml:space="preserve"> </w:t>
      </w:r>
      <w:r>
        <w:t xml:space="preserve">If the profile is missing, attempt to infer country from billing address or contact information associated with the account (e.g., +1 US phone number suggests United States; +44 suggests UK). Note: phone number inference should only be at country‑code granularity and never store the full number.</w:t>
      </w:r>
    </w:p>
    <w:p>
      <w:pPr>
        <w:pStyle w:val="Compact"/>
        <w:numPr>
          <w:ilvl w:val="0"/>
          <w:numId w:val="1002"/>
        </w:numPr>
      </w:pPr>
      <w:r>
        <w:rPr>
          <w:b/>
          <w:bCs/>
        </w:rPr>
        <w:t xml:space="preserve">Tertiary:</w:t>
      </w:r>
      <w:r>
        <w:t xml:space="preserve"> </w:t>
      </w:r>
      <w:r>
        <w:t xml:space="preserve">If still unknown, use coarse IP geolocation to determine the user’s country. Do not show the exact IP, and discard the IP after deriving the country.</w:t>
      </w:r>
    </w:p>
    <w:p>
      <w:pPr>
        <w:pStyle w:val="Compact"/>
        <w:numPr>
          <w:ilvl w:val="0"/>
          <w:numId w:val="1002"/>
        </w:numPr>
      </w:pPr>
      <w:r>
        <w:rPr>
          <w:b/>
          <w:bCs/>
        </w:rPr>
        <w:t xml:space="preserve">Fallback:</w:t>
      </w:r>
      <w:r>
        <w:t xml:space="preserve"> </w:t>
      </w:r>
      <w:r>
        <w:t xml:space="preserve">If the location cannot be determined, categorize as “Unknown Locale.” When unknown, use generic crisis wording instructing the user to call their local emergency number and consult national crisis organisations.</w:t>
      </w:r>
    </w:p>
    <w:p>
      <w:pPr>
        <w:pStyle w:val="Compact"/>
        <w:numPr>
          <w:ilvl w:val="0"/>
          <w:numId w:val="1002"/>
        </w:numPr>
      </w:pPr>
      <w:r>
        <w:rPr>
          <w:b/>
          <w:bCs/>
        </w:rPr>
        <w:t xml:space="preserve">User override:</w:t>
      </w:r>
      <w:r>
        <w:t xml:space="preserve"> </w:t>
      </w:r>
      <w:r>
        <w:t xml:space="preserve">Allow the user to manually select a different country if the inferred locale is incorrect. Do not automatically override user selection.</w:t>
      </w:r>
    </w:p>
    <w:bookmarkEnd w:id="29"/>
    <w:bookmarkStart w:id="30" w:name="fallback-crisis-wording"/>
    <w:p>
      <w:pPr>
        <w:pStyle w:val="Heading2"/>
      </w:pPr>
      <w:r>
        <w:t xml:space="preserve">4 Fallback crisis wording</w:t>
      </w:r>
    </w:p>
    <w:p>
      <w:pPr>
        <w:pStyle w:val="FirstParagraph"/>
      </w:pPr>
      <w:r>
        <w:t xml:space="preserve">When the user’s locale is unknown or there is no verified hotline for a country, present the following generic text:</w:t>
      </w:r>
    </w:p>
    <w:p>
      <w:pPr>
        <w:pStyle w:val="BlockText"/>
      </w:pPr>
      <w:r>
        <w:rPr>
          <w:b/>
          <w:bCs/>
        </w:rPr>
        <w:t xml:space="preserve">“It sounds like you may be in danger or need urgent help. BecomingOS can’t provide emergency assistance. Please call your local emergency services immediately and, if available, contact a trusted person or mental‑health helpline. If you are unsure which number to dial, try your country’s main emergency number (such as 112, 911 or 999), or check with your local health authority. In the meantime, take slow deep breaths and stay with someone you trust.”</w:t>
      </w:r>
    </w:p>
    <w:p>
      <w:pPr>
        <w:pStyle w:val="FirstParagraph"/>
      </w:pPr>
      <w:r>
        <w:t xml:space="preserve">This wording does not reference specific telephone numbers and avoids implying that a particular hotline operates in the user’s country.</w:t>
      </w:r>
    </w:p>
    <w:bookmarkEnd w:id="30"/>
    <w:bookmarkStart w:id="31" w:name="crisis-resource-database-structure"/>
    <w:p>
      <w:pPr>
        <w:pStyle w:val="Heading2"/>
      </w:pPr>
      <w:r>
        <w:t xml:space="preserve">5 Crisis resource database structure</w:t>
      </w:r>
    </w:p>
    <w:p>
      <w:pPr>
        <w:pStyle w:val="FirstParagraph"/>
      </w:pPr>
      <w:r>
        <w:t xml:space="preserve">The crisis‑resource database should be a structured table that can be updated independently of code. Each entry should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Country/Region</w:t>
            </w:r>
          </w:p>
        </w:tc>
        <w:tc>
          <w:tcPr/>
          <w:p>
            <w:pPr>
              <w:pStyle w:val="Compact"/>
            </w:pPr>
            <w:r>
              <w:t xml:space="preserve">ISO 3166 country code or region name.</w:t>
            </w:r>
          </w:p>
        </w:tc>
      </w:tr>
      <w:tr>
        <w:tc>
          <w:tcPr/>
          <w:p>
            <w:pPr>
              <w:pStyle w:val="Compact"/>
            </w:pPr>
            <w:r>
              <w:rPr>
                <w:b/>
                <w:bCs/>
              </w:rPr>
              <w:t xml:space="preserve">Resource name</w:t>
            </w:r>
          </w:p>
        </w:tc>
        <w:tc>
          <w:tcPr/>
          <w:p>
            <w:pPr>
              <w:pStyle w:val="Compact"/>
            </w:pPr>
            <w:r>
              <w:t xml:space="preserve">Name of the service (e.g., “988 Suicide &amp; Crisis Lifeline”).</w:t>
            </w:r>
          </w:p>
        </w:tc>
      </w:tr>
      <w:tr>
        <w:tc>
          <w:tcPr/>
          <w:p>
            <w:pPr>
              <w:pStyle w:val="Compact"/>
            </w:pPr>
            <w:r>
              <w:rPr>
                <w:b/>
                <w:bCs/>
              </w:rPr>
              <w:t xml:space="preserve">Type</w:t>
            </w:r>
          </w:p>
        </w:tc>
        <w:tc>
          <w:tcPr/>
          <w:p>
            <w:pPr>
              <w:pStyle w:val="Compact"/>
            </w:pPr>
            <w:r>
              <w:t xml:space="preserve">Emergency (police/ambulance), suicide helpline, domestic‑violence hotline, overdose/poison control, mental‑health chat/text, youth support, veteran support, LGBTQ+ support, etc.</w:t>
            </w:r>
          </w:p>
        </w:tc>
      </w:tr>
      <w:tr>
        <w:tc>
          <w:tcPr/>
          <w:p>
            <w:pPr>
              <w:pStyle w:val="Compact"/>
            </w:pPr>
            <w:r>
              <w:rPr>
                <w:b/>
                <w:bCs/>
              </w:rPr>
              <w:t xml:space="preserve">Contact method(s)</w:t>
            </w:r>
          </w:p>
        </w:tc>
        <w:tc>
          <w:tcPr/>
          <w:p>
            <w:pPr>
              <w:pStyle w:val="Compact"/>
            </w:pPr>
            <w:r>
              <w:t xml:space="preserve">Phone numbers (with dial‑out prefix), text shortcode, chat/web URL, TTY/relay service numbers, hours of operation.</w:t>
            </w:r>
          </w:p>
        </w:tc>
      </w:tr>
      <w:tr>
        <w:tc>
          <w:tcPr/>
          <w:p>
            <w:pPr>
              <w:pStyle w:val="Compact"/>
            </w:pPr>
            <w:r>
              <w:rPr>
                <w:b/>
                <w:bCs/>
              </w:rPr>
              <w:t xml:space="preserve">Language(s)</w:t>
            </w:r>
          </w:p>
        </w:tc>
        <w:tc>
          <w:tcPr/>
          <w:p>
            <w:pPr>
              <w:pStyle w:val="Compact"/>
            </w:pPr>
            <w:r>
              <w:t xml:space="preserve">Supported languages.</w:t>
            </w:r>
          </w:p>
        </w:tc>
      </w:tr>
      <w:tr>
        <w:tc>
          <w:tcPr/>
          <w:p>
            <w:pPr>
              <w:pStyle w:val="Compact"/>
            </w:pPr>
            <w:r>
              <w:rPr>
                <w:b/>
                <w:bCs/>
              </w:rPr>
              <w:t xml:space="preserve">Coverage</w:t>
            </w:r>
          </w:p>
        </w:tc>
        <w:tc>
          <w:tcPr/>
          <w:p>
            <w:pPr>
              <w:pStyle w:val="Compact"/>
            </w:pPr>
            <w:r>
              <w:t xml:space="preserve">National or regional; specify provinces/states if not nationwide.</w:t>
            </w:r>
          </w:p>
        </w:tc>
      </w:tr>
      <w:tr>
        <w:tc>
          <w:tcPr/>
          <w:p>
            <w:pPr>
              <w:pStyle w:val="Compact"/>
            </w:pPr>
            <w:r>
              <w:rPr>
                <w:b/>
                <w:bCs/>
              </w:rPr>
              <w:t xml:space="preserve">Verified Date</w:t>
            </w:r>
          </w:p>
        </w:tc>
        <w:tc>
          <w:tcPr/>
          <w:p>
            <w:pPr>
              <w:pStyle w:val="Compact"/>
            </w:pPr>
            <w:r>
              <w:t xml:space="preserve">Date the resource was last verified.</w:t>
            </w:r>
          </w:p>
        </w:tc>
      </w:tr>
      <w:tr>
        <w:tc>
          <w:tcPr/>
          <w:p>
            <w:pPr>
              <w:pStyle w:val="Compact"/>
            </w:pPr>
            <w:r>
              <w:rPr>
                <w:b/>
                <w:bCs/>
              </w:rPr>
              <w:t xml:space="preserve">Verified By</w:t>
            </w:r>
          </w:p>
        </w:tc>
        <w:tc>
          <w:tcPr/>
          <w:p>
            <w:pPr>
              <w:pStyle w:val="Compact"/>
            </w:pPr>
            <w:r>
              <w:t xml:space="preserve">Person/team who verified it.</w:t>
            </w:r>
          </w:p>
        </w:tc>
      </w:tr>
      <w:tr>
        <w:tc>
          <w:tcPr/>
          <w:p>
            <w:pPr>
              <w:pStyle w:val="Compact"/>
            </w:pPr>
            <w:r>
              <w:rPr>
                <w:b/>
                <w:bCs/>
              </w:rPr>
              <w:t xml:space="preserve">Source URL</w:t>
            </w:r>
          </w:p>
        </w:tc>
        <w:tc>
          <w:tcPr/>
          <w:p>
            <w:pPr>
              <w:pStyle w:val="Compact"/>
            </w:pPr>
            <w:r>
              <w:t xml:space="preserve">Link to the official site used to verify the information.</w:t>
            </w:r>
          </w:p>
        </w:tc>
      </w:tr>
      <w:tr>
        <w:tc>
          <w:tcPr/>
          <w:p>
            <w:pPr>
              <w:pStyle w:val="Compact"/>
            </w:pPr>
            <w:r>
              <w:rPr>
                <w:b/>
                <w:bCs/>
              </w:rPr>
              <w:t xml:space="preserve">Notes</w:t>
            </w:r>
          </w:p>
        </w:tc>
        <w:tc>
          <w:tcPr/>
          <w:p>
            <w:pPr>
              <w:pStyle w:val="Compact"/>
            </w:pPr>
            <w:r>
              <w:t xml:space="preserve">Comments (e.g., special populations served, age limits).</w:t>
            </w:r>
          </w:p>
        </w:tc>
      </w:tr>
    </w:tbl>
    <w:p>
      <w:pPr>
        <w:pStyle w:val="BodyText"/>
      </w:pPr>
      <w:r>
        <w:t xml:space="preserve">This schema allows the product to filter resources by locale, risk category and user language.</w:t>
      </w:r>
    </w:p>
    <w:bookmarkEnd w:id="31"/>
    <w:bookmarkStart w:id="32" w:name="resource-verification-process"/>
    <w:p>
      <w:pPr>
        <w:pStyle w:val="Heading2"/>
      </w:pPr>
      <w:r>
        <w:t xml:space="preserve">6 Resource verification process</w:t>
      </w:r>
    </w:p>
    <w:p>
      <w:pPr>
        <w:pStyle w:val="Compact"/>
        <w:numPr>
          <w:ilvl w:val="0"/>
          <w:numId w:val="1003"/>
        </w:numPr>
      </w:pPr>
      <w:r>
        <w:rPr>
          <w:b/>
          <w:bCs/>
        </w:rPr>
        <w:t xml:space="preserve">Initial collection:</w:t>
      </w:r>
      <w:r>
        <w:t xml:space="preserve"> </w:t>
      </w:r>
      <w:r>
        <w:t xml:space="preserve">Compile resource lists from official government health departments, national crisis helplines and credible non‑profit organisations (e.g., 988 Lifeline in the US</w:t>
      </w:r>
      <w:hyperlink r:id="rId21">
        <w:r>
          <w:rPr>
            <w:rStyle w:val="Hyperlink"/>
          </w:rPr>
          <w:t xml:space="preserve">[1]</w:t>
        </w:r>
      </w:hyperlink>
      <w:r>
        <w:t xml:space="preserve">, Lifeline Australia</w:t>
      </w:r>
      <w:hyperlink r:id="rId22">
        <w:r>
          <w:rPr>
            <w:rStyle w:val="Hyperlink"/>
          </w:rPr>
          <w:t xml:space="preserve">[2]</w:t>
        </w:r>
      </w:hyperlink>
      <w:r>
        <w:t xml:space="preserve">, Talk Suicide Canada</w:t>
      </w:r>
      <w:hyperlink r:id="rId22">
        <w:r>
          <w:rPr>
            <w:rStyle w:val="Hyperlink"/>
          </w:rPr>
          <w:t xml:space="preserve">[3]</w:t>
        </w:r>
      </w:hyperlink>
      <w:r>
        <w:t xml:space="preserve">, Samaritans UK</w:t>
      </w:r>
      <w:hyperlink r:id="rId22">
        <w:r>
          <w:rPr>
            <w:rStyle w:val="Hyperlink"/>
          </w:rPr>
          <w:t xml:space="preserve">[4]</w:t>
        </w:r>
      </w:hyperlink>
      <w:r>
        <w:t xml:space="preserve">). Avoid third‑party blogs or unverified directories.</w:t>
      </w:r>
    </w:p>
    <w:p>
      <w:pPr>
        <w:pStyle w:val="Compact"/>
        <w:numPr>
          <w:ilvl w:val="0"/>
          <w:numId w:val="1003"/>
        </w:numPr>
      </w:pPr>
      <w:r>
        <w:rPr>
          <w:b/>
          <w:bCs/>
        </w:rPr>
        <w:t xml:space="preserve">Verify details:</w:t>
      </w:r>
      <w:r>
        <w:t xml:space="preserve"> </w:t>
      </w:r>
      <w:r>
        <w:t xml:space="preserve">For each resource, check the phone number, text code, chat URL, hours of operation and scope against the official website. Record the “Verified Date” and attach the source URL.</w:t>
      </w:r>
    </w:p>
    <w:p>
      <w:pPr>
        <w:pStyle w:val="Compact"/>
        <w:numPr>
          <w:ilvl w:val="0"/>
          <w:numId w:val="1003"/>
        </w:numPr>
      </w:pPr>
      <w:r>
        <w:rPr>
          <w:b/>
          <w:bCs/>
        </w:rPr>
        <w:t xml:space="preserve">Legal review:</w:t>
      </w:r>
      <w:r>
        <w:t xml:space="preserve"> </w:t>
      </w:r>
      <w:r>
        <w:t xml:space="preserve">Ensure that providing the resource does not violate local laws (for example, some jurisdictions restrict advice on medication or therapy). Coordinate with counsel to confirm compliance.</w:t>
      </w:r>
    </w:p>
    <w:p>
      <w:pPr>
        <w:pStyle w:val="Compact"/>
        <w:numPr>
          <w:ilvl w:val="0"/>
          <w:numId w:val="1003"/>
        </w:numPr>
      </w:pPr>
      <w:r>
        <w:rPr>
          <w:b/>
          <w:bCs/>
        </w:rPr>
        <w:t xml:space="preserve">Quality assurance:</w:t>
      </w:r>
      <w:r>
        <w:t xml:space="preserve"> </w:t>
      </w:r>
      <w:r>
        <w:t xml:space="preserve">Contact a sample of helplines annually to confirm they are operational and accessible from common mobile carriers. For text or chat services, confirm that the shortcode or link is active.</w:t>
      </w:r>
    </w:p>
    <w:p>
      <w:pPr>
        <w:pStyle w:val="Compact"/>
        <w:numPr>
          <w:ilvl w:val="0"/>
          <w:numId w:val="1003"/>
        </w:numPr>
      </w:pPr>
      <w:r>
        <w:rPr>
          <w:b/>
          <w:bCs/>
        </w:rPr>
        <w:t xml:space="preserve">Update cycle:</w:t>
      </w:r>
      <w:r>
        <w:t xml:space="preserve"> </w:t>
      </w:r>
      <w:r>
        <w:t xml:space="preserve">See § 7.</w:t>
      </w:r>
    </w:p>
    <w:bookmarkEnd w:id="32"/>
    <w:bookmarkStart w:id="33" w:name="update-schedule"/>
    <w:p>
      <w:pPr>
        <w:pStyle w:val="Heading2"/>
      </w:pPr>
      <w:r>
        <w:t xml:space="preserve">7 Update schedule</w:t>
      </w:r>
    </w:p>
    <w:p>
      <w:pPr>
        <w:pStyle w:val="Compact"/>
        <w:numPr>
          <w:ilvl w:val="0"/>
          <w:numId w:val="1004"/>
        </w:numPr>
      </w:pPr>
      <w:r>
        <w:rPr>
          <w:b/>
          <w:bCs/>
        </w:rPr>
        <w:t xml:space="preserve">Quarterly review:</w:t>
      </w:r>
      <w:r>
        <w:t xml:space="preserve"> </w:t>
      </w:r>
      <w:r>
        <w:t xml:space="preserve">Every three months, the safety team reviews all entries in the crisis‑resource database. Update phone numbers, hours and websites as needed, and re‑verify the services.</w:t>
      </w:r>
    </w:p>
    <w:p>
      <w:pPr>
        <w:pStyle w:val="Compact"/>
        <w:numPr>
          <w:ilvl w:val="0"/>
          <w:numId w:val="1004"/>
        </w:numPr>
      </w:pPr>
      <w:r>
        <w:rPr>
          <w:b/>
          <w:bCs/>
        </w:rPr>
        <w:t xml:space="preserve">Ad‑hoc updates:</w:t>
      </w:r>
      <w:r>
        <w:t xml:space="preserve"> </w:t>
      </w:r>
      <w:r>
        <w:t xml:space="preserve">If team members learn of changes (e.g., a number is retired or a new national helpline like 988 is introduced</w:t>
      </w:r>
      <w:hyperlink r:id="rId21">
        <w:r>
          <w:rPr>
            <w:rStyle w:val="Hyperlink"/>
          </w:rPr>
          <w:t xml:space="preserve">[1]</w:t>
        </w:r>
      </w:hyperlink>
      <w:r>
        <w:t xml:space="preserve">), update the database immediately.</w:t>
      </w:r>
    </w:p>
    <w:p>
      <w:pPr>
        <w:pStyle w:val="Compact"/>
        <w:numPr>
          <w:ilvl w:val="0"/>
          <w:numId w:val="1004"/>
        </w:numPr>
      </w:pPr>
      <w:r>
        <w:rPr>
          <w:b/>
          <w:bCs/>
        </w:rPr>
        <w:t xml:space="preserve">Annual audit:</w:t>
      </w:r>
      <w:r>
        <w:t xml:space="preserve"> </w:t>
      </w:r>
      <w:r>
        <w:t xml:space="preserve">Conduct a comprehensive audit with legal and clinical advisors. Remove services that no longer meet quality standards or have lost funding.</w:t>
      </w:r>
    </w:p>
    <w:p>
      <w:pPr>
        <w:pStyle w:val="Compact"/>
        <w:numPr>
          <w:ilvl w:val="0"/>
          <w:numId w:val="1004"/>
        </w:numPr>
      </w:pPr>
      <w:r>
        <w:rPr>
          <w:b/>
          <w:bCs/>
        </w:rPr>
        <w:t xml:space="preserve">User feedback channel:</w:t>
      </w:r>
      <w:r>
        <w:t xml:space="preserve"> </w:t>
      </w:r>
      <w:r>
        <w:t xml:space="preserve">Provide a way for users or helpline providers to report incorrect or outdated information. Investigate these reports within five business days.</w:t>
      </w:r>
    </w:p>
    <w:bookmarkEnd w:id="33"/>
    <w:bookmarkStart w:id="34" w:name="owner-and-accountability-model"/>
    <w:p>
      <w:pPr>
        <w:pStyle w:val="Heading2"/>
      </w:pPr>
      <w:r>
        <w:t xml:space="preserve">8 Owner and accountability model</w:t>
      </w:r>
    </w:p>
    <w:p>
      <w:pPr>
        <w:pStyle w:val="Compact"/>
        <w:numPr>
          <w:ilvl w:val="0"/>
          <w:numId w:val="1005"/>
        </w:numPr>
      </w:pPr>
      <w:r>
        <w:rPr>
          <w:b/>
          <w:bCs/>
        </w:rPr>
        <w:t xml:space="preserve">Policy owner:</w:t>
      </w:r>
      <w:r>
        <w:t xml:space="preserve"> </w:t>
      </w:r>
      <w:r>
        <w:t xml:space="preserve">Head of Safety or designated Crisis Response Lead. Responsible for approving changes to the crisis localisation policy and ensuring compliance with legal requirements.</w:t>
      </w:r>
    </w:p>
    <w:p>
      <w:pPr>
        <w:pStyle w:val="Compact"/>
        <w:numPr>
          <w:ilvl w:val="0"/>
          <w:numId w:val="1005"/>
        </w:numPr>
      </w:pPr>
      <w:r>
        <w:rPr>
          <w:b/>
          <w:bCs/>
        </w:rPr>
        <w:t xml:space="preserve">Maintenance team:</w:t>
      </w:r>
      <w:r>
        <w:t xml:space="preserve"> </w:t>
      </w:r>
      <w:r>
        <w:t xml:space="preserve">A cross‑functional group including safety specialists, clinical advisors, local subject‑matter experts and engineers. They maintain the crisis‑resource database, test detection models and localisations, and oversee training of staff.</w:t>
      </w:r>
    </w:p>
    <w:p>
      <w:pPr>
        <w:pStyle w:val="Compact"/>
        <w:numPr>
          <w:ilvl w:val="0"/>
          <w:numId w:val="1005"/>
        </w:numPr>
      </w:pPr>
      <w:r>
        <w:rPr>
          <w:b/>
          <w:bCs/>
        </w:rPr>
        <w:t xml:space="preserve">Engineering owner:</w:t>
      </w:r>
      <w:r>
        <w:t xml:space="preserve"> </w:t>
      </w:r>
      <w:r>
        <w:t xml:space="preserve">Responsible for implementing the detection pipeline, locale mapping, UI components and ensuring logs are properly anonymised.</w:t>
      </w:r>
    </w:p>
    <w:p>
      <w:pPr>
        <w:pStyle w:val="Compact"/>
        <w:numPr>
          <w:ilvl w:val="0"/>
          <w:numId w:val="1005"/>
        </w:numPr>
      </w:pPr>
      <w:r>
        <w:rPr>
          <w:b/>
          <w:bCs/>
        </w:rPr>
        <w:t xml:space="preserve">Legal and privacy counsel:</w:t>
      </w:r>
      <w:r>
        <w:t xml:space="preserve"> </w:t>
      </w:r>
      <w:r>
        <w:t xml:space="preserve">Provide ongoing guidance on data‑privacy obligations, cross‑border issues, duty‑to‑warn regulations and jurisdiction‑specific rules.</w:t>
      </w:r>
    </w:p>
    <w:p>
      <w:pPr>
        <w:pStyle w:val="Compact"/>
        <w:numPr>
          <w:ilvl w:val="0"/>
          <w:numId w:val="1005"/>
        </w:numPr>
      </w:pPr>
      <w:r>
        <w:rPr>
          <w:b/>
          <w:bCs/>
        </w:rPr>
        <w:t xml:space="preserve">Monitoring and audit:</w:t>
      </w:r>
      <w:r>
        <w:t xml:space="preserve"> </w:t>
      </w:r>
      <w:r>
        <w:t xml:space="preserve">A governance committee reviews crisis‑event logs (anonymised) quarterly to ensure the policy is followed. Any deviations trigger a root‑cause analysis.</w:t>
      </w:r>
    </w:p>
    <w:bookmarkEnd w:id="34"/>
    <w:bookmarkStart w:id="35" w:name="crisis-trigger-categories"/>
    <w:p>
      <w:pPr>
        <w:pStyle w:val="Heading2"/>
      </w:pPr>
      <w:r>
        <w:t xml:space="preserve">9 Crisis trigger categories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Trigger category</w:t>
            </w:r>
          </w:p>
        </w:tc>
        <w:tc>
          <w:tcPr/>
          <w:p>
            <w:pPr>
              <w:pStyle w:val="Compact"/>
            </w:pPr>
            <w:r>
              <w:t xml:space="preserve">Example user input (non‑exhaustive)</w:t>
            </w:r>
          </w:p>
        </w:tc>
        <w:tc>
          <w:tcPr/>
          <w:p>
            <w:pPr>
              <w:pStyle w:val="Compact"/>
            </w:pPr>
            <w:r>
              <w:t xml:space="preserve">Required action</w:t>
            </w:r>
          </w:p>
        </w:tc>
        <w:tc>
          <w:tcPr/>
          <w:p>
            <w:pPr>
              <w:pStyle w:val="Compact"/>
            </w:pPr>
            <w:r>
              <w:t xml:space="preserve">User‑facing wording (examples)</w:t>
            </w:r>
          </w:p>
        </w:tc>
        <w:tc>
          <w:tcPr/>
          <w:p>
            <w:pPr>
              <w:pStyle w:val="Compact"/>
            </w:pPr>
            <w:r>
              <w:t xml:space="preserve">Storage rule</w:t>
            </w:r>
          </w:p>
        </w:tc>
        <w:tc>
          <w:tcPr/>
          <w:p>
            <w:pPr>
              <w:pStyle w:val="Compact"/>
            </w:pPr>
            <w:r>
              <w:t xml:space="preserve">Logging rule</w:t>
            </w:r>
          </w:p>
        </w:tc>
        <w:tc>
          <w:tcPr/>
          <w:p>
            <w:pPr>
              <w:pStyle w:val="Compact"/>
            </w:pPr>
            <w:r>
              <w:t xml:space="preserve">Testing requirement</w:t>
            </w:r>
          </w:p>
        </w:tc>
      </w:tr>
      <w:tr>
        <w:tc>
          <w:tcPr/>
          <w:p>
            <w:pPr>
              <w:pStyle w:val="Compact"/>
            </w:pPr>
            <w:r>
              <w:rPr>
                <w:b/>
                <w:bCs/>
              </w:rPr>
              <w:t xml:space="preserve">Imminent self‑harm or suicide</w:t>
            </w:r>
          </w:p>
        </w:tc>
        <w:tc>
          <w:tcPr/>
          <w:p>
            <w:pPr>
              <w:pStyle w:val="Compact"/>
            </w:pPr>
            <w:r>
              <w:t xml:space="preserve">“I am going to kill myself right now,” “I have taken an overdose,” “I have a plan and the means to end my life,” “I’m about to jump off a bridge”</w:t>
            </w:r>
          </w:p>
        </w:tc>
        <w:tc>
          <w:tcPr/>
          <w:p>
            <w:pPr>
              <w:pStyle w:val="Compact"/>
            </w:pPr>
            <w:r>
              <w:t xml:space="preserve">Immediately display the crisis card; stop the normal product flow. Provide local emergency number and suicide‑prevention helpline; encourage the user to call or text (e.g., 000/112 and Lifeline 13 11 14 in Australia</w:t>
            </w:r>
            <w:hyperlink r:id="rId22">
              <w:r>
                <w:rPr>
                  <w:rStyle w:val="Hyperlink"/>
                </w:rPr>
                <w:t xml:space="preserve">[2]</w:t>
              </w:r>
            </w:hyperlink>
            <w:r>
              <w:t xml:space="preserve">, 988 in the US</w:t>
            </w:r>
            <w:hyperlink r:id="rId21">
              <w:r>
                <w:rPr>
                  <w:rStyle w:val="Hyperlink"/>
                </w:rPr>
                <w:t xml:space="preserve">[1]</w:t>
              </w:r>
            </w:hyperlink>
            <w:r>
              <w:t xml:space="preserve">). Encourage the user to stay with someone they trust. Do not continue conversation until user indicates they are safe.</w:t>
            </w:r>
          </w:p>
        </w:tc>
        <w:tc>
          <w:tcPr/>
          <w:p>
            <w:pPr>
              <w:pStyle w:val="Compact"/>
            </w:pPr>
            <w:r>
              <w:t xml:space="preserve">“It sounds like you are in immediate danger. I’m really sorry you’re feeling this way. I’m not able to help in a crisis, but you can call</w:t>
            </w:r>
            <w:r>
              <w:t xml:space="preserve"> </w:t>
            </w:r>
            <w:r>
              <w:rPr>
                <w:b/>
                <w:bCs/>
              </w:rPr>
              <w:t xml:space="preserve">[local emergency number]</w:t>
            </w:r>
            <w:r>
              <w:t xml:space="preserve"> </w:t>
            </w:r>
            <w:r>
              <w:t xml:space="preserve">or</w:t>
            </w:r>
            <w:r>
              <w:t xml:space="preserve"> </w:t>
            </w:r>
            <w:r>
              <w:rPr>
                <w:b/>
                <w:bCs/>
              </w:rPr>
              <w:t xml:space="preserve">[local suicide hotline]</w:t>
            </w:r>
            <w:r>
              <w:t xml:space="preserve"> </w:t>
            </w:r>
            <w:r>
              <w:t xml:space="preserve">for immediate support. Please contact a trusted person or these services right away.”</w:t>
            </w:r>
          </w:p>
        </w:tc>
        <w:tc>
          <w:tcPr/>
          <w:p>
            <w:pPr>
              <w:pStyle w:val="Compact"/>
            </w:pPr>
            <w:r>
              <w:t xml:space="preserve">Do not store verbatim text. Store that an “Imminent self‑harm” event occurred, locale used, resources shown and whether the user acknowledged.</w:t>
            </w:r>
          </w:p>
        </w:tc>
        <w:tc>
          <w:tcPr/>
          <w:p>
            <w:pPr>
              <w:pStyle w:val="Compact"/>
            </w:pPr>
            <w:r>
              <w:t xml:space="preserve">Create an anonymised log entry noting timestamp, event category, locale and resource IDs. No personal identifiers or message content.</w:t>
            </w:r>
          </w:p>
        </w:tc>
        <w:tc>
          <w:tcPr/>
          <w:p>
            <w:pPr>
              <w:pStyle w:val="Compact"/>
            </w:pPr>
            <w:r>
              <w:t xml:space="preserve">Test detection with synthetic statements describing imminent plans; verify that the correct crisis card appears and that normal app functions are blocked. Test for false negatives and false positives.</w:t>
            </w:r>
          </w:p>
        </w:tc>
      </w:tr>
      <w:tr>
        <w:tc>
          <w:tcPr/>
          <w:p>
            <w:pPr>
              <w:pStyle w:val="Compact"/>
            </w:pPr>
            <w:r>
              <w:rPr>
                <w:b/>
                <w:bCs/>
              </w:rPr>
              <w:t xml:space="preserve">Non‑imminent suicidal ideation / self‑harm thoughts</w:t>
            </w:r>
          </w:p>
        </w:tc>
        <w:tc>
          <w:tcPr/>
          <w:p>
            <w:pPr>
              <w:pStyle w:val="Compact"/>
            </w:pPr>
            <w:r>
              <w:t xml:space="preserve">“I don’t want to live anymore,” “Sometimes I wish I would disappear,” “I hurt myself sometimes,” “Life is meaningless”</w:t>
            </w:r>
          </w:p>
        </w:tc>
        <w:tc>
          <w:tcPr/>
          <w:p>
            <w:pPr>
              <w:pStyle w:val="Compact"/>
            </w:pPr>
            <w:r>
              <w:t xml:space="preserve">Show supportive message acknowledging the distress. Provide local crisis hotline and encourage contacting a professional or trusted person. Continue conversation in “Bad‑Day Mode” if the user indicates they are not in immediate danger.</w:t>
            </w:r>
          </w:p>
        </w:tc>
        <w:tc>
          <w:tcPr/>
          <w:p>
            <w:pPr>
              <w:pStyle w:val="Compact"/>
            </w:pPr>
            <w:r>
              <w:t xml:space="preserve">“I’m sorry you’re feeling this way. BecomingOS isn’t a crisis service. If you’re ever in danger or think you might harm yourself, please call</w:t>
            </w:r>
            <w:r>
              <w:t xml:space="preserve"> </w:t>
            </w:r>
            <w:r>
              <w:rPr>
                <w:b/>
                <w:bCs/>
              </w:rPr>
              <w:t xml:space="preserve">[local hotline]</w:t>
            </w:r>
            <w:r>
              <w:t xml:space="preserve"> </w:t>
            </w:r>
            <w:r>
              <w:t xml:space="preserve">or</w:t>
            </w:r>
            <w:r>
              <w:t xml:space="preserve"> </w:t>
            </w:r>
            <w:r>
              <w:rPr>
                <w:b/>
                <w:bCs/>
              </w:rPr>
              <w:t xml:space="preserve">[emergency number]</w:t>
            </w:r>
            <w:r>
              <w:t xml:space="preserve"> </w:t>
            </w:r>
            <w:r>
              <w:t xml:space="preserve">for immediate help. You might also want to reach out to a friend, family member or mental‑health professional.”</w:t>
            </w:r>
          </w:p>
        </w:tc>
        <w:tc>
          <w:tcPr/>
          <w:p>
            <w:pPr>
              <w:pStyle w:val="Compact"/>
            </w:pPr>
            <w:r>
              <w:t xml:space="preserve">Do not store verbatim text. Store category “Non‑imminent suicidal ideation,” locale, resources shown and user’s response (safe/not safe).</w:t>
            </w:r>
          </w:p>
        </w:tc>
        <w:tc>
          <w:tcPr/>
          <w:p>
            <w:pPr>
              <w:pStyle w:val="Compact"/>
            </w:pPr>
            <w:r>
              <w:t xml:space="preserve">Log anonymised event; record if the user escalates to immediate danger later.</w:t>
            </w:r>
          </w:p>
        </w:tc>
        <w:tc>
          <w:tcPr/>
          <w:p>
            <w:pPr>
              <w:pStyle w:val="Compact"/>
            </w:pPr>
            <w:r>
              <w:t xml:space="preserve">Use test data covering ambiguous phrases (“I don’t want to be here,” “I wish I could just sleep forever”) to ensure they trigger moderate‑risk flow. Confirm that the user can still use other features after acknowledging they are safe.</w:t>
            </w:r>
          </w:p>
        </w:tc>
      </w:tr>
      <w:tr>
        <w:tc>
          <w:tcPr/>
          <w:p>
            <w:pPr>
              <w:pStyle w:val="Compact"/>
            </w:pPr>
            <w:r>
              <w:rPr>
                <w:b/>
                <w:bCs/>
              </w:rPr>
              <w:t xml:space="preserve">Harm to others / violent intent</w:t>
            </w:r>
          </w:p>
        </w:tc>
        <w:tc>
          <w:tcPr/>
          <w:p>
            <w:pPr>
              <w:pStyle w:val="Compact"/>
            </w:pPr>
            <w:r>
              <w:t xml:space="preserve">“I’m going to hurt my partner,” “I want to kill someone,” “I’ve made a plan to shoot people,” “I am abusing my child”</w:t>
            </w:r>
          </w:p>
        </w:tc>
        <w:tc>
          <w:tcPr/>
          <w:p>
            <w:pPr>
              <w:pStyle w:val="Compact"/>
            </w:pPr>
            <w:r>
              <w:t xml:space="preserve">High‑risk: show crisis card and encourage contacting emergency services or law enforcement. Inform the user that you cannot assist with harming others.</w:t>
            </w:r>
          </w:p>
        </w:tc>
        <w:tc>
          <w:tcPr/>
          <w:p>
            <w:pPr>
              <w:pStyle w:val="Compact"/>
            </w:pPr>
            <w:r>
              <w:t xml:space="preserve">“If you’re thinking of harming someone, please stop and contact</w:t>
            </w:r>
            <w:r>
              <w:t xml:space="preserve"> </w:t>
            </w:r>
            <w:r>
              <w:rPr>
                <w:b/>
                <w:bCs/>
              </w:rPr>
              <w:t xml:space="preserve">[local emergency number]</w:t>
            </w:r>
            <w:r>
              <w:t xml:space="preserve"> </w:t>
            </w:r>
            <w:r>
              <w:t xml:space="preserve">immediately. BecomingOS can’t support violence. Getting help now can keep everyone safe.”</w:t>
            </w:r>
          </w:p>
        </w:tc>
        <w:tc>
          <w:tcPr/>
          <w:p>
            <w:pPr>
              <w:pStyle w:val="Compact"/>
            </w:pPr>
            <w:r>
              <w:t xml:space="preserve">Do not store content. Store that a “Harm to others” event occurred and resources shown.</w:t>
            </w:r>
          </w:p>
        </w:tc>
        <w:tc>
          <w:tcPr/>
          <w:p>
            <w:pPr>
              <w:pStyle w:val="Compact"/>
            </w:pPr>
            <w:r>
              <w:t xml:space="preserve">Log anonymised event; include whether law‑enforcement resource (e.g., emergency number) was displayed.</w:t>
            </w:r>
          </w:p>
        </w:tc>
        <w:tc>
          <w:tcPr/>
          <w:p>
            <w:pPr>
              <w:pStyle w:val="Compact"/>
            </w:pPr>
            <w:r>
              <w:t xml:space="preserve">Test detection of violent threats; verify that the system does not encourage or advise on harming others. Ensure wording discourages violence and suggests contacting emergency services.</w:t>
            </w:r>
          </w:p>
        </w:tc>
      </w:tr>
      <w:tr>
        <w:tc>
          <w:tcPr/>
          <w:p>
            <w:pPr>
              <w:pStyle w:val="Compact"/>
            </w:pPr>
            <w:r>
              <w:rPr>
                <w:b/>
                <w:bCs/>
              </w:rPr>
              <w:t xml:space="preserve">Overdose / poisoning / medical crisis</w:t>
            </w:r>
          </w:p>
        </w:tc>
        <w:tc>
          <w:tcPr/>
          <w:p>
            <w:pPr>
              <w:pStyle w:val="Compact"/>
            </w:pPr>
            <w:r>
              <w:t xml:space="preserve">“I just took a bunch of pills,” “I’ve been drinking and took drugs, I don’t feel well,” “My friend is unconscious from an overdose”</w:t>
            </w:r>
          </w:p>
        </w:tc>
        <w:tc>
          <w:tcPr/>
          <w:p>
            <w:pPr>
              <w:pStyle w:val="Compact"/>
            </w:pPr>
            <w:r>
              <w:t xml:space="preserve">Treat as immediate danger; show crisis card instructing to call poison control or emergency services.</w:t>
            </w:r>
          </w:p>
        </w:tc>
        <w:tc>
          <w:tcPr/>
          <w:p>
            <w:pPr>
              <w:pStyle w:val="Compact"/>
            </w:pPr>
            <w:r>
              <w:t xml:space="preserve">“This sounds like a medical emergency. Please call</w:t>
            </w:r>
            <w:r>
              <w:t xml:space="preserve"> </w:t>
            </w:r>
            <w:r>
              <w:rPr>
                <w:b/>
                <w:bCs/>
              </w:rPr>
              <w:t xml:space="preserve">[local emergency number]</w:t>
            </w:r>
            <w:r>
              <w:t xml:space="preserve"> </w:t>
            </w:r>
            <w:r>
              <w:t xml:space="preserve">or your local poison control centre immediately. BecomingOS isn’t able to help in emergencies.”</w:t>
            </w:r>
          </w:p>
        </w:tc>
        <w:tc>
          <w:tcPr/>
          <w:p>
            <w:pPr>
              <w:pStyle w:val="Compact"/>
            </w:pPr>
            <w:r>
              <w:t xml:space="preserve">Do not store content; store category “Overdose/medical crisis” and resources shown.</w:t>
            </w:r>
          </w:p>
        </w:tc>
        <w:tc>
          <w:tcPr/>
          <w:p>
            <w:pPr>
              <w:pStyle w:val="Compact"/>
            </w:pPr>
            <w:r>
              <w:t xml:space="preserve">Log anonymised event; record that poison control resources were shown.</w:t>
            </w:r>
          </w:p>
        </w:tc>
        <w:tc>
          <w:tcPr/>
          <w:p>
            <w:pPr>
              <w:pStyle w:val="Compact"/>
            </w:pPr>
            <w:r>
              <w:t xml:space="preserve">Test with sample overdose descriptions; confirm correct resource (poison control) is surfaced. Ensure no instructions on self‑treating overdose are given.</w:t>
            </w:r>
          </w:p>
        </w:tc>
      </w:tr>
      <w:tr>
        <w:tc>
          <w:tcPr/>
          <w:p>
            <w:pPr>
              <w:pStyle w:val="Compact"/>
            </w:pPr>
            <w:r>
              <w:rPr>
                <w:b/>
                <w:bCs/>
              </w:rPr>
              <w:t xml:space="preserve">Abuse / domestic violence / trafficking</w:t>
            </w:r>
          </w:p>
        </w:tc>
        <w:tc>
          <w:tcPr/>
          <w:p>
            <w:pPr>
              <w:pStyle w:val="Compact"/>
            </w:pPr>
            <w:r>
              <w:t xml:space="preserve">“My partner hits me,” “I’m trapped and can’t leave,” “I’m being abused,” “Someone is trafficking me”</w:t>
            </w:r>
          </w:p>
        </w:tc>
        <w:tc>
          <w:tcPr/>
          <w:p>
            <w:pPr>
              <w:pStyle w:val="Compact"/>
            </w:pPr>
            <w:r>
              <w:t xml:space="preserve">Show safety guidance; list local domestic‑violence or abuse hotlines; encourage contacting emergency services if in danger. Provide tips on staying safe (e.g., delete chat history, find safe place).</w:t>
            </w:r>
          </w:p>
        </w:tc>
        <w:tc>
          <w:tcPr/>
          <w:p>
            <w:pPr>
              <w:pStyle w:val="Compact"/>
            </w:pPr>
            <w:r>
              <w:t xml:space="preserve">“I’m so sorry you’re experiencing abuse. If you feel unsafe, please call</w:t>
            </w:r>
            <w:r>
              <w:t xml:space="preserve"> </w:t>
            </w:r>
            <w:r>
              <w:rPr>
                <w:b/>
                <w:bCs/>
              </w:rPr>
              <w:t xml:space="preserve">[local emergency number]</w:t>
            </w:r>
            <w:r>
              <w:t xml:space="preserve"> </w:t>
            </w:r>
            <w:r>
              <w:t xml:space="preserve">or a domestic‑violence hotline. You deserve support and safety.”</w:t>
            </w:r>
          </w:p>
        </w:tc>
        <w:tc>
          <w:tcPr/>
          <w:p>
            <w:pPr>
              <w:pStyle w:val="Compact"/>
            </w:pPr>
            <w:r>
              <w:t xml:space="preserve">Do not store details; store category “Abuse” and resources shown.</w:t>
            </w:r>
          </w:p>
        </w:tc>
        <w:tc>
          <w:tcPr/>
          <w:p>
            <w:pPr>
              <w:pStyle w:val="Compact"/>
            </w:pPr>
            <w:r>
              <w:t xml:space="preserve">Log anonymised event noting that a domestic‑violence resource was provided.</w:t>
            </w:r>
          </w:p>
        </w:tc>
        <w:tc>
          <w:tcPr/>
          <w:p>
            <w:pPr>
              <w:pStyle w:val="Compact"/>
            </w:pPr>
            <w:r>
              <w:t xml:space="preserve">Test detection on statements describing various forms of abuse. Ensure the response emphasises safety and support, not counselling.</w:t>
            </w:r>
          </w:p>
        </w:tc>
      </w:tr>
      <w:tr>
        <w:tc>
          <w:tcPr/>
          <w:p>
            <w:pPr>
              <w:pStyle w:val="Compact"/>
            </w:pPr>
            <w:r>
              <w:rPr>
                <w:b/>
                <w:bCs/>
              </w:rPr>
              <w:t xml:space="preserve">Severe mental‑health symptoms not phrased as self‑harm</w:t>
            </w:r>
          </w:p>
        </w:tc>
        <w:tc>
          <w:tcPr/>
          <w:p>
            <w:pPr>
              <w:pStyle w:val="Compact"/>
            </w:pPr>
            <w:r>
              <w:t xml:space="preserve">“I hear voices telling me to hurt myself,” “I can’t control my thoughts and it scares me,” “I’m having hallucinations”</w:t>
            </w:r>
          </w:p>
        </w:tc>
        <w:tc>
          <w:tcPr/>
          <w:p>
            <w:pPr>
              <w:pStyle w:val="Compact"/>
            </w:pPr>
            <w:r>
              <w:t xml:space="preserve">Provide empathetic text; encourage contacting mental‑health professionals or crisis services. If symptoms include imminent intent, treat as high risk.</w:t>
            </w:r>
          </w:p>
        </w:tc>
        <w:tc>
          <w:tcPr/>
          <w:p>
            <w:pPr>
              <w:pStyle w:val="Compact"/>
            </w:pPr>
            <w:r>
              <w:t xml:space="preserve">“That sounds really overwhelming. BecomingOS can’t provide medical advice, but you can speak to a mental‑health professional or call</w:t>
            </w:r>
            <w:r>
              <w:t xml:space="preserve"> </w:t>
            </w:r>
            <w:r>
              <w:rPr>
                <w:b/>
                <w:bCs/>
              </w:rPr>
              <w:t xml:space="preserve">[local crisis hotline]</w:t>
            </w:r>
            <w:r>
              <w:t xml:space="preserve"> </w:t>
            </w:r>
            <w:r>
              <w:t xml:space="preserve">for immediate support. If you feel unsafe, contact</w:t>
            </w:r>
            <w:r>
              <w:t xml:space="preserve"> </w:t>
            </w:r>
            <w:r>
              <w:rPr>
                <w:b/>
                <w:bCs/>
              </w:rPr>
              <w:t xml:space="preserve">[emergency number]</w:t>
            </w:r>
            <w:r>
              <w:t xml:space="preserve">.”</w:t>
            </w:r>
          </w:p>
        </w:tc>
        <w:tc>
          <w:tcPr/>
          <w:p>
            <w:pPr>
              <w:pStyle w:val="Compact"/>
            </w:pPr>
            <w:r>
              <w:t xml:space="preserve">Do not store message content. Record category “Severe symptoms,” locale and resources shown.</w:t>
            </w:r>
          </w:p>
        </w:tc>
        <w:tc>
          <w:tcPr/>
          <w:p>
            <w:pPr>
              <w:pStyle w:val="Compact"/>
            </w:pPr>
            <w:r>
              <w:t xml:space="preserve">Log anonymised event.</w:t>
            </w:r>
          </w:p>
        </w:tc>
        <w:tc>
          <w:tcPr/>
          <w:p>
            <w:pPr>
              <w:pStyle w:val="Compact"/>
            </w:pPr>
            <w:r>
              <w:t xml:space="preserve">Test detection of psychotic or dissociative symptoms; ensure the system provides resources and does not offer diagnostic advice.</w:t>
            </w:r>
          </w:p>
        </w:tc>
      </w:tr>
      <w:tr>
        <w:tc>
          <w:tcPr/>
          <w:p>
            <w:pPr>
              <w:pStyle w:val="Compact"/>
            </w:pPr>
            <w:r>
              <w:rPr>
                <w:b/>
                <w:bCs/>
              </w:rPr>
              <w:t xml:space="preserve">Recent traumatic event / grief</w:t>
            </w:r>
          </w:p>
        </w:tc>
        <w:tc>
          <w:tcPr/>
          <w:p>
            <w:pPr>
              <w:pStyle w:val="Compact"/>
            </w:pPr>
            <w:r>
              <w:t xml:space="preserve">“My friend just died,” “I was assaulted,” “I had a miscarriage,” “My house burned down”</w:t>
            </w:r>
          </w:p>
        </w:tc>
        <w:tc>
          <w:tcPr/>
          <w:p>
            <w:pPr>
              <w:pStyle w:val="Compact"/>
            </w:pPr>
            <w:r>
              <w:t xml:space="preserve">Offer empathy; provide crisis hotlines and encourage reaching out to supportive people. Do not provide therapy. Continue conversation if user wants to talk but monitor for escalation to self‑harm.</w:t>
            </w:r>
          </w:p>
        </w:tc>
        <w:tc>
          <w:tcPr/>
          <w:p>
            <w:pPr>
              <w:pStyle w:val="Compact"/>
            </w:pPr>
            <w:r>
              <w:t xml:space="preserve">“I’m so sorry for your loss/what happened. It’s understandable to feel overwhelmed. BecomingOS can’t offer therapy, but talking to someone you trust or contacting</w:t>
            </w:r>
            <w:r>
              <w:t xml:space="preserve"> </w:t>
            </w:r>
            <w:r>
              <w:rPr>
                <w:b/>
                <w:bCs/>
              </w:rPr>
              <w:t xml:space="preserve">[local helpline]</w:t>
            </w:r>
            <w:r>
              <w:t xml:space="preserve"> </w:t>
            </w:r>
            <w:r>
              <w:t xml:space="preserve">may help. If you ever feel in danger, call</w:t>
            </w:r>
            <w:r>
              <w:t xml:space="preserve"> </w:t>
            </w:r>
            <w:r>
              <w:rPr>
                <w:b/>
                <w:bCs/>
              </w:rPr>
              <w:t xml:space="preserve">[emergency number]</w:t>
            </w:r>
            <w:r>
              <w:t xml:space="preserve">.”</w:t>
            </w:r>
          </w:p>
        </w:tc>
        <w:tc>
          <w:tcPr/>
          <w:p>
            <w:pPr>
              <w:pStyle w:val="Compact"/>
            </w:pPr>
            <w:r>
              <w:t xml:space="preserve">Do not store details; log category “Traumatic event,” locale and resources shown.</w:t>
            </w:r>
          </w:p>
        </w:tc>
        <w:tc>
          <w:tcPr/>
          <w:p>
            <w:pPr>
              <w:pStyle w:val="Compact"/>
            </w:pPr>
            <w:r>
              <w:t xml:space="preserve">Log anonymised event; if user later expresses self‑harm, treat accordingly.</w:t>
            </w:r>
          </w:p>
        </w:tc>
        <w:tc>
          <w:tcPr/>
          <w:p>
            <w:pPr>
              <w:pStyle w:val="Compact"/>
            </w:pPr>
            <w:r>
              <w:t xml:space="preserve">Test that the system provides compassionate support while avoiding therapy; ensure correct resource mapping.</w:t>
            </w:r>
          </w:p>
        </w:tc>
      </w:tr>
      <w:tr>
        <w:tc>
          <w:tcPr/>
          <w:p>
            <w:pPr>
              <w:pStyle w:val="Compact"/>
            </w:pPr>
            <w:r>
              <w:rPr>
                <w:b/>
                <w:bCs/>
              </w:rPr>
              <w:t xml:space="preserve">Bad‑Day / non‑clinical distress</w:t>
            </w:r>
          </w:p>
        </w:tc>
        <w:tc>
          <w:tcPr/>
          <w:p>
            <w:pPr>
              <w:pStyle w:val="Compact"/>
            </w:pPr>
            <w:r>
              <w:t xml:space="preserve">“I’m feeling really sad today,” “I’m stressed and anxious,” “I feel lonely”</w:t>
            </w:r>
          </w:p>
        </w:tc>
        <w:tc>
          <w:tcPr/>
          <w:p>
            <w:pPr>
              <w:pStyle w:val="Compact"/>
            </w:pPr>
            <w:r>
              <w:t xml:space="preserve">Provide non‑clinical support (breathing exercises, journaling prompts, connecting with friends). Offer local helpline numbers in case feelings worsen. Do not present as a crisis card.</w:t>
            </w:r>
          </w:p>
        </w:tc>
        <w:tc>
          <w:tcPr/>
          <w:p>
            <w:pPr>
              <w:pStyle w:val="Compact"/>
            </w:pPr>
            <w:r>
              <w:t xml:space="preserve">“I’m sorry you’re having a tough day. Here are some self‑care suggestions that might help. If your feelings get worse or you think you might be in danger, please contact</w:t>
            </w:r>
            <w:r>
              <w:t xml:space="preserve"> </w:t>
            </w:r>
            <w:r>
              <w:rPr>
                <w:b/>
                <w:bCs/>
              </w:rPr>
              <w:t xml:space="preserve">[local hotline]</w:t>
            </w:r>
            <w:r>
              <w:t xml:space="preserve"> </w:t>
            </w:r>
            <w:r>
              <w:t xml:space="preserve">or</w:t>
            </w:r>
            <w:r>
              <w:t xml:space="preserve"> </w:t>
            </w:r>
            <w:r>
              <w:rPr>
                <w:b/>
                <w:bCs/>
              </w:rPr>
              <w:t xml:space="preserve">[emergency number]</w:t>
            </w:r>
            <w:r>
              <w:t xml:space="preserve">.”</w:t>
            </w:r>
          </w:p>
        </w:tc>
        <w:tc>
          <w:tcPr/>
          <w:p>
            <w:pPr>
              <w:pStyle w:val="Compact"/>
            </w:pPr>
            <w:r>
              <w:t xml:space="preserve">Only store that a “Bad‑Day Mode” interaction occurred (no raw text).</w:t>
            </w:r>
          </w:p>
        </w:tc>
        <w:tc>
          <w:tcPr/>
          <w:p>
            <w:pPr>
              <w:pStyle w:val="Compact"/>
            </w:pPr>
            <w:r>
              <w:t xml:space="preserve">Log anonymised event with category “Bad‑Day.”</w:t>
            </w:r>
          </w:p>
        </w:tc>
        <w:tc>
          <w:tcPr/>
          <w:p>
            <w:pPr>
              <w:pStyle w:val="Compact"/>
            </w:pPr>
            <w:r>
              <w:t xml:space="preserve">Test that mild distress statements do not trigger crisis flow; ensure suggestions are appropriate and that the user can continue normal product tasks.</w:t>
            </w:r>
          </w:p>
        </w:tc>
      </w:tr>
    </w:tbl>
    <w:bookmarkEnd w:id="35"/>
    <w:bookmarkStart w:id="36" w:name="escalation-copy-for-highrisk-events"/>
    <w:p>
      <w:pPr>
        <w:pStyle w:val="Heading2"/>
      </w:pPr>
      <w:r>
        <w:t xml:space="preserve">10 Escalation copy (for high‑risk events)</w:t>
      </w:r>
    </w:p>
    <w:p>
      <w:pPr>
        <w:pStyle w:val="FirstParagraph"/>
      </w:pPr>
      <w:r>
        <w:t xml:space="preserve">A crisis card must appear when the system detects imminent danger, violent intent, overdose or severe abuse. It should override the normal interface and present the following elements:</w:t>
      </w:r>
    </w:p>
    <w:p>
      <w:pPr>
        <w:pStyle w:val="Compact"/>
        <w:numPr>
          <w:ilvl w:val="0"/>
          <w:numId w:val="1006"/>
        </w:numPr>
      </w:pPr>
      <w:r>
        <w:rPr>
          <w:b/>
          <w:bCs/>
        </w:rPr>
        <w:t xml:space="preserve">Headline:</w:t>
      </w:r>
      <w:r>
        <w:t xml:space="preserve"> </w:t>
      </w:r>
      <w:r>
        <w:t xml:space="preserve">“Your safety comes first” (localised).</w:t>
      </w:r>
    </w:p>
    <w:p>
      <w:pPr>
        <w:pStyle w:val="Compact"/>
        <w:numPr>
          <w:ilvl w:val="0"/>
          <w:numId w:val="1006"/>
        </w:numPr>
      </w:pPr>
      <w:r>
        <w:rPr>
          <w:b/>
          <w:bCs/>
        </w:rPr>
        <w:t xml:space="preserve">Body text:</w:t>
      </w:r>
    </w:p>
    <w:p>
      <w:pPr>
        <w:pStyle w:val="BlockText"/>
      </w:pPr>
      <w:r>
        <w:t xml:space="preserve">“It sounds like you may be in immediate danger. I’m so sorry you’re going through this. BecomingOS can’t provide emergency assistance or therapy. Please contact</w:t>
      </w:r>
      <w:r>
        <w:t xml:space="preserve"> </w:t>
      </w:r>
      <w:r>
        <w:rPr>
          <w:b/>
          <w:bCs/>
        </w:rPr>
        <w:t xml:space="preserve">[local emergency number]</w:t>
      </w:r>
      <w:r>
        <w:t xml:space="preserve"> </w:t>
      </w:r>
      <w:r>
        <w:t xml:space="preserve">or</w:t>
      </w:r>
      <w:r>
        <w:t xml:space="preserve"> </w:t>
      </w:r>
      <w:r>
        <w:rPr>
          <w:b/>
          <w:bCs/>
        </w:rPr>
        <w:t xml:space="preserve">[local crisis hotline]</w:t>
      </w:r>
      <w:r>
        <w:t xml:space="preserve"> </w:t>
      </w:r>
      <w:r>
        <w:t xml:space="preserve">right away. If you can, reach out to someone you trust who can stay with you. Take slow deep breaths—help is available.”</w:t>
      </w:r>
    </w:p>
    <w:p>
      <w:pPr>
        <w:pStyle w:val="Compact"/>
        <w:numPr>
          <w:ilvl w:val="0"/>
          <w:numId w:val="1007"/>
        </w:numPr>
      </w:pPr>
      <w:r>
        <w:rPr>
          <w:b/>
          <w:bCs/>
        </w:rPr>
        <w:t xml:space="preserve">Resources list:</w:t>
      </w:r>
      <w:r>
        <w:t xml:space="preserve"> </w:t>
      </w:r>
      <w:r>
        <w:t xml:space="preserve">Show the local emergency number, suicide hotline, and any specialised lines relevant to the user’s statement (e.g., domestic‑violence hotline). Include call, text and chat options.</w:t>
      </w:r>
    </w:p>
    <w:p>
      <w:pPr>
        <w:pStyle w:val="Compact"/>
        <w:numPr>
          <w:ilvl w:val="0"/>
          <w:numId w:val="1007"/>
        </w:numPr>
      </w:pPr>
      <w:r>
        <w:rPr>
          <w:b/>
          <w:bCs/>
        </w:rPr>
        <w:t xml:space="preserve">Disclaimer:</w:t>
      </w:r>
      <w:r>
        <w:t xml:space="preserve"> </w:t>
      </w:r>
      <w:r>
        <w:t xml:space="preserve">“BecomingOS does not contact emergency services for you. We provide this information based on what you’ve typed.”</w:t>
      </w:r>
    </w:p>
    <w:p>
      <w:pPr>
        <w:pStyle w:val="Compact"/>
        <w:numPr>
          <w:ilvl w:val="0"/>
          <w:numId w:val="1007"/>
        </w:numPr>
      </w:pPr>
      <w:r>
        <w:rPr>
          <w:b/>
          <w:bCs/>
        </w:rPr>
        <w:t xml:space="preserve">Acknowledgement button:</w:t>
      </w:r>
      <w:r>
        <w:t xml:space="preserve"> </w:t>
      </w:r>
      <w:r>
        <w:t xml:space="preserve">“Got it – I’ll reach out for help” or “I’m not in danger” so the user can resume or end the conversation.</w:t>
      </w:r>
    </w:p>
    <w:p>
      <w:pPr>
        <w:pStyle w:val="Compact"/>
        <w:numPr>
          <w:ilvl w:val="0"/>
          <w:numId w:val="1007"/>
        </w:numPr>
      </w:pPr>
      <w:r>
        <w:rPr>
          <w:b/>
          <w:bCs/>
        </w:rPr>
        <w:t xml:space="preserve">Link to crisis resources database:</w:t>
      </w:r>
      <w:r>
        <w:t xml:space="preserve"> </w:t>
      </w:r>
      <w:r>
        <w:t xml:space="preserve">Provide a link to more resources (optional).</w:t>
      </w:r>
    </w:p>
    <w:p>
      <w:pPr>
        <w:pStyle w:val="FirstParagraph"/>
      </w:pPr>
      <w:r>
        <w:t xml:space="preserve">This copy is neutral, avoids making promises and emphasises the user’s agency.</w:t>
      </w:r>
    </w:p>
    <w:bookmarkEnd w:id="36"/>
    <w:bookmarkStart w:id="37" w:name="redirect-copy-moderaterisk-events"/>
    <w:p>
      <w:pPr>
        <w:pStyle w:val="Heading2"/>
      </w:pPr>
      <w:r>
        <w:t xml:space="preserve">11 Redirect copy (moderate‑risk events)</w:t>
      </w:r>
    </w:p>
    <w:p>
      <w:pPr>
        <w:pStyle w:val="FirstParagraph"/>
      </w:pPr>
      <w:r>
        <w:t xml:space="preserve">For non‑immediate suicidal ideation, severe symptoms or traumatic events, the assistant should display a message like:</w:t>
      </w:r>
    </w:p>
    <w:p>
      <w:pPr>
        <w:pStyle w:val="BlockText"/>
      </w:pPr>
      <w:r>
        <w:t xml:space="preserve">“I’m really sorry you’re feeling this way. BecomingOS isn’t a substitute for crisis support or therapy. If you ever feel like you might hurt yourself or someone else, or if things get worse, please contact</w:t>
      </w:r>
      <w:r>
        <w:t xml:space="preserve"> </w:t>
      </w:r>
      <w:r>
        <w:rPr>
          <w:b/>
          <w:bCs/>
        </w:rPr>
        <w:t xml:space="preserve">[local crisis hotline]</w:t>
      </w:r>
      <w:r>
        <w:t xml:space="preserve"> </w:t>
      </w:r>
      <w:r>
        <w:t xml:space="preserve">or</w:t>
      </w:r>
      <w:r>
        <w:t xml:space="preserve"> </w:t>
      </w:r>
      <w:r>
        <w:rPr>
          <w:b/>
          <w:bCs/>
        </w:rPr>
        <w:t xml:space="preserve">[emergency number]</w:t>
      </w:r>
      <w:r>
        <w:t xml:space="preserve"> </w:t>
      </w:r>
      <w:r>
        <w:t xml:space="preserve">immediately. You may also want to speak with a mental‑health professional or trusted person. In the meantime, would you like some breathing exercises or journaling prompts?”</w:t>
      </w:r>
    </w:p>
    <w:p>
      <w:pPr>
        <w:pStyle w:val="FirstParagraph"/>
      </w:pPr>
      <w:r>
        <w:t xml:space="preserve">This keeps the conversation open while clearly signposting to appropriate services.</w:t>
      </w:r>
    </w:p>
    <w:bookmarkEnd w:id="37"/>
    <w:bookmarkStart w:id="38" w:name="badday-mode-boundary-copy"/>
    <w:p>
      <w:pPr>
        <w:pStyle w:val="Heading2"/>
      </w:pPr>
      <w:r>
        <w:t xml:space="preserve">12 Bad‑Day Mode boundary copy</w:t>
      </w:r>
    </w:p>
    <w:p>
      <w:pPr>
        <w:pStyle w:val="FirstParagraph"/>
      </w:pPr>
      <w:r>
        <w:t xml:space="preserve">When the user expresses mild distress without clear risk (e.g., “I’m stressed at work,” “I feel lonely”), the assistant should offer supportive suggestions while making boundaries clear:</w:t>
      </w:r>
    </w:p>
    <w:p>
      <w:pPr>
        <w:pStyle w:val="BlockText"/>
      </w:pPr>
      <w:r>
        <w:t xml:space="preserve">“I’m sorry you’re having a tough day. I’m here to provide ideas that might help, like breathing exercises, gratitude journaling or connecting with a friend. I’m not a therapist and I can’t replace professional care. If you ever feel you might be in danger or need urgent support, please contact</w:t>
      </w:r>
      <w:r>
        <w:t xml:space="preserve"> </w:t>
      </w:r>
      <w:r>
        <w:rPr>
          <w:b/>
          <w:bCs/>
        </w:rPr>
        <w:t xml:space="preserve">[local crisis hotline]</w:t>
      </w:r>
      <w:r>
        <w:t xml:space="preserve"> </w:t>
      </w:r>
      <w:r>
        <w:t xml:space="preserve">or</w:t>
      </w:r>
      <w:r>
        <w:t xml:space="preserve"> </w:t>
      </w:r>
      <w:r>
        <w:rPr>
          <w:b/>
          <w:bCs/>
        </w:rPr>
        <w:t xml:space="preserve">[emergency number]</w:t>
      </w:r>
      <w:r>
        <w:t xml:space="preserve">.”</w:t>
      </w:r>
    </w:p>
    <w:p>
      <w:pPr>
        <w:pStyle w:val="FirstParagraph"/>
      </w:pPr>
      <w:r>
        <w:t xml:space="preserve">This copy emphasises limitations and provides proactive direction if things worsen.</w:t>
      </w:r>
    </w:p>
    <w:bookmarkEnd w:id="38"/>
    <w:bookmarkStart w:id="40" w:name="what-not-to-say"/>
    <w:p>
      <w:pPr>
        <w:pStyle w:val="Heading2"/>
      </w:pPr>
      <w:r>
        <w:t xml:space="preserve">13 What not to say</w:t>
      </w:r>
    </w:p>
    <w:p>
      <w:pPr>
        <w:pStyle w:val="Compact"/>
        <w:numPr>
          <w:ilvl w:val="0"/>
          <w:numId w:val="1008"/>
        </w:numPr>
      </w:pPr>
      <w:r>
        <w:rPr>
          <w:b/>
          <w:bCs/>
        </w:rPr>
        <w:t xml:space="preserve">Do not minimise or dismiss feelings.</w:t>
      </w:r>
      <w:r>
        <w:t xml:space="preserve"> </w:t>
      </w:r>
      <w:r>
        <w:t xml:space="preserve">Avoid phrases like “It’s not that bad,” “Others have it worse,” or “You’ll get over it.”</w:t>
      </w:r>
    </w:p>
    <w:p>
      <w:pPr>
        <w:pStyle w:val="Compact"/>
        <w:numPr>
          <w:ilvl w:val="0"/>
          <w:numId w:val="1008"/>
        </w:numPr>
      </w:pPr>
      <w:r>
        <w:rPr>
          <w:b/>
          <w:bCs/>
        </w:rPr>
        <w:t xml:space="preserve">Do not promise confidentiality.</w:t>
      </w:r>
      <w:r>
        <w:t xml:space="preserve"> </w:t>
      </w:r>
      <w:r>
        <w:t xml:space="preserve">The assistant should not imply that anything shared is private or will never be seen by others; rather, it should reference the privacy policy.</w:t>
      </w:r>
    </w:p>
    <w:p>
      <w:pPr>
        <w:pStyle w:val="Compact"/>
        <w:numPr>
          <w:ilvl w:val="0"/>
          <w:numId w:val="1008"/>
        </w:numPr>
      </w:pPr>
      <w:r>
        <w:rPr>
          <w:b/>
          <w:bCs/>
        </w:rPr>
        <w:t xml:space="preserve">Do not offer therapy, diagnosis or medical advice.</w:t>
      </w:r>
      <w:r>
        <w:t xml:space="preserve"> </w:t>
      </w:r>
      <w:r>
        <w:t xml:space="preserve">Statements such as “I think you’re depressed,” “Take X medicine,” or “You need therapy” are inappropriate.</w:t>
      </w:r>
    </w:p>
    <w:p>
      <w:pPr>
        <w:pStyle w:val="Compact"/>
        <w:numPr>
          <w:ilvl w:val="0"/>
          <w:numId w:val="1008"/>
        </w:numPr>
      </w:pPr>
      <w:r>
        <w:rPr>
          <w:b/>
          <w:bCs/>
        </w:rPr>
        <w:t xml:space="preserve">Do not blame or shame.</w:t>
      </w:r>
      <w:r>
        <w:t xml:space="preserve"> </w:t>
      </w:r>
      <w:r>
        <w:t xml:space="preserve">Avoid suggesting that the user’s distress is their fault. This aligns with mental‑health guidance that shaming is counterproductive</w:t>
      </w:r>
      <w:hyperlink r:id="rId39">
        <w:r>
          <w:rPr>
            <w:rStyle w:val="Hyperlink"/>
          </w:rPr>
          <w:t xml:space="preserve">[10]</w:t>
        </w:r>
      </w:hyperlink>
      <w:r>
        <w:t xml:space="preserve">.</w:t>
      </w:r>
    </w:p>
    <w:p>
      <w:pPr>
        <w:pStyle w:val="Compact"/>
        <w:numPr>
          <w:ilvl w:val="0"/>
          <w:numId w:val="1008"/>
        </w:numPr>
      </w:pPr>
      <w:r>
        <w:rPr>
          <w:b/>
          <w:bCs/>
        </w:rPr>
        <w:t xml:space="preserve">Avoid triggering language.</w:t>
      </w:r>
      <w:r>
        <w:t xml:space="preserve"> </w:t>
      </w:r>
      <w:r>
        <w:t xml:space="preserve">Use phrases like “die by suicide” rather than “commit suicide.”</w:t>
      </w:r>
    </w:p>
    <w:p>
      <w:pPr>
        <w:pStyle w:val="Compact"/>
        <w:numPr>
          <w:ilvl w:val="0"/>
          <w:numId w:val="1008"/>
        </w:numPr>
      </w:pPr>
      <w:r>
        <w:rPr>
          <w:b/>
          <w:bCs/>
        </w:rPr>
        <w:t xml:space="preserve">Do not imply real‑time monitoring or emergency dispatch.</w:t>
      </w:r>
      <w:r>
        <w:t xml:space="preserve"> </w:t>
      </w:r>
      <w:r>
        <w:t xml:space="preserve">Do not say “We are monitoring your situation” or “We will send help.”</w:t>
      </w:r>
    </w:p>
    <w:bookmarkEnd w:id="40"/>
    <w:bookmarkStart w:id="41" w:name="what-not-to-store"/>
    <w:p>
      <w:pPr>
        <w:pStyle w:val="Heading2"/>
      </w:pPr>
      <w:r>
        <w:t xml:space="preserve">14 What not to store</w:t>
      </w:r>
    </w:p>
    <w:p>
      <w:pPr>
        <w:pStyle w:val="Compact"/>
        <w:numPr>
          <w:ilvl w:val="0"/>
          <w:numId w:val="1009"/>
        </w:numPr>
      </w:pPr>
      <w:r>
        <w:rPr>
          <w:b/>
          <w:bCs/>
        </w:rPr>
        <w:t xml:space="preserve">Raw user text of crisis statements.</w:t>
      </w:r>
      <w:r>
        <w:t xml:space="preserve"> </w:t>
      </w:r>
      <w:r>
        <w:t xml:space="preserve">Instead, store only an indicator that a crisis category was triggered and anonymised metadata.</w:t>
      </w:r>
    </w:p>
    <w:p>
      <w:pPr>
        <w:pStyle w:val="Compact"/>
        <w:numPr>
          <w:ilvl w:val="0"/>
          <w:numId w:val="1009"/>
        </w:numPr>
      </w:pPr>
      <w:r>
        <w:rPr>
          <w:b/>
          <w:bCs/>
        </w:rPr>
        <w:t xml:space="preserve">Precise user location (GPS/IP).</w:t>
      </w:r>
      <w:r>
        <w:t xml:space="preserve"> </w:t>
      </w:r>
      <w:r>
        <w:t xml:space="preserve">Only store the country/region used to determine the hotline; discard the IP address after deriving location.</w:t>
      </w:r>
    </w:p>
    <w:p>
      <w:pPr>
        <w:pStyle w:val="Compact"/>
        <w:numPr>
          <w:ilvl w:val="0"/>
          <w:numId w:val="1009"/>
        </w:numPr>
      </w:pPr>
      <w:r>
        <w:rPr>
          <w:b/>
          <w:bCs/>
        </w:rPr>
        <w:t xml:space="preserve">Personal identifiers.</w:t>
      </w:r>
      <w:r>
        <w:t xml:space="preserve"> </w:t>
      </w:r>
      <w:r>
        <w:t xml:space="preserve">Remove names, phone numbers, addresses or any other PII before logging.</w:t>
      </w:r>
    </w:p>
    <w:p>
      <w:pPr>
        <w:pStyle w:val="Compact"/>
        <w:numPr>
          <w:ilvl w:val="0"/>
          <w:numId w:val="1009"/>
        </w:numPr>
      </w:pPr>
      <w:r>
        <w:rPr>
          <w:b/>
          <w:bCs/>
        </w:rPr>
        <w:t xml:space="preserve">Mental‑health diagnoses or sensitive health data.</w:t>
      </w:r>
      <w:r>
        <w:t xml:space="preserve"> </w:t>
      </w:r>
      <w:r>
        <w:t xml:space="preserve">The system should not infer or record a diagnosis.</w:t>
      </w:r>
    </w:p>
    <w:p>
      <w:pPr>
        <w:pStyle w:val="Compact"/>
        <w:numPr>
          <w:ilvl w:val="0"/>
          <w:numId w:val="1009"/>
        </w:numPr>
      </w:pPr>
      <w:r>
        <w:rPr>
          <w:b/>
          <w:bCs/>
        </w:rPr>
        <w:t xml:space="preserve">Details of violence or abuse.</w:t>
      </w:r>
      <w:r>
        <w:t xml:space="preserve"> </w:t>
      </w:r>
      <w:r>
        <w:t xml:space="preserve">Do not store explicit descriptions of abuse, violent acts, or self‑harm methods.</w:t>
      </w:r>
    </w:p>
    <w:bookmarkEnd w:id="41"/>
    <w:bookmarkStart w:id="42" w:name="safety-event-logging-model"/>
    <w:p>
      <w:pPr>
        <w:pStyle w:val="Heading2"/>
      </w:pPr>
      <w:r>
        <w:t xml:space="preserve">15 Safety event logging model</w:t>
      </w:r>
    </w:p>
    <w:p>
      <w:pPr>
        <w:pStyle w:val="FirstParagraph"/>
      </w:pPr>
      <w:r>
        <w:t xml:space="preserve">Each crisis interaction produces a safety‑event record containing: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rPr>
                <w:b/>
                <w:bCs/>
              </w:rPr>
              <w:t xml:space="preserve">event_id</w:t>
            </w:r>
          </w:p>
        </w:tc>
        <w:tc>
          <w:tcPr/>
          <w:p>
            <w:pPr>
              <w:pStyle w:val="Compact"/>
            </w:pPr>
            <w:r>
              <w:t xml:space="preserve">Unique identifier (UUID) for the event.</w:t>
            </w:r>
          </w:p>
        </w:tc>
      </w:tr>
      <w:tr>
        <w:tc>
          <w:tcPr/>
          <w:p>
            <w:pPr>
              <w:pStyle w:val="Compact"/>
            </w:pPr>
            <w:r>
              <w:rPr>
                <w:b/>
                <w:bCs/>
              </w:rPr>
              <w:t xml:space="preserve">user_id_hash</w:t>
            </w:r>
          </w:p>
        </w:tc>
        <w:tc>
          <w:tcPr/>
          <w:p>
            <w:pPr>
              <w:pStyle w:val="Compact"/>
            </w:pPr>
            <w:r>
              <w:t xml:space="preserve">Hashed user identifier (no direct PII).</w:t>
            </w:r>
          </w:p>
        </w:tc>
      </w:tr>
      <w:tr>
        <w:tc>
          <w:tcPr/>
          <w:p>
            <w:pPr>
              <w:pStyle w:val="Compact"/>
            </w:pPr>
            <w:r>
              <w:rPr>
                <w:b/>
                <w:bCs/>
              </w:rPr>
              <w:t xml:space="preserve">timestamp</w:t>
            </w:r>
          </w:p>
        </w:tc>
        <w:tc>
          <w:tcPr/>
          <w:p>
            <w:pPr>
              <w:pStyle w:val="Compact"/>
            </w:pPr>
            <w:r>
              <w:t xml:space="preserve">Date/time (UTC) when the event was detected.</w:t>
            </w:r>
          </w:p>
        </w:tc>
      </w:tr>
      <w:tr>
        <w:tc>
          <w:tcPr/>
          <w:p>
            <w:pPr>
              <w:pStyle w:val="Compact"/>
            </w:pPr>
            <w:r>
              <w:rPr>
                <w:b/>
                <w:bCs/>
              </w:rPr>
              <w:t xml:space="preserve">risk_category</w:t>
            </w:r>
          </w:p>
        </w:tc>
        <w:tc>
          <w:tcPr/>
          <w:p>
            <w:pPr>
              <w:pStyle w:val="Compact"/>
            </w:pPr>
            <w:r>
              <w:t xml:space="preserve">One of the categories defined in § 9 (e.g., “Imminent self‑harm”).</w:t>
            </w:r>
          </w:p>
        </w:tc>
      </w:tr>
      <w:tr>
        <w:tc>
          <w:tcPr/>
          <w:p>
            <w:pPr>
              <w:pStyle w:val="Compact"/>
            </w:pPr>
            <w:r>
              <w:rPr>
                <w:b/>
                <w:bCs/>
              </w:rPr>
              <w:t xml:space="preserve">locale_used</w:t>
            </w:r>
          </w:p>
        </w:tc>
        <w:tc>
          <w:tcPr/>
          <w:p>
            <w:pPr>
              <w:pStyle w:val="Compact"/>
            </w:pPr>
            <w:r>
              <w:t xml:space="preserve">Country/region code used to select resources (or “unknown”).</w:t>
            </w:r>
          </w:p>
        </w:tc>
      </w:tr>
      <w:tr>
        <w:tc>
          <w:tcPr/>
          <w:p>
            <w:pPr>
              <w:pStyle w:val="Compact"/>
            </w:pPr>
            <w:r>
              <w:rPr>
                <w:b/>
                <w:bCs/>
              </w:rPr>
              <w:t xml:space="preserve">resources_shown</w:t>
            </w:r>
          </w:p>
        </w:tc>
        <w:tc>
          <w:tcPr/>
          <w:p>
            <w:pPr>
              <w:pStyle w:val="Compact"/>
            </w:pPr>
            <w:r>
              <w:t xml:space="preserve">IDs of crisis resources presented to the user.</w:t>
            </w:r>
          </w:p>
        </w:tc>
      </w:tr>
      <w:tr>
        <w:tc>
          <w:tcPr/>
          <w:p>
            <w:pPr>
              <w:pStyle w:val="Compact"/>
            </w:pPr>
            <w:r>
              <w:rPr>
                <w:b/>
                <w:bCs/>
              </w:rPr>
              <w:t xml:space="preserve">acknowledgement</w:t>
            </w:r>
          </w:p>
        </w:tc>
        <w:tc>
          <w:tcPr/>
          <w:p>
            <w:pPr>
              <w:pStyle w:val="Compact"/>
            </w:pPr>
            <w:r>
              <w:t xml:space="preserve">Whether the user clicked “Got it” or declared they were safe.</w:t>
            </w:r>
          </w:p>
        </w:tc>
      </w:tr>
      <w:tr>
        <w:tc>
          <w:tcPr/>
          <w:p>
            <w:pPr>
              <w:pStyle w:val="Compact"/>
            </w:pPr>
            <w:r>
              <w:rPr>
                <w:b/>
                <w:bCs/>
              </w:rPr>
              <w:t xml:space="preserve">follow_up_needed</w:t>
            </w:r>
          </w:p>
        </w:tc>
        <w:tc>
          <w:tcPr/>
          <w:p>
            <w:pPr>
              <w:pStyle w:val="Compact"/>
            </w:pPr>
            <w:r>
              <w:t xml:space="preserve">Boolean flag indicating if follow‑up prompts should be shown later (e.g., user indicated they were not safe).</w:t>
            </w:r>
          </w:p>
        </w:tc>
      </w:tr>
      <w:tr>
        <w:tc>
          <w:tcPr/>
          <w:p>
            <w:pPr>
              <w:pStyle w:val="Compact"/>
            </w:pPr>
            <w:r>
              <w:rPr>
                <w:b/>
                <w:bCs/>
              </w:rPr>
              <w:t xml:space="preserve">notes</w:t>
            </w:r>
          </w:p>
        </w:tc>
        <w:tc>
          <w:tcPr/>
          <w:p>
            <w:pPr>
              <w:pStyle w:val="Compact"/>
            </w:pPr>
            <w:r>
              <w:t xml:space="preserve">Free‑text field for internal safety team (optional; no raw user text).</w:t>
            </w:r>
          </w:p>
        </w:tc>
      </w:tr>
    </w:tbl>
    <w:p>
      <w:pPr>
        <w:pStyle w:val="BodyText"/>
      </w:pPr>
      <w:r>
        <w:t xml:space="preserve">Logs must be stored in an encrypted database with access restricted to the safety team. Retention should follow data‑privacy regulations (e.g., 90 days) and then be deleted or aggregated.</w:t>
      </w:r>
    </w:p>
    <w:bookmarkEnd w:id="42"/>
    <w:bookmarkStart w:id="43" w:name="testing-plan-for-crisis-routing"/>
    <w:p>
      <w:pPr>
        <w:pStyle w:val="Heading2"/>
      </w:pPr>
      <w:r>
        <w:t xml:space="preserve">16 Testing plan for crisis routing</w:t>
      </w:r>
    </w:p>
    <w:p>
      <w:pPr>
        <w:pStyle w:val="Compact"/>
        <w:numPr>
          <w:ilvl w:val="0"/>
          <w:numId w:val="1010"/>
        </w:numPr>
      </w:pPr>
      <w:r>
        <w:rPr>
          <w:b/>
          <w:bCs/>
        </w:rPr>
        <w:t xml:space="preserve">Detection accuracy:</w:t>
      </w:r>
      <w:r>
        <w:t xml:space="preserve"> </w:t>
      </w:r>
      <w:r>
        <w:t xml:space="preserve">Use a large set of anonymised and synthetic phrases representing each trigger category. Include ambiguous and colloquial expressions (e.g., “I’m done,” “I can’t take it anymore”). Measure precision and recall for each category and iterate on the model.</w:t>
      </w:r>
    </w:p>
    <w:p>
      <w:pPr>
        <w:pStyle w:val="Compact"/>
        <w:numPr>
          <w:ilvl w:val="0"/>
          <w:numId w:val="1010"/>
        </w:numPr>
      </w:pPr>
      <w:r>
        <w:rPr>
          <w:b/>
          <w:bCs/>
        </w:rPr>
        <w:t xml:space="preserve">Locale mapping tests:</w:t>
      </w:r>
      <w:r>
        <w:t xml:space="preserve"> </w:t>
      </w:r>
      <w:r>
        <w:t xml:space="preserve">Simulate users with different profile locations, phone numbers and IPs to ensure the correct local resources are surfaced. Test manual locale override.</w:t>
      </w:r>
    </w:p>
    <w:p>
      <w:pPr>
        <w:pStyle w:val="Compact"/>
        <w:numPr>
          <w:ilvl w:val="0"/>
          <w:numId w:val="1010"/>
        </w:numPr>
      </w:pPr>
      <w:r>
        <w:rPr>
          <w:b/>
          <w:bCs/>
        </w:rPr>
        <w:t xml:space="preserve">Resource accuracy:</w:t>
      </w:r>
      <w:r>
        <w:t xml:space="preserve"> </w:t>
      </w:r>
      <w:r>
        <w:t xml:space="preserve">Verify that each hotline’s number/text/chat link is correct and that the right type of resource is shown based on the detected category (e.g., domestic‑violence lines for abuse disclosures).</w:t>
      </w:r>
    </w:p>
    <w:p>
      <w:pPr>
        <w:pStyle w:val="Compact"/>
        <w:numPr>
          <w:ilvl w:val="0"/>
          <w:numId w:val="1010"/>
        </w:numPr>
      </w:pPr>
      <w:r>
        <w:rPr>
          <w:b/>
          <w:bCs/>
        </w:rPr>
        <w:t xml:space="preserve">UI/UX tests:</w:t>
      </w:r>
      <w:r>
        <w:t xml:space="preserve"> </w:t>
      </w:r>
      <w:r>
        <w:t xml:space="preserve">Ensure the crisis card interrupts the normal flow, cannot be dismissed without acknowledgement, and is accessible (screen‑reader friendly). Test translations.</w:t>
      </w:r>
    </w:p>
    <w:p>
      <w:pPr>
        <w:pStyle w:val="Compact"/>
        <w:numPr>
          <w:ilvl w:val="0"/>
          <w:numId w:val="1010"/>
        </w:numPr>
      </w:pPr>
      <w:r>
        <w:rPr>
          <w:b/>
          <w:bCs/>
        </w:rPr>
        <w:t xml:space="preserve">Fallback tests:</w:t>
      </w:r>
      <w:r>
        <w:t xml:space="preserve"> </w:t>
      </w:r>
      <w:r>
        <w:t xml:space="preserve">When location is unknown or unsupported, check that generic wording is shown.</w:t>
      </w:r>
    </w:p>
    <w:p>
      <w:pPr>
        <w:pStyle w:val="Compact"/>
        <w:numPr>
          <w:ilvl w:val="0"/>
          <w:numId w:val="1010"/>
        </w:numPr>
      </w:pPr>
      <w:r>
        <w:rPr>
          <w:b/>
          <w:bCs/>
        </w:rPr>
        <w:t xml:space="preserve">Logging tests:</w:t>
      </w:r>
      <w:r>
        <w:t xml:space="preserve"> </w:t>
      </w:r>
      <w:r>
        <w:t xml:space="preserve">Validate that the safety‑event log captures only anonymised metadata and not raw user text.</w:t>
      </w:r>
    </w:p>
    <w:p>
      <w:pPr>
        <w:pStyle w:val="Compact"/>
        <w:numPr>
          <w:ilvl w:val="0"/>
          <w:numId w:val="1010"/>
        </w:numPr>
      </w:pPr>
      <w:r>
        <w:rPr>
          <w:b/>
          <w:bCs/>
        </w:rPr>
        <w:t xml:space="preserve">Recovery tests:</w:t>
      </w:r>
      <w:r>
        <w:t xml:space="preserve"> </w:t>
      </w:r>
      <w:r>
        <w:t xml:space="preserve">Confirm that after crisis flow, normal product features resume only when the user confirms they are safe.</w:t>
      </w:r>
    </w:p>
    <w:p>
      <w:pPr>
        <w:pStyle w:val="Compact"/>
        <w:numPr>
          <w:ilvl w:val="0"/>
          <w:numId w:val="1010"/>
        </w:numPr>
      </w:pPr>
      <w:r>
        <w:rPr>
          <w:b/>
          <w:bCs/>
        </w:rPr>
        <w:t xml:space="preserve">Adversarial tests:</w:t>
      </w:r>
      <w:r>
        <w:t xml:space="preserve"> </w:t>
      </w:r>
      <w:r>
        <w:t xml:space="preserve">Test scenarios where users attempt to circumvent detection (misspellings, euphemisms) to ensure robust triggering. Also test that benign queries (e.g., “emergency exit instructions,” “murder mystery novel”) do not trigger crisis routing.</w:t>
      </w:r>
    </w:p>
    <w:p>
      <w:pPr>
        <w:pStyle w:val="Compact"/>
        <w:numPr>
          <w:ilvl w:val="0"/>
          <w:numId w:val="1010"/>
        </w:numPr>
      </w:pPr>
      <w:r>
        <w:rPr>
          <w:b/>
          <w:bCs/>
        </w:rPr>
        <w:t xml:space="preserve">Compliance audit:</w:t>
      </w:r>
      <w:r>
        <w:t xml:space="preserve"> </w:t>
      </w:r>
      <w:r>
        <w:t xml:space="preserve">Periodically audit the system with external clinical and legal experts to ensure the policy aligns with best practices and legal obligations.</w:t>
      </w:r>
    </w:p>
    <w:bookmarkEnd w:id="43"/>
    <w:bookmarkStart w:id="45" w:name="open-questions-for-legalsafety-review"/>
    <w:p>
      <w:pPr>
        <w:pStyle w:val="Heading2"/>
      </w:pPr>
      <w:r>
        <w:t xml:space="preserve">17 Open questions for legal/safety review</w:t>
      </w:r>
    </w:p>
    <w:p>
      <w:pPr>
        <w:pStyle w:val="Compact"/>
        <w:numPr>
          <w:ilvl w:val="0"/>
          <w:numId w:val="1011"/>
        </w:numPr>
      </w:pPr>
      <w:r>
        <w:rPr>
          <w:b/>
          <w:bCs/>
        </w:rPr>
        <w:t xml:space="preserve">Duty to warn and mandatory reporting:</w:t>
      </w:r>
      <w:r>
        <w:t xml:space="preserve"> </w:t>
      </w:r>
      <w:r>
        <w:t xml:space="preserve">In certain jurisdictions, service providers may have a legal duty to warn authorities if they believe someone is at imminent risk of self‑harm or harming others. How does this apply to a non‑clinical wellness app operating globally?</w:t>
      </w:r>
    </w:p>
    <w:p>
      <w:pPr>
        <w:pStyle w:val="Compact"/>
        <w:numPr>
          <w:ilvl w:val="0"/>
          <w:numId w:val="1011"/>
        </w:numPr>
      </w:pPr>
      <w:r>
        <w:rPr>
          <w:b/>
          <w:bCs/>
        </w:rPr>
        <w:t xml:space="preserve">Cross‑border data transfer:</w:t>
      </w:r>
      <w:r>
        <w:t xml:space="preserve"> </w:t>
      </w:r>
      <w:r>
        <w:t xml:space="preserve">When using IP‑geolocation or storing crisis logs, what restrictions apply under GDPR, CCPA and other privacy laws? Is user consent required for storing the hashed user ID and locale information?</w:t>
      </w:r>
    </w:p>
    <w:p>
      <w:pPr>
        <w:pStyle w:val="Compact"/>
        <w:numPr>
          <w:ilvl w:val="0"/>
          <w:numId w:val="1011"/>
        </w:numPr>
      </w:pPr>
      <w:r>
        <w:rPr>
          <w:b/>
          <w:bCs/>
        </w:rPr>
        <w:t xml:space="preserve">Minors and consent:</w:t>
      </w:r>
      <w:r>
        <w:t xml:space="preserve"> </w:t>
      </w:r>
      <w:r>
        <w:t xml:space="preserve">Are there additional obligations when the user is a minor (e.g., contacting guardians)? How should the system handle crisis disclosures from under‑aged users?</w:t>
      </w:r>
    </w:p>
    <w:p>
      <w:pPr>
        <w:pStyle w:val="Compact"/>
        <w:numPr>
          <w:ilvl w:val="0"/>
          <w:numId w:val="1011"/>
        </w:numPr>
      </w:pPr>
      <w:r>
        <w:rPr>
          <w:b/>
          <w:bCs/>
        </w:rPr>
        <w:t xml:space="preserve">Liability for providing incorrect information:</w:t>
      </w:r>
      <w:r>
        <w:t xml:space="preserve"> </w:t>
      </w:r>
      <w:r>
        <w:t xml:space="preserve">If a hotline number is outdated or not accessible from certain carriers, could the company be liable? What indemnification or disclaimer wording is necessary?</w:t>
      </w:r>
    </w:p>
    <w:p>
      <w:pPr>
        <w:pStyle w:val="Compact"/>
        <w:numPr>
          <w:ilvl w:val="0"/>
          <w:numId w:val="1011"/>
        </w:numPr>
      </w:pPr>
      <w:r>
        <w:rPr>
          <w:b/>
          <w:bCs/>
        </w:rPr>
        <w:t xml:space="preserve">Third‑party resource vetting:</w:t>
      </w:r>
      <w:r>
        <w:t xml:space="preserve"> </w:t>
      </w:r>
      <w:r>
        <w:t xml:space="preserve">Are there risks associated with listing non‑governmental organisations? Should we require a memorandum of understanding with each helpline?</w:t>
      </w:r>
    </w:p>
    <w:p>
      <w:pPr>
        <w:pStyle w:val="Compact"/>
        <w:numPr>
          <w:ilvl w:val="0"/>
          <w:numId w:val="1011"/>
        </w:numPr>
      </w:pPr>
      <w:r>
        <w:rPr>
          <w:b/>
          <w:bCs/>
        </w:rPr>
        <w:t xml:space="preserve">Integration with future features:</w:t>
      </w:r>
      <w:r>
        <w:t xml:space="preserve"> </w:t>
      </w:r>
      <w:r>
        <w:t xml:space="preserve">If BecomingOS introduces social features (e.g., community forums), how does crisis detection and routing apply to user‑generated content posted publicly?</w:t>
      </w:r>
    </w:p>
    <w:p>
      <w:pPr>
        <w:pStyle w:val="Compact"/>
        <w:numPr>
          <w:ilvl w:val="0"/>
          <w:numId w:val="1011"/>
        </w:numPr>
      </w:pPr>
      <w:r>
        <w:rPr>
          <w:b/>
          <w:bCs/>
        </w:rPr>
        <w:t xml:space="preserve">Language localisation:</w:t>
      </w:r>
      <w:r>
        <w:t xml:space="preserve"> </w:t>
      </w:r>
      <w:r>
        <w:t xml:space="preserve">What languages must be supported for each locale to meet accessibility requirements? Are there specific legal requirements for bilingual messaging (e.g., French/English in Canada)?</w:t>
      </w:r>
    </w:p>
    <w:p>
      <w:pPr>
        <w:pStyle w:val="Compact"/>
        <w:numPr>
          <w:ilvl w:val="0"/>
          <w:numId w:val="1011"/>
        </w:numPr>
      </w:pPr>
      <w:r>
        <w:rPr>
          <w:b/>
          <w:bCs/>
        </w:rPr>
        <w:t xml:space="preserve">Accessibility and discrimination:</w:t>
      </w:r>
      <w:r>
        <w:t xml:space="preserve"> </w:t>
      </w:r>
      <w:r>
        <w:t xml:space="preserve">How should crisis messaging accommodate users with disabilities (e.g., Deaf/HoH, visual impairment) without making assumptions about their abilities?</w:t>
      </w:r>
    </w:p>
    <w:p>
      <w:pPr>
        <w:pStyle w:val="Compact"/>
        <w:numPr>
          <w:ilvl w:val="0"/>
          <w:numId w:val="1011"/>
        </w:numPr>
      </w:pPr>
      <w:r>
        <w:rPr>
          <w:b/>
          <w:bCs/>
        </w:rPr>
        <w:t xml:space="preserve">Retention and deletion:</w:t>
      </w:r>
      <w:r>
        <w:t xml:space="preserve"> </w:t>
      </w:r>
      <w:r>
        <w:t xml:space="preserve">What is the minimum and maximum safe‑event log retention period under various jurisdictions? Who approves deletion schedules?</w:t>
      </w:r>
    </w:p>
    <w:p>
      <w:pPr>
        <w:pStyle w:val="Compact"/>
        <w:numPr>
          <w:ilvl w:val="0"/>
          <w:numId w:val="1011"/>
        </w:numPr>
      </w:pPr>
      <w:r>
        <w:rPr>
          <w:b/>
          <w:bCs/>
        </w:rPr>
        <w:t xml:space="preserve">Communication with helplines:</w:t>
      </w:r>
      <w:r>
        <w:t xml:space="preserve"> </w:t>
      </w:r>
      <w:r>
        <w:t xml:space="preserve">Can or should the app include clickable links to text or call numbers directly? Do we need permission from helpline providers?</w:t>
      </w:r>
    </w:p>
    <w:p>
      <w:r>
        <w:pict>
          <v:rect style="width:0;height:1.5pt" o:hralign="center" o:hrstd="t" o:hr="t"/>
        </w:pict>
      </w:r>
    </w:p>
    <w:p>
      <w:pPr>
        <w:pStyle w:val="FirstParagraph"/>
      </w:pPr>
      <w:r>
        <w:rPr>
          <w:b/>
          <w:bCs/>
        </w:rPr>
        <w:t xml:space="preserve">Summary of key sources:</w:t>
      </w:r>
      <w:r>
        <w:t xml:space="preserve"> </w:t>
      </w:r>
      <w:r>
        <w:t xml:space="preserve">The policy draws on research emphasising that individuals in crisis need a strong network of care and a plan including contact information for therapists, family/friends and local crisis numbers</w:t>
      </w:r>
      <w:hyperlink r:id="rId44">
        <w:r>
          <w:rPr>
            <w:rStyle w:val="Hyperlink"/>
          </w:rPr>
          <w:t xml:space="preserve">[11]</w:t>
        </w:r>
      </w:hyperlink>
      <w:r>
        <w:t xml:space="preserve">. It also leverages official descriptions of the 988 Suicide &amp; Crisis Lifeline, which provides free and confidential emotional support 24/7 across the United States</w:t>
      </w:r>
      <w:hyperlink r:id="rId21">
        <w:r>
          <w:rPr>
            <w:rStyle w:val="Hyperlink"/>
          </w:rPr>
          <w:t xml:space="preserve">[1]</w:t>
        </w:r>
      </w:hyperlink>
      <w:r>
        <w:t xml:space="preserve">. For international resources, it references verified lists of emergency numbers and helplines for Australia</w:t>
      </w:r>
      <w:hyperlink r:id="rId22">
        <w:r>
          <w:rPr>
            <w:rStyle w:val="Hyperlink"/>
          </w:rPr>
          <w:t xml:space="preserve">[2]</w:t>
        </w:r>
      </w:hyperlink>
      <w:r>
        <w:t xml:space="preserve">, Canada</w:t>
      </w:r>
      <w:hyperlink r:id="rId22">
        <w:r>
          <w:rPr>
            <w:rStyle w:val="Hyperlink"/>
          </w:rPr>
          <w:t xml:space="preserve">[3]</w:t>
        </w:r>
      </w:hyperlink>
      <w:r>
        <w:t xml:space="preserve">, and the United Kingdom</w:t>
      </w:r>
      <w:hyperlink r:id="rId22">
        <w:r>
          <w:rPr>
            <w:rStyle w:val="Hyperlink"/>
          </w:rPr>
          <w:t xml:space="preserve">[4]</w:t>
        </w:r>
      </w:hyperlink>
      <w:r>
        <w:t xml:space="preserve">, ensuring that the system can surface accurate, localised crisis support.</w:t>
      </w:r>
    </w:p>
    <w:bookmarkEnd w:id="45"/>
    <w:bookmarkEnd w:id="46"/>
    <w:bookmarkEnd w:id="47"/>
    <w:p>
      <w:r>
        <w:pict>
          <v:rect style="width:0;height:1.5pt" o:hralign="center" o:hrstd="t" o:hr="t"/>
        </w:pict>
      </w:r>
    </w:p>
    <w:bookmarkStart w:id="50" w:name="citations"/>
    <w:p>
      <w:pPr>
        <w:pStyle w:val="FirstParagraph"/>
      </w:pPr>
      <w:hyperlink r:id="rId21">
        <w:r>
          <w:rPr>
            <w:rStyle w:val="Hyperlink"/>
          </w:rPr>
          <w:t xml:space="preserve">[1]</w:t>
        </w:r>
      </w:hyperlink>
      <w:r>
        <w:t xml:space="preserve"> </w:t>
      </w:r>
      <w:r>
        <w:t xml:space="preserve">About 988 - 988 Lifeline</w:t>
      </w:r>
    </w:p>
    <w:p>
      <w:pPr>
        <w:pStyle w:val="BodyText"/>
      </w:pPr>
      <w:hyperlink r:id="rId48">
        <w:r>
          <w:rPr>
            <w:rStyle w:val="Hyperlink"/>
          </w:rPr>
          <w:t xml:space="preserve">https://988lifeline.org/about/</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4">
        <w:r>
          <w:rPr>
            <w:rStyle w:val="Hyperlink"/>
          </w:rPr>
          <w:t xml:space="preserve">[6]</w:t>
        </w:r>
      </w:hyperlink>
      <w:r>
        <w:t xml:space="preserve"> </w:t>
      </w:r>
      <w:hyperlink r:id="rId25">
        <w:r>
          <w:rPr>
            <w:rStyle w:val="Hyperlink"/>
          </w:rPr>
          <w:t xml:space="preserve">[7]</w:t>
        </w:r>
      </w:hyperlink>
      <w:r>
        <w:t xml:space="preserve"> </w:t>
      </w:r>
      <w:hyperlink r:id="rId26">
        <w:r>
          <w:rPr>
            <w:rStyle w:val="Hyperlink"/>
          </w:rPr>
          <w:t xml:space="preserve">[8]</w:t>
        </w:r>
      </w:hyperlink>
      <w:r>
        <w:t xml:space="preserve"> </w:t>
      </w:r>
      <w:hyperlink r:id="rId27">
        <w:r>
          <w:rPr>
            <w:rStyle w:val="Hyperlink"/>
          </w:rPr>
          <w:t xml:space="preserve">[9]</w:t>
        </w:r>
      </w:hyperlink>
      <w:r>
        <w:t xml:space="preserve"> </w:t>
      </w:r>
      <w:r>
        <w:t xml:space="preserve">List of suicide crisis lines - Wikipedia</w:t>
      </w:r>
    </w:p>
    <w:p>
      <w:pPr>
        <w:pStyle w:val="BodyText"/>
      </w:pPr>
      <w:hyperlink r:id="rId25">
        <w:r>
          <w:rPr>
            <w:rStyle w:val="Hyperlink"/>
          </w:rPr>
          <w:t xml:space="preserve">https://en.wikipedia.org/wiki/List_of_suicide_crisis_lines</w:t>
        </w:r>
      </w:hyperlink>
    </w:p>
    <w:p>
      <w:pPr>
        <w:pStyle w:val="BodyText"/>
      </w:pPr>
      <w:hyperlink r:id="rId39">
        <w:r>
          <w:rPr>
            <w:rStyle w:val="Hyperlink"/>
          </w:rPr>
          <w:t xml:space="preserve">[10]</w:t>
        </w:r>
      </w:hyperlink>
      <w:r>
        <w:t xml:space="preserve"> </w:t>
      </w:r>
      <w:hyperlink r:id="rId44">
        <w:r>
          <w:rPr>
            <w:rStyle w:val="Hyperlink"/>
          </w:rPr>
          <w:t xml:space="preserve">[11]</w:t>
        </w:r>
      </w:hyperlink>
      <w:r>
        <w:t xml:space="preserve"> </w:t>
      </w:r>
      <w:r>
        <w:t xml:space="preserve">The Do's and Don'ts of Supporting Someone in a Mental Health Crisis</w:t>
      </w:r>
    </w:p>
    <w:p>
      <w:pPr>
        <w:pStyle w:val="BodyText"/>
      </w:pPr>
      <w:hyperlink r:id="rId49">
        <w:r>
          <w:rPr>
            <w:rStyle w:val="Hyperlink"/>
          </w:rPr>
          <w:t xml:space="preserve">https://www.healthline.com/health/mental-health/supporting-someone-in-a-mental-health-crisis</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988lifeline.org/about/" TargetMode="External" /><Relationship Type="http://schemas.openxmlformats.org/officeDocument/2006/relationships/hyperlink" Id="rId21" Target="https://988lifeline.org/about/#:~:text=The%20988%20Suicide%20%26%20Crisis,national%20standards%20and%20best%20practices" TargetMode="External" /><Relationship Type="http://schemas.openxmlformats.org/officeDocument/2006/relationships/hyperlink" Id="rId25" Target="https://en.wikipedia.org/wiki/List_of_suicide_crisis_lines" TargetMode="External" /><Relationship Type="http://schemas.openxmlformats.org/officeDocument/2006/relationships/hyperlink" Id="rId22" Target="https://en.wikipedia.org/wiki/List_of_suicide_crisis_lines#:~:text=" TargetMode="External" /><Relationship Type="http://schemas.openxmlformats.org/officeDocument/2006/relationships/hyperlink" Id="rId24" Target="https://en.wikipedia.org/wiki/List_of_suicide_crisis_lines#:~:text=%28https%3A%2F%2F988lifeline.org%2F%29%20is%20a%2024,can%20be%20reached%20at%20988" TargetMode="External" /><Relationship Type="http://schemas.openxmlformats.org/officeDocument/2006/relationships/hyperlink" Id="rId27" Target="https://en.wikipedia.org/wiki/List_of_suicide_crisis_lines#:~:text=,Call%200808%20808%208000" TargetMode="External" /><Relationship Type="http://schemas.openxmlformats.org/officeDocument/2006/relationships/hyperlink" Id="rId26" Target="https://en.wikipedia.org/wiki/List_of_suicide_crisis_lines#:~:text=,uk.org" TargetMode="External" /><Relationship Type="http://schemas.openxmlformats.org/officeDocument/2006/relationships/hyperlink" Id="rId49" Target="https://www.healthline.com/health/mental-health/supporting-someone-in-a-mental-health-crisis" TargetMode="External" /><Relationship Type="http://schemas.openxmlformats.org/officeDocument/2006/relationships/hyperlink" Id="rId39" Target="https://www.healthline.com/health/mental-health/supporting-someone-in-a-mental-health-crisis#:~:text=DON%E2%80%99T%3A%20Blame%20or%20shame" TargetMode="External" /><Relationship Type="http://schemas.openxmlformats.org/officeDocument/2006/relationships/hyperlink" Id="rId44" Target="https://www.healthline.com/health/mental-health/supporting-someone-in-a-mental-health-crisis#:~:text=If%20you%20know%20someone%20is,That%20can%20be%20organized%20upfront" TargetMode="External" /></Relationships>
</file>

<file path=word/_rels/footnotes.xml.rels><?xml version="1.0" encoding="UTF-8"?><Relationships xmlns="http://schemas.openxmlformats.org/package/2006/relationships"><Relationship Type="http://schemas.openxmlformats.org/officeDocument/2006/relationships/hyperlink" Id="rId48" Target="https://988lifeline.org/about/" TargetMode="External" /><Relationship Type="http://schemas.openxmlformats.org/officeDocument/2006/relationships/hyperlink" Id="rId21" Target="https://988lifeline.org/about/#:~:text=The%20988%20Suicide%20%26%20Crisis,national%20standards%20and%20best%20practices" TargetMode="External" /><Relationship Type="http://schemas.openxmlformats.org/officeDocument/2006/relationships/hyperlink" Id="rId25" Target="https://en.wikipedia.org/wiki/List_of_suicide_crisis_lines" TargetMode="External" /><Relationship Type="http://schemas.openxmlformats.org/officeDocument/2006/relationships/hyperlink" Id="rId22" Target="https://en.wikipedia.org/wiki/List_of_suicide_crisis_lines#:~:text=" TargetMode="External" /><Relationship Type="http://schemas.openxmlformats.org/officeDocument/2006/relationships/hyperlink" Id="rId24" Target="https://en.wikipedia.org/wiki/List_of_suicide_crisis_lines#:~:text=%28https%3A%2F%2F988lifeline.org%2F%29%20is%20a%2024,can%20be%20reached%20at%20988" TargetMode="External" /><Relationship Type="http://schemas.openxmlformats.org/officeDocument/2006/relationships/hyperlink" Id="rId27" Target="https://en.wikipedia.org/wiki/List_of_suicide_crisis_lines#:~:text=,Call%200808%20808%208000" TargetMode="External" /><Relationship Type="http://schemas.openxmlformats.org/officeDocument/2006/relationships/hyperlink" Id="rId26" Target="https://en.wikipedia.org/wiki/List_of_suicide_crisis_lines#:~:text=,uk.org" TargetMode="External" /><Relationship Type="http://schemas.openxmlformats.org/officeDocument/2006/relationships/hyperlink" Id="rId49" Target="https://www.healthline.com/health/mental-health/supporting-someone-in-a-mental-health-crisis" TargetMode="External" /><Relationship Type="http://schemas.openxmlformats.org/officeDocument/2006/relationships/hyperlink" Id="rId39" Target="https://www.healthline.com/health/mental-health/supporting-someone-in-a-mental-health-crisis#:~:text=DON%E2%80%99T%3A%20Blame%20or%20shame" TargetMode="External" /><Relationship Type="http://schemas.openxmlformats.org/officeDocument/2006/relationships/hyperlink" Id="rId44" Target="https://www.healthline.com/health/mental-health/supporting-someone-in-a-mental-health-crisis#:~:text=If%20you%20know%20someone%20is,That%20can%20be%20organized%20upfro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2026-05-16T08:55:45Z</dcterms:created>
  <dcterms:modified xsi:type="dcterms:W3CDTF">2026-05-16T08:55:45Z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