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becomingos-security-threat-model-premvp"/>
    <w:p>
      <w:pPr>
        <w:pStyle w:val="Heading1"/>
      </w:pPr>
      <w:r>
        <w:t xml:space="preserve">BecomingOS Security Threat Model (Pre‑MVP)</w:t>
      </w:r>
    </w:p>
    <w:bookmarkStart w:id="22" w:name="project-overview"/>
    <w:p>
      <w:pPr>
        <w:pStyle w:val="Heading2"/>
      </w:pPr>
      <w:r>
        <w:t xml:space="preserve">Project overview</w:t>
      </w:r>
    </w:p>
    <w:p>
      <w:pPr>
        <w:pStyle w:val="FirstParagraph"/>
      </w:pPr>
      <w:r>
        <w:t xml:space="preserve">BecomingOS is a digital “operating system for memories.” Users store highly personal</w:t>
      </w:r>
      <w:r>
        <w:t xml:space="preserve"> </w:t>
      </w:r>
      <w:r>
        <w:rPr>
          <w:b/>
          <w:bCs/>
        </w:rPr>
        <w:t xml:space="preserve">reflections</w:t>
      </w:r>
      <w:r>
        <w:t xml:space="preserve">,</w:t>
      </w:r>
      <w:r>
        <w:t xml:space="preserve"> </w:t>
      </w:r>
      <w:r>
        <w:rPr>
          <w:b/>
          <w:bCs/>
        </w:rPr>
        <w:t xml:space="preserve">memories</w:t>
      </w:r>
      <w:r>
        <w:t xml:space="preserve">,</w:t>
      </w:r>
      <w:r>
        <w:t xml:space="preserve"> </w:t>
      </w:r>
      <w:r>
        <w:rPr>
          <w:b/>
          <w:bCs/>
        </w:rPr>
        <w:t xml:space="preserve">AI‑generated drafts</w:t>
      </w:r>
      <w:r>
        <w:t xml:space="preserve">,</w:t>
      </w:r>
      <w:r>
        <w:t xml:space="preserve"> </w:t>
      </w:r>
      <w:r>
        <w:rPr>
          <w:b/>
          <w:bCs/>
        </w:rPr>
        <w:t xml:space="preserve">consents</w:t>
      </w:r>
      <w:r>
        <w:t xml:space="preserve">,</w:t>
      </w:r>
      <w:r>
        <w:t xml:space="preserve"> </w:t>
      </w:r>
      <w:r>
        <w:rPr>
          <w:b/>
          <w:bCs/>
        </w:rPr>
        <w:t xml:space="preserve">safety events</w:t>
      </w:r>
      <w:r>
        <w:t xml:space="preserve"> </w:t>
      </w:r>
      <w:r>
        <w:t xml:space="preserve">and optional</w:t>
      </w:r>
      <w:r>
        <w:t xml:space="preserve"> </w:t>
      </w:r>
      <w:r>
        <w:rPr>
          <w:b/>
          <w:bCs/>
        </w:rPr>
        <w:t xml:space="preserve">calendar preferences</w:t>
      </w:r>
      <w:r>
        <w:t xml:space="preserve">. The platform may integrate with</w:t>
      </w:r>
      <w:r>
        <w:t xml:space="preserve"> </w:t>
      </w:r>
      <w:r>
        <w:rPr>
          <w:b/>
          <w:bCs/>
        </w:rPr>
        <w:t xml:space="preserve">AI providers</w:t>
      </w:r>
      <w:r>
        <w:t xml:space="preserve"> </w:t>
      </w:r>
      <w:r>
        <w:t xml:space="preserve">for generative services and with optional</w:t>
      </w:r>
      <w:r>
        <w:t xml:space="preserve"> </w:t>
      </w:r>
      <w:r>
        <w:rPr>
          <w:b/>
          <w:bCs/>
        </w:rPr>
        <w:t xml:space="preserve">encrypted cloud backups</w:t>
      </w:r>
      <w:r>
        <w:t xml:space="preserve">. Because the platform collects sensitive data and may use third‑party generative AI services, a comprehensive security and privacy plan is required before the minimum viable product (MVP) is built.</w:t>
      </w:r>
    </w:p>
    <w:bookmarkStart w:id="21" w:name="key-assumptions"/>
    <w:p>
      <w:pPr>
        <w:pStyle w:val="Heading3"/>
      </w:pPr>
      <w:r>
        <w:t xml:space="preserve">Key assumptions</w:t>
      </w:r>
    </w:p>
    <w:p>
      <w:pPr>
        <w:pStyle w:val="Compact"/>
        <w:numPr>
          <w:ilvl w:val="0"/>
          <w:numId w:val="1001"/>
        </w:numPr>
      </w:pPr>
      <w:r>
        <w:t xml:space="preserve">The user’s timezone is Australia/Sydney (16 May 2026). All dates are expressed with year for clarity.</w:t>
      </w:r>
    </w:p>
    <w:p>
      <w:pPr>
        <w:pStyle w:val="Compact"/>
        <w:numPr>
          <w:ilvl w:val="0"/>
          <w:numId w:val="1001"/>
        </w:numPr>
      </w:pPr>
      <w:r>
        <w:t xml:space="preserve">The system will run on cloud infrastructure with a web/mobile client. A vector database stores embeddings for retrieval. Third‑party AI providers are used for generative tasks.</w:t>
      </w:r>
    </w:p>
    <w:p>
      <w:pPr>
        <w:pStyle w:val="Compact"/>
        <w:numPr>
          <w:ilvl w:val="0"/>
          <w:numId w:val="1001"/>
        </w:numPr>
      </w:pPr>
      <w:r>
        <w:t xml:space="preserve">Secure coding practices (input validation, OWASP top‑10) are assumed but not detailed here.</w:t>
      </w:r>
    </w:p>
    <w:bookmarkEnd w:id="21"/>
    <w:bookmarkEnd w:id="22"/>
    <w:bookmarkStart w:id="28" w:name="asset-inventory"/>
    <w:p>
      <w:pPr>
        <w:pStyle w:val="Heading2"/>
      </w:pPr>
      <w:r>
        <w:t xml:space="preserve">1 Asset inventory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Asset</w:t>
            </w:r>
          </w:p>
        </w:tc>
        <w:tc>
          <w:tcPr/>
          <w:p>
            <w:pPr>
              <w:pStyle w:val="Compact"/>
            </w:pPr>
            <w:r>
              <w:t xml:space="preserve">Description</w:t>
            </w:r>
          </w:p>
        </w:tc>
        <w:tc>
          <w:tcPr/>
          <w:p>
            <w:pPr>
              <w:pStyle w:val="Compact"/>
            </w:pPr>
            <w:r>
              <w:t xml:space="preserve">Sensitivity</w:t>
            </w:r>
          </w:p>
        </w:tc>
      </w:tr>
      <w:tr>
        <w:tc>
          <w:tcPr/>
          <w:p>
            <w:pPr>
              <w:pStyle w:val="Compact"/>
            </w:pPr>
            <w:r>
              <w:rPr>
                <w:b/>
                <w:bCs/>
              </w:rPr>
              <w:t xml:space="preserve">User reflections/memories</w:t>
            </w:r>
          </w:p>
        </w:tc>
        <w:tc>
          <w:tcPr/>
          <w:p>
            <w:pPr>
              <w:pStyle w:val="Compact"/>
            </w:pPr>
            <w:r>
              <w:t xml:space="preserve">Narrative text, images and audio representing personal experiences and feelings.</w:t>
            </w:r>
          </w:p>
        </w:tc>
        <w:tc>
          <w:tcPr/>
          <w:p>
            <w:pPr>
              <w:pStyle w:val="Compact"/>
            </w:pPr>
            <w:r>
              <w:rPr>
                <w:b/>
                <w:bCs/>
              </w:rPr>
              <w:t xml:space="preserve">Highly sensitive</w:t>
            </w:r>
            <w:r>
              <w:t xml:space="preserve"> </w:t>
            </w:r>
            <w:r>
              <w:t xml:space="preserve">– may contain personal health, relationship or trauma information. Must be encrypted in transit and at rest; treated as untrusted for injection.</w:t>
            </w:r>
          </w:p>
        </w:tc>
      </w:tr>
      <w:tr>
        <w:tc>
          <w:tcPr/>
          <w:p>
            <w:pPr>
              <w:pStyle w:val="Compact"/>
            </w:pPr>
            <w:r>
              <w:rPr>
                <w:b/>
                <w:bCs/>
              </w:rPr>
              <w:t xml:space="preserve">AI drafts and chat logs</w:t>
            </w:r>
          </w:p>
        </w:tc>
        <w:tc>
          <w:tcPr/>
          <w:p>
            <w:pPr>
              <w:pStyle w:val="Compact"/>
            </w:pPr>
            <w:r>
              <w:t xml:space="preserve">Intermediate text generated by AI models or prompts/replies during drafting.</w:t>
            </w:r>
          </w:p>
        </w:tc>
        <w:tc>
          <w:tcPr/>
          <w:p>
            <w:pPr>
              <w:pStyle w:val="Compact"/>
            </w:pPr>
            <w:r>
              <w:t xml:space="preserve">Sensitive – may include user data, prompts, and model outputs. Use prompt‑injection controls; treat as untrusted input.</w:t>
            </w:r>
            <w:hyperlink r:id="rId23">
              <w:r>
                <w:rPr>
                  <w:rStyle w:val="Hyperlink"/>
                </w:rPr>
                <w:t xml:space="preserve">[1]</w:t>
              </w:r>
            </w:hyperlink>
          </w:p>
        </w:tc>
      </w:tr>
      <w:tr>
        <w:tc>
          <w:tcPr/>
          <w:p>
            <w:pPr>
              <w:pStyle w:val="Compact"/>
            </w:pPr>
            <w:r>
              <w:rPr>
                <w:b/>
                <w:bCs/>
              </w:rPr>
              <w:t xml:space="preserve">Consents &amp; safety events</w:t>
            </w:r>
          </w:p>
        </w:tc>
        <w:tc>
          <w:tcPr/>
          <w:p>
            <w:pPr>
              <w:pStyle w:val="Compact"/>
            </w:pPr>
            <w:r>
              <w:t xml:space="preserve">Records of user approvals, crisis disclosures and safety interventions.</w:t>
            </w:r>
          </w:p>
        </w:tc>
        <w:tc>
          <w:tcPr/>
          <w:p>
            <w:pPr>
              <w:pStyle w:val="Compact"/>
            </w:pPr>
            <w:r>
              <w:t xml:space="preserve">Highly sensitive – may implicate legal obligations; must be auditable and immutable (write‑once logs).</w:t>
            </w:r>
          </w:p>
        </w:tc>
      </w:tr>
      <w:tr>
        <w:tc>
          <w:tcPr/>
          <w:p>
            <w:pPr>
              <w:pStyle w:val="Compact"/>
            </w:pPr>
            <w:r>
              <w:rPr>
                <w:b/>
                <w:bCs/>
              </w:rPr>
              <w:t xml:space="preserve">Memories metadata</w:t>
            </w:r>
          </w:p>
        </w:tc>
        <w:tc>
          <w:tcPr/>
          <w:p>
            <w:pPr>
              <w:pStyle w:val="Compact"/>
            </w:pPr>
            <w:r>
              <w:t xml:space="preserve">Tags, timestamps, sentiment ratings and retrieval embeddings.</w:t>
            </w:r>
          </w:p>
        </w:tc>
        <w:tc>
          <w:tcPr/>
          <w:p>
            <w:pPr>
              <w:pStyle w:val="Compact"/>
            </w:pPr>
            <w:r>
              <w:t xml:space="preserve">Sensitive; embeddings must be encrypted, and invalidated when content is deleted.</w:t>
            </w:r>
          </w:p>
        </w:tc>
      </w:tr>
      <w:tr>
        <w:tc>
          <w:tcPr/>
          <w:p>
            <w:pPr>
              <w:pStyle w:val="Compact"/>
            </w:pPr>
            <w:r>
              <w:rPr>
                <w:b/>
                <w:bCs/>
              </w:rPr>
              <w:t xml:space="preserve">Calendar preferences</w:t>
            </w:r>
          </w:p>
        </w:tc>
        <w:tc>
          <w:tcPr/>
          <w:p>
            <w:pPr>
              <w:pStyle w:val="Compact"/>
            </w:pPr>
            <w:r>
              <w:t xml:space="preserve">Free/busy times and reminders.</w:t>
            </w:r>
          </w:p>
        </w:tc>
        <w:tc>
          <w:tcPr/>
          <w:p>
            <w:pPr>
              <w:pStyle w:val="Compact"/>
            </w:pPr>
            <w:r>
              <w:t xml:space="preserve">Moderately sensitive.</w:t>
            </w:r>
          </w:p>
        </w:tc>
      </w:tr>
      <w:tr>
        <w:tc>
          <w:tcPr/>
          <w:p>
            <w:pPr>
              <w:pStyle w:val="Compact"/>
            </w:pPr>
            <w:r>
              <w:rPr>
                <w:b/>
                <w:bCs/>
              </w:rPr>
              <w:t xml:space="preserve">User credentials &amp; session data</w:t>
            </w:r>
          </w:p>
        </w:tc>
        <w:tc>
          <w:tcPr/>
          <w:p>
            <w:pPr>
              <w:pStyle w:val="Compact"/>
            </w:pPr>
            <w:r>
              <w:t xml:space="preserve">Usernames, hashed passwords, session tokens, multi‑factor secrets.</w:t>
            </w:r>
          </w:p>
        </w:tc>
        <w:tc>
          <w:tcPr/>
          <w:p>
            <w:pPr>
              <w:pStyle w:val="Compact"/>
            </w:pPr>
            <w:r>
              <w:t xml:space="preserve">Sensitive – apply strong encryption, secrets management and MFA.</w:t>
            </w:r>
          </w:p>
        </w:tc>
      </w:tr>
      <w:tr>
        <w:tc>
          <w:tcPr/>
          <w:p>
            <w:pPr>
              <w:pStyle w:val="Compact"/>
            </w:pPr>
            <w:r>
              <w:rPr>
                <w:b/>
                <w:bCs/>
              </w:rPr>
              <w:t xml:space="preserve">Secrets &amp; API keys</w:t>
            </w:r>
          </w:p>
        </w:tc>
        <w:tc>
          <w:tcPr/>
          <w:p>
            <w:pPr>
              <w:pStyle w:val="Compact"/>
            </w:pPr>
            <w:r>
              <w:t xml:space="preserve">Keys for database, cloud storage, AI provider credentials.</w:t>
            </w:r>
          </w:p>
        </w:tc>
        <w:tc>
          <w:tcPr/>
          <w:p>
            <w:pPr>
              <w:pStyle w:val="Compact"/>
            </w:pPr>
            <w:r>
              <w:t xml:space="preserve">Highly sensitive; must not be hardcoded; centrally managed with rotation</w:t>
            </w:r>
            <w:hyperlink r:id="rId24">
              <w:r>
                <w:rPr>
                  <w:rStyle w:val="Hyperlink"/>
                </w:rPr>
                <w:t xml:space="preserve">[2]</w:t>
              </w:r>
            </w:hyperlink>
            <w:hyperlink r:id="rId25">
              <w:r>
                <w:rPr>
                  <w:rStyle w:val="Hyperlink"/>
                </w:rPr>
                <w:t xml:space="preserve">[3]</w:t>
              </w:r>
            </w:hyperlink>
            <w:r>
              <w:t xml:space="preserve">.</w:t>
            </w:r>
          </w:p>
        </w:tc>
      </w:tr>
      <w:tr>
        <w:tc>
          <w:tcPr/>
          <w:p>
            <w:pPr>
              <w:pStyle w:val="Compact"/>
            </w:pPr>
            <w:r>
              <w:rPr>
                <w:b/>
                <w:bCs/>
              </w:rPr>
              <w:t xml:space="preserve">Infrastructure</w:t>
            </w:r>
          </w:p>
        </w:tc>
        <w:tc>
          <w:tcPr/>
          <w:p>
            <w:pPr>
              <w:pStyle w:val="Compact"/>
            </w:pPr>
            <w:r>
              <w:t xml:space="preserve">Application servers, databases, backup storage, monitoring systems.</w:t>
            </w:r>
          </w:p>
        </w:tc>
        <w:tc>
          <w:tcPr/>
          <w:p>
            <w:pPr>
              <w:pStyle w:val="Compact"/>
            </w:pPr>
            <w:r>
              <w:t xml:space="preserve">Sensitive; infrastructure must be hardened, monitored, patched.</w:t>
            </w:r>
          </w:p>
        </w:tc>
      </w:tr>
      <w:tr>
        <w:tc>
          <w:tcPr/>
          <w:p>
            <w:pPr>
              <w:pStyle w:val="Compact"/>
            </w:pPr>
            <w:r>
              <w:rPr>
                <w:b/>
                <w:bCs/>
              </w:rPr>
              <w:t xml:space="preserve">AI models &amp; embeddings</w:t>
            </w:r>
          </w:p>
        </w:tc>
        <w:tc>
          <w:tcPr/>
          <w:p>
            <w:pPr>
              <w:pStyle w:val="Compact"/>
            </w:pPr>
            <w:r>
              <w:t xml:space="preserve">LLM prompts, responses and vector databases.</w:t>
            </w:r>
          </w:p>
        </w:tc>
        <w:tc>
          <w:tcPr/>
          <w:p>
            <w:pPr>
              <w:pStyle w:val="Compact"/>
            </w:pPr>
            <w:r>
              <w:t xml:space="preserve">Proprietary; retrieval needs to avoid storing raw sensitive content; models must be treated as untrusted (prompt injection risk).</w:t>
            </w:r>
          </w:p>
        </w:tc>
      </w:tr>
      <w:tr>
        <w:tc>
          <w:tcPr/>
          <w:p>
            <w:pPr>
              <w:pStyle w:val="Compact"/>
            </w:pPr>
            <w:r>
              <w:rPr>
                <w:b/>
                <w:bCs/>
              </w:rPr>
              <w:t xml:space="preserve">Audit logs</w:t>
            </w:r>
          </w:p>
        </w:tc>
        <w:tc>
          <w:tcPr/>
          <w:p>
            <w:pPr>
              <w:pStyle w:val="Compact"/>
            </w:pPr>
            <w:r>
              <w:t xml:space="preserve">Logs of authentication, authorization, system events, modifications and access to protected data.</w:t>
            </w:r>
          </w:p>
        </w:tc>
        <w:tc>
          <w:tcPr/>
          <w:p>
            <w:pPr>
              <w:pStyle w:val="Compact"/>
            </w:pPr>
            <w:r>
              <w:t xml:space="preserve">Highly sensitive; logs must be tamper‑proof and encrypted; accessible to limited roles</w:t>
            </w:r>
            <w:hyperlink r:id="rId26">
              <w:r>
                <w:rPr>
                  <w:rStyle w:val="Hyperlink"/>
                </w:rPr>
                <w:t xml:space="preserve">[4]</w:t>
              </w:r>
            </w:hyperlink>
            <w:hyperlink r:id="rId27">
              <w:r>
                <w:rPr>
                  <w:rStyle w:val="Hyperlink"/>
                </w:rPr>
                <w:t xml:space="preserve">[5]</w:t>
              </w:r>
            </w:hyperlink>
            <w:r>
              <w:t xml:space="preserve">.</w:t>
            </w:r>
          </w:p>
        </w:tc>
      </w:tr>
    </w:tbl>
    <w:bookmarkEnd w:id="28"/>
    <w:bookmarkStart w:id="29" w:name="trust-boundaries"/>
    <w:p>
      <w:pPr>
        <w:pStyle w:val="Heading2"/>
      </w:pPr>
      <w:r>
        <w:t xml:space="preserve">2 Trust boundaries</w:t>
      </w:r>
    </w:p>
    <w:p>
      <w:pPr>
        <w:pStyle w:val="Compact"/>
        <w:numPr>
          <w:ilvl w:val="0"/>
          <w:numId w:val="1002"/>
        </w:numPr>
      </w:pPr>
      <w:r>
        <w:rPr>
          <w:b/>
          <w:bCs/>
        </w:rPr>
        <w:t xml:space="preserve">Client devices</w:t>
      </w:r>
      <w:r>
        <w:t xml:space="preserve"> </w:t>
      </w:r>
      <w:r>
        <w:t xml:space="preserve">– Users access via mobile app/web. Devices may be compromised; all inputs are untrusted. Data is encrypted in transit using TLS.</w:t>
      </w:r>
    </w:p>
    <w:p>
      <w:pPr>
        <w:pStyle w:val="Compact"/>
        <w:numPr>
          <w:ilvl w:val="0"/>
          <w:numId w:val="1002"/>
        </w:numPr>
      </w:pPr>
      <w:r>
        <w:rPr>
          <w:b/>
          <w:bCs/>
        </w:rPr>
        <w:t xml:space="preserve">Application boundary</w:t>
      </w:r>
      <w:r>
        <w:t xml:space="preserve"> </w:t>
      </w:r>
      <w:r>
        <w:t xml:space="preserve">– Backend application running in a secure cloud environment. It enforces authentication, authorization and business logic.</w:t>
      </w:r>
    </w:p>
    <w:p>
      <w:pPr>
        <w:pStyle w:val="Compact"/>
        <w:numPr>
          <w:ilvl w:val="0"/>
          <w:numId w:val="1002"/>
        </w:numPr>
      </w:pPr>
      <w:r>
        <w:rPr>
          <w:b/>
          <w:bCs/>
        </w:rPr>
        <w:t xml:space="preserve">Data storage boundary</w:t>
      </w:r>
      <w:r>
        <w:t xml:space="preserve"> </w:t>
      </w:r>
      <w:r>
        <w:t xml:space="preserve">– Databases, file storage, and vector database. Encrypted at rest; managed keys via KMS or hardware security module (HSM).</w:t>
      </w:r>
    </w:p>
    <w:p>
      <w:pPr>
        <w:pStyle w:val="Compact"/>
        <w:numPr>
          <w:ilvl w:val="0"/>
          <w:numId w:val="1002"/>
        </w:numPr>
      </w:pPr>
      <w:r>
        <w:rPr>
          <w:b/>
          <w:bCs/>
        </w:rPr>
        <w:t xml:space="preserve">AI provider boundary</w:t>
      </w:r>
      <w:r>
        <w:t xml:space="preserve"> </w:t>
      </w:r>
      <w:r>
        <w:t xml:space="preserve">– External generative AI services. Data sent to providers must be minimised and de‑identified; providers are untrusted for security and privacy.</w:t>
      </w:r>
    </w:p>
    <w:p>
      <w:pPr>
        <w:pStyle w:val="Compact"/>
        <w:numPr>
          <w:ilvl w:val="0"/>
          <w:numId w:val="1002"/>
        </w:numPr>
      </w:pPr>
      <w:r>
        <w:rPr>
          <w:b/>
          <w:bCs/>
        </w:rPr>
        <w:t xml:space="preserve">Backup boundary</w:t>
      </w:r>
      <w:r>
        <w:t xml:space="preserve"> </w:t>
      </w:r>
      <w:r>
        <w:t xml:space="preserve">– Off‑site and cloud backups. Data must be encrypted at rest and in transit; access restricted to backup system accounts.</w:t>
      </w:r>
    </w:p>
    <w:p>
      <w:pPr>
        <w:pStyle w:val="Compact"/>
        <w:numPr>
          <w:ilvl w:val="0"/>
          <w:numId w:val="1002"/>
        </w:numPr>
      </w:pPr>
      <w:r>
        <w:rPr>
          <w:b/>
          <w:bCs/>
        </w:rPr>
        <w:t xml:space="preserve">Administrative boundary</w:t>
      </w:r>
      <w:r>
        <w:t xml:space="preserve"> </w:t>
      </w:r>
      <w:r>
        <w:t xml:space="preserve">– Internal admin console accessible only by employees with need‑to‑know. Strict RBAC and MFA enforced. Audit logs for all admin actions.</w:t>
      </w:r>
    </w:p>
    <w:p>
      <w:pPr>
        <w:pStyle w:val="Compact"/>
        <w:numPr>
          <w:ilvl w:val="0"/>
          <w:numId w:val="1002"/>
        </w:numPr>
      </w:pPr>
      <w:r>
        <w:rPr>
          <w:b/>
          <w:bCs/>
        </w:rPr>
        <w:t xml:space="preserve">Third‑party integration boundary</w:t>
      </w:r>
      <w:r>
        <w:t xml:space="preserve"> </w:t>
      </w:r>
      <w:r>
        <w:t xml:space="preserve">– Optional third‑party services (calendar, email). Each integration is considered untrusted; use scoped tokens and sandboxing.</w:t>
      </w:r>
    </w:p>
    <w:bookmarkEnd w:id="29"/>
    <w:bookmarkStart w:id="32" w:name="dataflow-security-diagram-description"/>
    <w:p>
      <w:pPr>
        <w:pStyle w:val="Heading2"/>
      </w:pPr>
      <w:r>
        <w:t xml:space="preserve">3 Data‑flow security diagram description</w:t>
      </w:r>
    </w:p>
    <w:p>
      <w:pPr>
        <w:pStyle w:val="Compact"/>
        <w:numPr>
          <w:ilvl w:val="0"/>
          <w:numId w:val="1003"/>
        </w:numPr>
      </w:pPr>
      <w:r>
        <w:rPr>
          <w:b/>
          <w:bCs/>
        </w:rPr>
        <w:t xml:space="preserve">User to application (inbound)</w:t>
      </w:r>
      <w:r>
        <w:t xml:space="preserve">: Users log in and submit reflections/memories via TLS‑protected connections. The application authenticates users (with MFA) and performs input validation to prevent injection attacks. Data is processed and stored in a database with encryption at rest (AES‑256 using FIPS‑validated modules)</w:t>
      </w:r>
      <w:hyperlink r:id="rId30">
        <w:r>
          <w:rPr>
            <w:rStyle w:val="Hyperlink"/>
          </w:rPr>
          <w:t xml:space="preserve">[6]</w:t>
        </w:r>
      </w:hyperlink>
      <w:r>
        <w:t xml:space="preserve">. Timestamps and metadata are logged.</w:t>
      </w:r>
    </w:p>
    <w:p>
      <w:pPr>
        <w:pStyle w:val="Compact"/>
        <w:numPr>
          <w:ilvl w:val="0"/>
          <w:numId w:val="1003"/>
        </w:numPr>
      </w:pPr>
      <w:r>
        <w:rPr>
          <w:b/>
          <w:bCs/>
        </w:rPr>
        <w:t xml:space="preserve">Application to vector database</w:t>
      </w:r>
      <w:r>
        <w:t xml:space="preserve">: Reflections are tokenized and embeddings computed. The resulting vectors are stored in an encrypted vector database; raw text used for vector creation is not stored by default. When a user deletes or rejects a memory, associated embeddings are invalidated and removed.</w:t>
      </w:r>
    </w:p>
    <w:p>
      <w:pPr>
        <w:pStyle w:val="Compact"/>
        <w:numPr>
          <w:ilvl w:val="0"/>
          <w:numId w:val="1003"/>
        </w:numPr>
      </w:pPr>
      <w:r>
        <w:rPr>
          <w:b/>
          <w:bCs/>
        </w:rPr>
        <w:t xml:space="preserve">Application to AI provider</w:t>
      </w:r>
      <w:r>
        <w:t xml:space="preserve">: When generating suggestions or AI drafts, the application constructs prompts from user data. Sensitive data is minimised and de‑identified. The request is sent over TLS to the AI provider. Responses are treated as untrusted; they undergo prompt‑injection detection and output filtering</w:t>
      </w:r>
      <w:hyperlink r:id="rId31">
        <w:r>
          <w:rPr>
            <w:rStyle w:val="Hyperlink"/>
          </w:rPr>
          <w:t xml:space="preserve">[7]</w:t>
        </w:r>
      </w:hyperlink>
      <w:r>
        <w:t xml:space="preserve"> </w:t>
      </w:r>
      <w:r>
        <w:t xml:space="preserve">before being shown. API keys are stored in the secret manager and rotated.</w:t>
      </w:r>
    </w:p>
    <w:p>
      <w:pPr>
        <w:pStyle w:val="Compact"/>
        <w:numPr>
          <w:ilvl w:val="0"/>
          <w:numId w:val="1003"/>
        </w:numPr>
      </w:pPr>
      <w:r>
        <w:rPr>
          <w:b/>
          <w:bCs/>
        </w:rPr>
        <w:t xml:space="preserve">Application to backup system</w:t>
      </w:r>
      <w:r>
        <w:t xml:space="preserve">: Periodic encrypted backups of databases and vector stores are created. Backups are transferred over secure channels to off‑site storage. Only backup service accounts have access; backups are monitored and retention policies enforce deletion.</w:t>
      </w:r>
    </w:p>
    <w:p>
      <w:pPr>
        <w:pStyle w:val="Compact"/>
        <w:numPr>
          <w:ilvl w:val="0"/>
          <w:numId w:val="1003"/>
        </w:numPr>
      </w:pPr>
      <w:r>
        <w:rPr>
          <w:b/>
          <w:bCs/>
        </w:rPr>
        <w:t xml:space="preserve">Admin console</w:t>
      </w:r>
      <w:r>
        <w:t xml:space="preserve">: Authorized admins authenticate via MFA to perform maintenance tasks (e.g., view logs, manage users). All admin actions are logged.</w:t>
      </w:r>
    </w:p>
    <w:bookmarkEnd w:id="32"/>
    <w:bookmarkStart w:id="38" w:name="stridestyle-threat-analysis"/>
    <w:p>
      <w:pPr>
        <w:pStyle w:val="Heading2"/>
      </w:pPr>
      <w:r>
        <w:t xml:space="preserve">4 STRIDE‑style threat analysis</w:t>
      </w:r>
    </w:p>
    <w:p>
      <w:pPr>
        <w:pStyle w:val="FirstParagraph"/>
      </w:pPr>
      <w:r>
        <w:t xml:space="preserve">The STRIDE model categorises threats as</w:t>
      </w:r>
      <w:r>
        <w:t xml:space="preserve"> </w:t>
      </w:r>
      <w:r>
        <w:rPr>
          <w:b/>
          <w:bCs/>
        </w:rPr>
        <w:t xml:space="preserve">Spoofing</w:t>
      </w:r>
      <w:r>
        <w:t xml:space="preserve">,</w:t>
      </w:r>
      <w:r>
        <w:t xml:space="preserve"> </w:t>
      </w:r>
      <w:r>
        <w:rPr>
          <w:b/>
          <w:bCs/>
        </w:rPr>
        <w:t xml:space="preserve">Tampering</w:t>
      </w:r>
      <w:r>
        <w:t xml:space="preserve">,</w:t>
      </w:r>
      <w:r>
        <w:t xml:space="preserve"> </w:t>
      </w:r>
      <w:r>
        <w:rPr>
          <w:b/>
          <w:bCs/>
        </w:rPr>
        <w:t xml:space="preserve">Repudiation</w:t>
      </w:r>
      <w:r>
        <w:t xml:space="preserve">,</w:t>
      </w:r>
      <w:r>
        <w:t xml:space="preserve"> </w:t>
      </w:r>
      <w:r>
        <w:rPr>
          <w:b/>
          <w:bCs/>
        </w:rPr>
        <w:t xml:space="preserve">Information disclosure</w:t>
      </w:r>
      <w:r>
        <w:t xml:space="preserve">,</w:t>
      </w:r>
      <w:r>
        <w:t xml:space="preserve"> </w:t>
      </w:r>
      <w:r>
        <w:rPr>
          <w:b/>
          <w:bCs/>
        </w:rPr>
        <w:t xml:space="preserve">Denial of service</w:t>
      </w:r>
      <w:r>
        <w:t xml:space="preserve">, and</w:t>
      </w:r>
      <w:r>
        <w:t xml:space="preserve"> </w:t>
      </w:r>
      <w:r>
        <w:rPr>
          <w:b/>
          <w:bCs/>
        </w:rPr>
        <w:t xml:space="preserve">Elevation of privilege</w:t>
      </w:r>
      <w:r>
        <w:t xml:space="preserve">. For each risk, mitigation strategies, owners and stage (design, development, or operation) are defined. Likelihood and impact are estimated qualitatively (Low/Medium/High).</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pPr>
            <w:r>
              <w:t xml:space="preserve">Threat (STRIDE)</w:t>
            </w:r>
          </w:p>
        </w:tc>
        <w:tc>
          <w:tcPr/>
          <w:p>
            <w:pPr>
              <w:pStyle w:val="Compact"/>
            </w:pPr>
            <w:r>
              <w:t xml:space="preserve">Description</w:t>
            </w:r>
          </w:p>
        </w:tc>
        <w:tc>
          <w:tcPr/>
          <w:p>
            <w:pPr>
              <w:pStyle w:val="Compact"/>
            </w:pPr>
            <w:r>
              <w:t xml:space="preserve">Likelihood</w:t>
            </w:r>
          </w:p>
        </w:tc>
        <w:tc>
          <w:tcPr/>
          <w:p>
            <w:pPr>
              <w:pStyle w:val="Compact"/>
            </w:pPr>
            <w:r>
              <w:t xml:space="preserve">Impact</w:t>
            </w:r>
          </w:p>
        </w:tc>
        <w:tc>
          <w:tcPr/>
          <w:p>
            <w:pPr>
              <w:pStyle w:val="Compact"/>
            </w:pPr>
            <w:r>
              <w:t xml:space="preserve">Mitigation &amp; controls (with citations)</w:t>
            </w:r>
          </w:p>
        </w:tc>
        <w:tc>
          <w:tcPr/>
          <w:p>
            <w:pPr>
              <w:pStyle w:val="Compact"/>
            </w:pPr>
            <w:r>
              <w:t xml:space="preserve">Owner</w:t>
            </w:r>
          </w:p>
        </w:tc>
        <w:tc>
          <w:tcPr/>
          <w:p>
            <w:pPr>
              <w:pStyle w:val="Compact"/>
            </w:pPr>
            <w:r>
              <w:t xml:space="preserve">Stage</w:t>
            </w:r>
          </w:p>
        </w:tc>
        <w:tc>
          <w:tcPr/>
          <w:p>
            <w:pPr>
              <w:pStyle w:val="Compact"/>
            </w:pPr>
            <w:r>
              <w:t xml:space="preserve">Acceptance criteria</w:t>
            </w:r>
          </w:p>
        </w:tc>
      </w:tr>
      <w:tr>
        <w:tc>
          <w:tcPr/>
          <w:p>
            <w:pPr>
              <w:pStyle w:val="Compact"/>
            </w:pPr>
            <w:r>
              <w:rPr>
                <w:b/>
                <w:bCs/>
              </w:rPr>
              <w:t xml:space="preserve">T‑S1</w:t>
            </w:r>
          </w:p>
        </w:tc>
        <w:tc>
          <w:tcPr/>
          <w:p>
            <w:pPr>
              <w:pStyle w:val="Compact"/>
            </w:pPr>
            <w:r>
              <w:rPr>
                <w:b/>
                <w:bCs/>
              </w:rPr>
              <w:t xml:space="preserve">Spoofing user identity</w:t>
            </w:r>
          </w:p>
        </w:tc>
        <w:tc>
          <w:tcPr/>
          <w:p>
            <w:pPr>
              <w:pStyle w:val="Compact"/>
            </w:pPr>
            <w:r>
              <w:t xml:space="preserve">Attackers may attempt to log in as other users via credential stuffing, phishing or session hijacking.</w:t>
            </w:r>
          </w:p>
        </w:tc>
        <w:tc>
          <w:tcPr/>
          <w:p>
            <w:pPr>
              <w:pStyle w:val="Compact"/>
            </w:pPr>
            <w:r>
              <w:t xml:space="preserve">Med</w:t>
            </w:r>
          </w:p>
        </w:tc>
        <w:tc>
          <w:tcPr/>
          <w:p>
            <w:pPr>
              <w:pStyle w:val="Compact"/>
            </w:pPr>
            <w:r>
              <w:t xml:space="preserve">High</w:t>
            </w:r>
          </w:p>
        </w:tc>
        <w:tc>
          <w:tcPr/>
          <w:p>
            <w:pPr>
              <w:pStyle w:val="Compact"/>
            </w:pPr>
            <w:r>
              <w:t xml:space="preserve">Implement MFA for all users and administrators</w:t>
            </w:r>
            <w:hyperlink r:id="rId33">
              <w:r>
                <w:rPr>
                  <w:rStyle w:val="Hyperlink"/>
                </w:rPr>
                <w:t xml:space="preserve">[8]</w:t>
              </w:r>
            </w:hyperlink>
            <w:r>
              <w:t xml:space="preserve">; enforce strong password policies and rate limiting; use secure session tokens with short lifetimes; monitor login anomalies.</w:t>
            </w:r>
          </w:p>
        </w:tc>
        <w:tc>
          <w:tcPr/>
          <w:p>
            <w:pPr>
              <w:pStyle w:val="Compact"/>
            </w:pPr>
            <w:r>
              <w:t xml:space="preserve">Security/Engineering</w:t>
            </w:r>
          </w:p>
        </w:tc>
        <w:tc>
          <w:tcPr/>
          <w:p>
            <w:pPr>
              <w:pStyle w:val="Compact"/>
            </w:pPr>
            <w:r>
              <w:t xml:space="preserve">Development &amp; Operation</w:t>
            </w:r>
          </w:p>
        </w:tc>
        <w:tc>
          <w:tcPr/>
          <w:p>
            <w:pPr>
              <w:pStyle w:val="Compact"/>
            </w:pPr>
            <w:r>
              <w:t xml:space="preserve">MFA required for all accounts; password complexity and lockout implemented; login attempts are monitored and alerted.</w:t>
            </w:r>
          </w:p>
        </w:tc>
      </w:tr>
      <w:tr>
        <w:tc>
          <w:tcPr/>
          <w:p>
            <w:pPr>
              <w:pStyle w:val="Compact"/>
            </w:pPr>
            <w:r>
              <w:rPr>
                <w:b/>
                <w:bCs/>
              </w:rPr>
              <w:t xml:space="preserve">T‑S2</w:t>
            </w:r>
          </w:p>
        </w:tc>
        <w:tc>
          <w:tcPr/>
          <w:p>
            <w:pPr>
              <w:pStyle w:val="Compact"/>
            </w:pPr>
            <w:r>
              <w:rPr>
                <w:b/>
                <w:bCs/>
              </w:rPr>
              <w:t xml:space="preserve">Spoofing AI provider</w:t>
            </w:r>
          </w:p>
        </w:tc>
        <w:tc>
          <w:tcPr/>
          <w:p>
            <w:pPr>
              <w:pStyle w:val="Compact"/>
            </w:pPr>
            <w:r>
              <w:t xml:space="preserve">Man‑in‑the‑middle attack against AI provider connection could cause fake responses.</w:t>
            </w:r>
          </w:p>
        </w:tc>
        <w:tc>
          <w:tcPr/>
          <w:p>
            <w:pPr>
              <w:pStyle w:val="Compact"/>
            </w:pPr>
            <w:r>
              <w:t xml:space="preserve">Low</w:t>
            </w:r>
          </w:p>
        </w:tc>
        <w:tc>
          <w:tcPr/>
          <w:p>
            <w:pPr>
              <w:pStyle w:val="Compact"/>
            </w:pPr>
            <w:r>
              <w:t xml:space="preserve">High</w:t>
            </w:r>
          </w:p>
        </w:tc>
        <w:tc>
          <w:tcPr/>
          <w:p>
            <w:pPr>
              <w:pStyle w:val="Compact"/>
            </w:pPr>
            <w:r>
              <w:t xml:space="preserve">Use TLS 1.2/1.3 with server certificate validation; pin certificates where feasible; restrict egress to known domains.</w:t>
            </w:r>
          </w:p>
        </w:tc>
        <w:tc>
          <w:tcPr/>
          <w:p>
            <w:pPr>
              <w:pStyle w:val="Compact"/>
            </w:pPr>
            <w:r>
              <w:t xml:space="preserve">DevOps</w:t>
            </w:r>
          </w:p>
        </w:tc>
        <w:tc>
          <w:tcPr/>
          <w:p>
            <w:pPr>
              <w:pStyle w:val="Compact"/>
            </w:pPr>
            <w:r>
              <w:t xml:space="preserve">Development</w:t>
            </w:r>
          </w:p>
        </w:tc>
        <w:tc>
          <w:tcPr/>
          <w:p>
            <w:pPr>
              <w:pStyle w:val="Compact"/>
            </w:pPr>
            <w:r>
              <w:t xml:space="preserve">All external API calls use validated TLS; certificate pinning documented.</w:t>
            </w:r>
          </w:p>
        </w:tc>
      </w:tr>
      <w:tr>
        <w:tc>
          <w:tcPr/>
          <w:p>
            <w:pPr>
              <w:pStyle w:val="Compact"/>
            </w:pPr>
            <w:r>
              <w:rPr>
                <w:b/>
                <w:bCs/>
              </w:rPr>
              <w:t xml:space="preserve">T‑T1</w:t>
            </w:r>
          </w:p>
        </w:tc>
        <w:tc>
          <w:tcPr/>
          <w:p>
            <w:pPr>
              <w:pStyle w:val="Compact"/>
            </w:pPr>
            <w:r>
              <w:rPr>
                <w:b/>
                <w:bCs/>
              </w:rPr>
              <w:t xml:space="preserve">Tampering with memories/data</w:t>
            </w:r>
          </w:p>
        </w:tc>
        <w:tc>
          <w:tcPr/>
          <w:p>
            <w:pPr>
              <w:pStyle w:val="Compact"/>
            </w:pPr>
            <w:r>
              <w:t xml:space="preserve">Malicious actors or compromised insiders may alter or delete user memories or metadata.</w:t>
            </w:r>
          </w:p>
        </w:tc>
        <w:tc>
          <w:tcPr/>
          <w:p>
            <w:pPr>
              <w:pStyle w:val="Compact"/>
            </w:pPr>
            <w:r>
              <w:t xml:space="preserve">Med</w:t>
            </w:r>
          </w:p>
        </w:tc>
        <w:tc>
          <w:tcPr/>
          <w:p>
            <w:pPr>
              <w:pStyle w:val="Compact"/>
            </w:pPr>
            <w:r>
              <w:t xml:space="preserve">High</w:t>
            </w:r>
          </w:p>
        </w:tc>
        <w:tc>
          <w:tcPr/>
          <w:p>
            <w:pPr>
              <w:pStyle w:val="Compact"/>
            </w:pPr>
            <w:r>
              <w:t xml:space="preserve">Enforce RBAC with least privilege</w:t>
            </w:r>
            <w:hyperlink r:id="rId34">
              <w:r>
                <w:rPr>
                  <w:rStyle w:val="Hyperlink"/>
                </w:rPr>
                <w:t xml:space="preserve">[9]</w:t>
              </w:r>
            </w:hyperlink>
            <w:r>
              <w:t xml:space="preserve">; implement audit logging of CRUD operations</w:t>
            </w:r>
            <w:hyperlink r:id="rId26">
              <w:r>
                <w:rPr>
                  <w:rStyle w:val="Hyperlink"/>
                </w:rPr>
                <w:t xml:space="preserve">[4]</w:t>
              </w:r>
            </w:hyperlink>
            <w:r>
              <w:t xml:space="preserve">; cryptographically sign critical records; use database transaction logs and backups.</w:t>
            </w:r>
          </w:p>
        </w:tc>
        <w:tc>
          <w:tcPr/>
          <w:p>
            <w:pPr>
              <w:pStyle w:val="Compact"/>
            </w:pPr>
            <w:r>
              <w:t xml:space="preserve">Engineering</w:t>
            </w:r>
          </w:p>
        </w:tc>
        <w:tc>
          <w:tcPr/>
          <w:p>
            <w:pPr>
              <w:pStyle w:val="Compact"/>
            </w:pPr>
            <w:r>
              <w:t xml:space="preserve">Design &amp; Development</w:t>
            </w:r>
          </w:p>
        </w:tc>
        <w:tc>
          <w:tcPr/>
          <w:p>
            <w:pPr>
              <w:pStyle w:val="Compact"/>
            </w:pPr>
            <w:r>
              <w:t xml:space="preserve">Access control model implemented; tamper attempts detected; logs reviewed; backups restore tampered data.</w:t>
            </w:r>
          </w:p>
        </w:tc>
      </w:tr>
      <w:tr>
        <w:tc>
          <w:tcPr/>
          <w:p>
            <w:pPr>
              <w:pStyle w:val="Compact"/>
            </w:pPr>
            <w:r>
              <w:rPr>
                <w:b/>
                <w:bCs/>
              </w:rPr>
              <w:t xml:space="preserve">T‑T2</w:t>
            </w:r>
          </w:p>
        </w:tc>
        <w:tc>
          <w:tcPr/>
          <w:p>
            <w:pPr>
              <w:pStyle w:val="Compact"/>
            </w:pPr>
            <w:r>
              <w:rPr>
                <w:b/>
                <w:bCs/>
              </w:rPr>
              <w:t xml:space="preserve">Tampering with embeddings</w:t>
            </w:r>
          </w:p>
        </w:tc>
        <w:tc>
          <w:tcPr/>
          <w:p>
            <w:pPr>
              <w:pStyle w:val="Compact"/>
            </w:pPr>
            <w:r>
              <w:t xml:space="preserve">An attacker modifies vector entries to poison retrieval results or to cause injection.</w:t>
            </w:r>
          </w:p>
        </w:tc>
        <w:tc>
          <w:tcPr/>
          <w:p>
            <w:pPr>
              <w:pStyle w:val="Compact"/>
            </w:pPr>
            <w:r>
              <w:t xml:space="preserve">Low</w:t>
            </w:r>
          </w:p>
        </w:tc>
        <w:tc>
          <w:tcPr/>
          <w:p>
            <w:pPr>
              <w:pStyle w:val="Compact"/>
            </w:pPr>
            <w:r>
              <w:t xml:space="preserve">High</w:t>
            </w:r>
          </w:p>
        </w:tc>
        <w:tc>
          <w:tcPr/>
          <w:p>
            <w:pPr>
              <w:pStyle w:val="Compact"/>
            </w:pPr>
            <w:r>
              <w:t xml:space="preserve">Control write access to vector database; sign and validate embeddings; maintain integrity checksums; restrict service accounts.</w:t>
            </w:r>
          </w:p>
        </w:tc>
        <w:tc>
          <w:tcPr/>
          <w:p>
            <w:pPr>
              <w:pStyle w:val="Compact"/>
            </w:pPr>
            <w:r>
              <w:t xml:space="preserve">Engineering</w:t>
            </w:r>
          </w:p>
        </w:tc>
        <w:tc>
          <w:tcPr/>
          <w:p>
            <w:pPr>
              <w:pStyle w:val="Compact"/>
            </w:pPr>
            <w:r>
              <w:t xml:space="preserve">Development</w:t>
            </w:r>
          </w:p>
        </w:tc>
        <w:tc>
          <w:tcPr/>
          <w:p>
            <w:pPr>
              <w:pStyle w:val="Compact"/>
            </w:pPr>
            <w:r>
              <w:t xml:space="preserve">Only application service accounts can write to vector DB; integrity checks verified.</w:t>
            </w:r>
          </w:p>
        </w:tc>
      </w:tr>
      <w:tr>
        <w:tc>
          <w:tcPr/>
          <w:p>
            <w:pPr>
              <w:pStyle w:val="Compact"/>
            </w:pPr>
            <w:r>
              <w:rPr>
                <w:b/>
                <w:bCs/>
              </w:rPr>
              <w:t xml:space="preserve">T‑R1</w:t>
            </w:r>
          </w:p>
        </w:tc>
        <w:tc>
          <w:tcPr/>
          <w:p>
            <w:pPr>
              <w:pStyle w:val="Compact"/>
            </w:pPr>
            <w:r>
              <w:rPr>
                <w:b/>
                <w:bCs/>
              </w:rPr>
              <w:t xml:space="preserve">Repudiation of actions</w:t>
            </w:r>
          </w:p>
        </w:tc>
        <w:tc>
          <w:tcPr/>
          <w:p>
            <w:pPr>
              <w:pStyle w:val="Compact"/>
            </w:pPr>
            <w:r>
              <w:t xml:space="preserve">Users or admins deny performing certain actions (e.g., deletion, crisis flag).</w:t>
            </w:r>
          </w:p>
        </w:tc>
        <w:tc>
          <w:tcPr/>
          <w:p>
            <w:pPr>
              <w:pStyle w:val="Compact"/>
            </w:pPr>
            <w:r>
              <w:t xml:space="preserve">Med</w:t>
            </w:r>
          </w:p>
        </w:tc>
        <w:tc>
          <w:tcPr/>
          <w:p>
            <w:pPr>
              <w:pStyle w:val="Compact"/>
            </w:pPr>
            <w:r>
              <w:t xml:space="preserve">Medium</w:t>
            </w:r>
          </w:p>
        </w:tc>
        <w:tc>
          <w:tcPr/>
          <w:p>
            <w:pPr>
              <w:pStyle w:val="Compact"/>
            </w:pPr>
            <w:r>
              <w:t xml:space="preserve">Maintain comprehensive audit logs with timestamps, user IDs and event codes</w:t>
            </w:r>
            <w:hyperlink r:id="rId27">
              <w:r>
                <w:rPr>
                  <w:rStyle w:val="Hyperlink"/>
                </w:rPr>
                <w:t xml:space="preserve">[10]</w:t>
              </w:r>
            </w:hyperlink>
            <w:r>
              <w:t xml:space="preserve">; logs are stored immutably and reviewed; enforce logging of admin and user actions.</w:t>
            </w:r>
          </w:p>
        </w:tc>
        <w:tc>
          <w:tcPr/>
          <w:p>
            <w:pPr>
              <w:pStyle w:val="Compact"/>
            </w:pPr>
            <w:r>
              <w:t xml:space="preserve">Security/Compliance</w:t>
            </w:r>
          </w:p>
        </w:tc>
        <w:tc>
          <w:tcPr/>
          <w:p>
            <w:pPr>
              <w:pStyle w:val="Compact"/>
            </w:pPr>
            <w:r>
              <w:t xml:space="preserve">Operation</w:t>
            </w:r>
          </w:p>
        </w:tc>
        <w:tc>
          <w:tcPr/>
          <w:p>
            <w:pPr>
              <w:pStyle w:val="Compact"/>
            </w:pPr>
            <w:r>
              <w:t xml:space="preserve">Audit logs cannot be modified; logs show who performed each action; retention meets policy.</w:t>
            </w:r>
          </w:p>
        </w:tc>
      </w:tr>
      <w:tr>
        <w:tc>
          <w:tcPr/>
          <w:p>
            <w:pPr>
              <w:pStyle w:val="Compact"/>
            </w:pPr>
            <w:r>
              <w:rPr>
                <w:b/>
                <w:bCs/>
              </w:rPr>
              <w:t xml:space="preserve">T‑I1</w:t>
            </w:r>
          </w:p>
        </w:tc>
        <w:tc>
          <w:tcPr/>
          <w:p>
            <w:pPr>
              <w:pStyle w:val="Compact"/>
            </w:pPr>
            <w:r>
              <w:rPr>
                <w:b/>
                <w:bCs/>
              </w:rPr>
              <w:t xml:space="preserve">Information disclosure through data breach</w:t>
            </w:r>
          </w:p>
        </w:tc>
        <w:tc>
          <w:tcPr/>
          <w:p>
            <w:pPr>
              <w:pStyle w:val="Compact"/>
            </w:pPr>
            <w:r>
              <w:t xml:space="preserve">Unauthorized access to databases, backups or logs exposing sensitive reflections and safety events.</w:t>
            </w:r>
          </w:p>
        </w:tc>
        <w:tc>
          <w:tcPr/>
          <w:p>
            <w:pPr>
              <w:pStyle w:val="Compact"/>
            </w:pPr>
            <w:r>
              <w:t xml:space="preserve">Med</w:t>
            </w:r>
          </w:p>
        </w:tc>
        <w:tc>
          <w:tcPr/>
          <w:p>
            <w:pPr>
              <w:pStyle w:val="Compact"/>
            </w:pPr>
            <w:r>
              <w:t xml:space="preserve">High</w:t>
            </w:r>
          </w:p>
        </w:tc>
        <w:tc>
          <w:tcPr/>
          <w:p>
            <w:pPr>
              <w:pStyle w:val="Compact"/>
            </w:pPr>
            <w:r>
              <w:t xml:space="preserve">Encrypt data at rest using FIPS‑validated algorithms</w:t>
            </w:r>
            <w:hyperlink r:id="rId30">
              <w:r>
                <w:rPr>
                  <w:rStyle w:val="Hyperlink"/>
                </w:rPr>
                <w:t xml:space="preserve">[6]</w:t>
              </w:r>
            </w:hyperlink>
            <w:hyperlink r:id="rId35">
              <w:r>
                <w:rPr>
                  <w:rStyle w:val="Hyperlink"/>
                </w:rPr>
                <w:t xml:space="preserve">[11]</w:t>
              </w:r>
            </w:hyperlink>
            <w:r>
              <w:t xml:space="preserve">; use strong key management; implement network segmentation and WAF; apply principle of least privilege.</w:t>
            </w:r>
          </w:p>
        </w:tc>
        <w:tc>
          <w:tcPr/>
          <w:p>
            <w:pPr>
              <w:pStyle w:val="Compact"/>
            </w:pPr>
            <w:r>
              <w:t xml:space="preserve">Security/DevOps</w:t>
            </w:r>
          </w:p>
        </w:tc>
        <w:tc>
          <w:tcPr/>
          <w:p>
            <w:pPr>
              <w:pStyle w:val="Compact"/>
            </w:pPr>
            <w:r>
              <w:t xml:space="preserve">Design &amp; Operation</w:t>
            </w:r>
          </w:p>
        </w:tc>
        <w:tc>
          <w:tcPr/>
          <w:p>
            <w:pPr>
              <w:pStyle w:val="Compact"/>
            </w:pPr>
            <w:r>
              <w:t xml:space="preserve">Data stores use AES‑256; keys managed by KMS; security controls pass penetration tests.</w:t>
            </w:r>
          </w:p>
        </w:tc>
      </w:tr>
      <w:tr>
        <w:tc>
          <w:tcPr/>
          <w:p>
            <w:pPr>
              <w:pStyle w:val="Compact"/>
            </w:pPr>
            <w:r>
              <w:rPr>
                <w:b/>
                <w:bCs/>
              </w:rPr>
              <w:t xml:space="preserve">T‑I2</w:t>
            </w:r>
          </w:p>
        </w:tc>
        <w:tc>
          <w:tcPr/>
          <w:p>
            <w:pPr>
              <w:pStyle w:val="Compact"/>
            </w:pPr>
            <w:r>
              <w:rPr>
                <w:b/>
                <w:bCs/>
              </w:rPr>
              <w:t xml:space="preserve">Information disclosure via AI provider</w:t>
            </w:r>
          </w:p>
        </w:tc>
        <w:tc>
          <w:tcPr/>
          <w:p>
            <w:pPr>
              <w:pStyle w:val="Compact"/>
            </w:pPr>
            <w:r>
              <w:t xml:space="preserve">Sensitive data included in prompts could be leaked by AI provider or used for training.</w:t>
            </w:r>
          </w:p>
        </w:tc>
        <w:tc>
          <w:tcPr/>
          <w:p>
            <w:pPr>
              <w:pStyle w:val="Compact"/>
            </w:pPr>
            <w:r>
              <w:t xml:space="preserve">High</w:t>
            </w:r>
          </w:p>
        </w:tc>
        <w:tc>
          <w:tcPr/>
          <w:p>
            <w:pPr>
              <w:pStyle w:val="Compact"/>
            </w:pPr>
            <w:r>
              <w:t xml:space="preserve">High</w:t>
            </w:r>
          </w:p>
        </w:tc>
        <w:tc>
          <w:tcPr/>
          <w:p>
            <w:pPr>
              <w:pStyle w:val="Compact"/>
            </w:pPr>
            <w:r>
              <w:t xml:space="preserve">Minimise and de‑identify data sent; use contractual clauses prohibiting secondary data use; evaluate provider’s security using NIST GAI profile guidelines (see AI provider risk analysis).</w:t>
            </w:r>
          </w:p>
        </w:tc>
        <w:tc>
          <w:tcPr/>
          <w:p>
            <w:pPr>
              <w:pStyle w:val="Compact"/>
            </w:pPr>
            <w:r>
              <w:t xml:space="preserve">Product/Legal</w:t>
            </w:r>
          </w:p>
        </w:tc>
        <w:tc>
          <w:tcPr/>
          <w:p>
            <w:pPr>
              <w:pStyle w:val="Compact"/>
            </w:pPr>
            <w:r>
              <w:t xml:space="preserve">Design</w:t>
            </w:r>
          </w:p>
        </w:tc>
        <w:tc>
          <w:tcPr/>
          <w:p>
            <w:pPr>
              <w:pStyle w:val="Compact"/>
            </w:pPr>
            <w:r>
              <w:t xml:space="preserve">Prompts use pseudonyms; vendor contract includes data use restrictions; provider risk assessment documented.</w:t>
            </w:r>
          </w:p>
        </w:tc>
      </w:tr>
      <w:tr>
        <w:tc>
          <w:tcPr/>
          <w:p>
            <w:pPr>
              <w:pStyle w:val="Compact"/>
            </w:pPr>
            <w:r>
              <w:rPr>
                <w:b/>
                <w:bCs/>
              </w:rPr>
              <w:t xml:space="preserve">T‑I3</w:t>
            </w:r>
          </w:p>
        </w:tc>
        <w:tc>
          <w:tcPr/>
          <w:p>
            <w:pPr>
              <w:pStyle w:val="Compact"/>
            </w:pPr>
            <w:r>
              <w:rPr>
                <w:b/>
                <w:bCs/>
              </w:rPr>
              <w:t xml:space="preserve">Information disclosure through logs</w:t>
            </w:r>
          </w:p>
        </w:tc>
        <w:tc>
          <w:tcPr/>
          <w:p>
            <w:pPr>
              <w:pStyle w:val="Compact"/>
            </w:pPr>
            <w:r>
              <w:t xml:space="preserve">Logs may contain sensitive data (prompt inputs, crisis text).</w:t>
            </w:r>
          </w:p>
        </w:tc>
        <w:tc>
          <w:tcPr/>
          <w:p>
            <w:pPr>
              <w:pStyle w:val="Compact"/>
            </w:pPr>
            <w:r>
              <w:t xml:space="preserve">Med</w:t>
            </w:r>
          </w:p>
        </w:tc>
        <w:tc>
          <w:tcPr/>
          <w:p>
            <w:pPr>
              <w:pStyle w:val="Compact"/>
            </w:pPr>
            <w:r>
              <w:t xml:space="preserve">High</w:t>
            </w:r>
          </w:p>
        </w:tc>
        <w:tc>
          <w:tcPr/>
          <w:p>
            <w:pPr>
              <w:pStyle w:val="Compact"/>
            </w:pPr>
            <w:r>
              <w:t xml:space="preserve">Avoid logging raw user content or OTPs</w:t>
            </w:r>
            <w:hyperlink r:id="rId36">
              <w:r>
                <w:rPr>
                  <w:rStyle w:val="Hyperlink"/>
                </w:rPr>
                <w:t xml:space="preserve">[12]</w:t>
              </w:r>
            </w:hyperlink>
            <w:r>
              <w:t xml:space="preserve">; sanitise logs; control access to logs and encrypt logs in transit</w:t>
            </w:r>
            <w:hyperlink r:id="rId27">
              <w:r>
                <w:rPr>
                  <w:rStyle w:val="Hyperlink"/>
                </w:rPr>
                <w:t xml:space="preserve">[5]</w:t>
              </w:r>
            </w:hyperlink>
            <w:r>
              <w:t xml:space="preserve">.</w:t>
            </w:r>
          </w:p>
        </w:tc>
        <w:tc>
          <w:tcPr/>
          <w:p>
            <w:pPr>
              <w:pStyle w:val="Compact"/>
            </w:pPr>
            <w:r>
              <w:t xml:space="preserve">Engineering</w:t>
            </w:r>
          </w:p>
        </w:tc>
        <w:tc>
          <w:tcPr/>
          <w:p>
            <w:pPr>
              <w:pStyle w:val="Compact"/>
            </w:pPr>
            <w:r>
              <w:t xml:space="preserve">Development &amp; Operation</w:t>
            </w:r>
          </w:p>
        </w:tc>
        <w:tc>
          <w:tcPr/>
          <w:p>
            <w:pPr>
              <w:pStyle w:val="Compact"/>
            </w:pPr>
            <w:r>
              <w:t xml:space="preserve">Logging library sanitises data; log access limited; logs encrypted in transit.</w:t>
            </w:r>
          </w:p>
        </w:tc>
      </w:tr>
      <w:tr>
        <w:tc>
          <w:tcPr/>
          <w:p>
            <w:pPr>
              <w:pStyle w:val="Compact"/>
            </w:pPr>
            <w:r>
              <w:rPr>
                <w:b/>
                <w:bCs/>
              </w:rPr>
              <w:t xml:space="preserve">T‑D1</w:t>
            </w:r>
          </w:p>
        </w:tc>
        <w:tc>
          <w:tcPr/>
          <w:p>
            <w:pPr>
              <w:pStyle w:val="Compact"/>
            </w:pPr>
            <w:r>
              <w:rPr>
                <w:b/>
                <w:bCs/>
              </w:rPr>
              <w:t xml:space="preserve">Denial of service (DoS)</w:t>
            </w:r>
          </w:p>
        </w:tc>
        <w:tc>
          <w:tcPr/>
          <w:p>
            <w:pPr>
              <w:pStyle w:val="Compact"/>
            </w:pPr>
            <w:r>
              <w:t xml:space="preserve">Attackers may overload endpoints or vector searches causing service downtime.</w:t>
            </w:r>
          </w:p>
        </w:tc>
        <w:tc>
          <w:tcPr/>
          <w:p>
            <w:pPr>
              <w:pStyle w:val="Compact"/>
            </w:pPr>
            <w:r>
              <w:t xml:space="preserve">Med</w:t>
            </w:r>
          </w:p>
        </w:tc>
        <w:tc>
          <w:tcPr/>
          <w:p>
            <w:pPr>
              <w:pStyle w:val="Compact"/>
            </w:pPr>
            <w:r>
              <w:t xml:space="preserve">High</w:t>
            </w:r>
          </w:p>
        </w:tc>
        <w:tc>
          <w:tcPr/>
          <w:p>
            <w:pPr>
              <w:pStyle w:val="Compact"/>
            </w:pPr>
            <w:r>
              <w:t xml:space="preserve">Implement rate limiting and circuit breakers; use auto‑scaling; protect API endpoints with WAF; have DDoS protection from cloud provider; test failover plans.</w:t>
            </w:r>
          </w:p>
        </w:tc>
        <w:tc>
          <w:tcPr/>
          <w:p>
            <w:pPr>
              <w:pStyle w:val="Compact"/>
            </w:pPr>
            <w:r>
              <w:t xml:space="preserve">DevOps</w:t>
            </w:r>
          </w:p>
        </w:tc>
        <w:tc>
          <w:tcPr/>
          <w:p>
            <w:pPr>
              <w:pStyle w:val="Compact"/>
            </w:pPr>
            <w:r>
              <w:t xml:space="preserve">Operation</w:t>
            </w:r>
          </w:p>
        </w:tc>
        <w:tc>
          <w:tcPr/>
          <w:p>
            <w:pPr>
              <w:pStyle w:val="Compact"/>
            </w:pPr>
            <w:r>
              <w:t xml:space="preserve">Rate limits configured; load tests completed; DDoS mitigation service enabled.</w:t>
            </w:r>
          </w:p>
        </w:tc>
      </w:tr>
      <w:tr>
        <w:tc>
          <w:tcPr/>
          <w:p>
            <w:pPr>
              <w:pStyle w:val="Compact"/>
            </w:pPr>
            <w:r>
              <w:rPr>
                <w:b/>
                <w:bCs/>
              </w:rPr>
              <w:t xml:space="preserve">T‑D2</w:t>
            </w:r>
          </w:p>
        </w:tc>
        <w:tc>
          <w:tcPr/>
          <w:p>
            <w:pPr>
              <w:pStyle w:val="Compact"/>
            </w:pPr>
            <w:r>
              <w:rPr>
                <w:b/>
                <w:bCs/>
              </w:rPr>
              <w:t xml:space="preserve">Model service unavailability</w:t>
            </w:r>
          </w:p>
        </w:tc>
        <w:tc>
          <w:tcPr/>
          <w:p>
            <w:pPr>
              <w:pStyle w:val="Compact"/>
            </w:pPr>
            <w:r>
              <w:t xml:space="preserve">AI provider outage or high latency causing failure.</w:t>
            </w:r>
          </w:p>
        </w:tc>
        <w:tc>
          <w:tcPr/>
          <w:p>
            <w:pPr>
              <w:pStyle w:val="Compact"/>
            </w:pPr>
            <w:r>
              <w:t xml:space="preserve">Medium</w:t>
            </w:r>
          </w:p>
        </w:tc>
        <w:tc>
          <w:tcPr/>
          <w:p>
            <w:pPr>
              <w:pStyle w:val="Compact"/>
            </w:pPr>
            <w:r>
              <w:t xml:space="preserve">Medium</w:t>
            </w:r>
          </w:p>
        </w:tc>
        <w:tc>
          <w:tcPr/>
          <w:p>
            <w:pPr>
              <w:pStyle w:val="Compact"/>
            </w:pPr>
            <w:r>
              <w:t xml:space="preserve">Implement fallback strategies (e.g., cached responses, degrade gracefully); monitor provider health; design system to function without AI features.</w:t>
            </w:r>
          </w:p>
        </w:tc>
        <w:tc>
          <w:tcPr/>
          <w:p>
            <w:pPr>
              <w:pStyle w:val="Compact"/>
            </w:pPr>
            <w:r>
              <w:t xml:space="preserve">Product/Engineering</w:t>
            </w:r>
          </w:p>
        </w:tc>
        <w:tc>
          <w:tcPr/>
          <w:p>
            <w:pPr>
              <w:pStyle w:val="Compact"/>
            </w:pPr>
            <w:r>
              <w:t xml:space="preserve">Design &amp; Operation</w:t>
            </w:r>
          </w:p>
        </w:tc>
        <w:tc>
          <w:tcPr/>
          <w:p>
            <w:pPr>
              <w:pStyle w:val="Compact"/>
            </w:pPr>
            <w:r>
              <w:t xml:space="preserve">System remains usable without AI; error handling tested; fallback documented.</w:t>
            </w:r>
          </w:p>
        </w:tc>
      </w:tr>
      <w:tr>
        <w:tc>
          <w:tcPr/>
          <w:p>
            <w:pPr>
              <w:pStyle w:val="Compact"/>
            </w:pPr>
            <w:r>
              <w:rPr>
                <w:b/>
                <w:bCs/>
              </w:rPr>
              <w:t xml:space="preserve">T‑E1</w:t>
            </w:r>
          </w:p>
        </w:tc>
        <w:tc>
          <w:tcPr/>
          <w:p>
            <w:pPr>
              <w:pStyle w:val="Compact"/>
            </w:pPr>
            <w:r>
              <w:rPr>
                <w:b/>
                <w:bCs/>
              </w:rPr>
              <w:t xml:space="preserve">Elevation of privilege via application</w:t>
            </w:r>
          </w:p>
        </w:tc>
        <w:tc>
          <w:tcPr/>
          <w:p>
            <w:pPr>
              <w:pStyle w:val="Compact"/>
            </w:pPr>
            <w:r>
              <w:t xml:space="preserve">Exploiting vulnerabilities (injection, broken auth) to gain admin or system privileges.</w:t>
            </w:r>
          </w:p>
        </w:tc>
        <w:tc>
          <w:tcPr/>
          <w:p>
            <w:pPr>
              <w:pStyle w:val="Compact"/>
            </w:pPr>
            <w:r>
              <w:t xml:space="preserve">Medium</w:t>
            </w:r>
          </w:p>
        </w:tc>
        <w:tc>
          <w:tcPr/>
          <w:p>
            <w:pPr>
              <w:pStyle w:val="Compact"/>
            </w:pPr>
            <w:r>
              <w:t xml:space="preserve">High</w:t>
            </w:r>
          </w:p>
        </w:tc>
        <w:tc>
          <w:tcPr/>
          <w:p>
            <w:pPr>
              <w:pStyle w:val="Compact"/>
            </w:pPr>
            <w:r>
              <w:t xml:space="preserve">Follow secure coding; use parameterized queries and input validation; conduct security code reviews and penetration tests annually</w:t>
            </w:r>
            <w:hyperlink r:id="rId37">
              <w:r>
                <w:rPr>
                  <w:rStyle w:val="Hyperlink"/>
                </w:rPr>
                <w:t xml:space="preserve">[13]</w:t>
              </w:r>
            </w:hyperlink>
            <w:r>
              <w:t xml:space="preserve">; apply least privilege; implement strong isolation for admin functions.</w:t>
            </w:r>
          </w:p>
        </w:tc>
        <w:tc>
          <w:tcPr/>
          <w:p>
            <w:pPr>
              <w:pStyle w:val="Compact"/>
            </w:pPr>
            <w:r>
              <w:t xml:space="preserve">Engineering</w:t>
            </w:r>
          </w:p>
        </w:tc>
        <w:tc>
          <w:tcPr/>
          <w:p>
            <w:pPr>
              <w:pStyle w:val="Compact"/>
            </w:pPr>
            <w:r>
              <w:t xml:space="preserve">Development &amp; Operation</w:t>
            </w:r>
          </w:p>
        </w:tc>
        <w:tc>
          <w:tcPr/>
          <w:p>
            <w:pPr>
              <w:pStyle w:val="Compact"/>
            </w:pPr>
            <w:r>
              <w:t xml:space="preserve">No critical OWASP vulnerabilities; access controls tested; regular pen tests passed.</w:t>
            </w:r>
          </w:p>
        </w:tc>
      </w:tr>
      <w:tr>
        <w:tc>
          <w:tcPr/>
          <w:p>
            <w:pPr>
              <w:pStyle w:val="Compact"/>
            </w:pPr>
            <w:r>
              <w:rPr>
                <w:b/>
                <w:bCs/>
              </w:rPr>
              <w:t xml:space="preserve">T‑E2</w:t>
            </w:r>
          </w:p>
        </w:tc>
        <w:tc>
          <w:tcPr/>
          <w:p>
            <w:pPr>
              <w:pStyle w:val="Compact"/>
            </w:pPr>
            <w:r>
              <w:rPr>
                <w:b/>
                <w:bCs/>
              </w:rPr>
              <w:t xml:space="preserve">Elevation of privilege via AI provider</w:t>
            </w:r>
          </w:p>
        </w:tc>
        <w:tc>
          <w:tcPr/>
          <w:p>
            <w:pPr>
              <w:pStyle w:val="Compact"/>
            </w:pPr>
            <w:r>
              <w:t xml:space="preserve">Malicious prompts attempt to cause AI to perform actions beyond its scope (e.g., exfiltrate secrets or call external systems).</w:t>
            </w:r>
          </w:p>
        </w:tc>
        <w:tc>
          <w:tcPr/>
          <w:p>
            <w:pPr>
              <w:pStyle w:val="Compact"/>
            </w:pPr>
            <w:r>
              <w:t xml:space="preserve">High</w:t>
            </w:r>
          </w:p>
        </w:tc>
        <w:tc>
          <w:tcPr/>
          <w:p>
            <w:pPr>
              <w:pStyle w:val="Compact"/>
            </w:pPr>
            <w:r>
              <w:t xml:space="preserve">High</w:t>
            </w:r>
          </w:p>
        </w:tc>
        <w:tc>
          <w:tcPr/>
          <w:p>
            <w:pPr>
              <w:pStyle w:val="Compact"/>
            </w:pPr>
            <w:r>
              <w:t xml:space="preserve">Define strict system prompts; restrict model capabilities; validate outputs; require human approval for high‑impact actions</w:t>
            </w:r>
            <w:hyperlink r:id="rId31">
              <w:r>
                <w:rPr>
                  <w:rStyle w:val="Hyperlink"/>
                </w:rPr>
                <w:t xml:space="preserve">[7]</w:t>
              </w:r>
            </w:hyperlink>
            <w:r>
              <w:t xml:space="preserve">.</w:t>
            </w:r>
          </w:p>
        </w:tc>
        <w:tc>
          <w:tcPr/>
          <w:p>
            <w:pPr>
              <w:pStyle w:val="Compact"/>
            </w:pPr>
            <w:r>
              <w:t xml:space="preserve">Product/Engineering</w:t>
            </w:r>
          </w:p>
        </w:tc>
        <w:tc>
          <w:tcPr/>
          <w:p>
            <w:pPr>
              <w:pStyle w:val="Compact"/>
            </w:pPr>
            <w:r>
              <w:t xml:space="preserve">Design &amp; Operation</w:t>
            </w:r>
          </w:p>
        </w:tc>
        <w:tc>
          <w:tcPr/>
          <w:p>
            <w:pPr>
              <w:pStyle w:val="Compact"/>
            </w:pPr>
            <w:r>
              <w:t xml:space="preserve">Prompt‑injection mitigation implemented; AI cannot directly call external systems without user approval.</w:t>
            </w:r>
          </w:p>
        </w:tc>
      </w:tr>
      <w:tr>
        <w:tc>
          <w:tcPr/>
          <w:p>
            <w:pPr>
              <w:pStyle w:val="Compact"/>
            </w:pPr>
            <w:r>
              <w:rPr>
                <w:b/>
                <w:bCs/>
              </w:rPr>
              <w:t xml:space="preserve">T‑E3</w:t>
            </w:r>
          </w:p>
        </w:tc>
        <w:tc>
          <w:tcPr/>
          <w:p>
            <w:pPr>
              <w:pStyle w:val="Compact"/>
            </w:pPr>
            <w:r>
              <w:rPr>
                <w:b/>
                <w:bCs/>
              </w:rPr>
              <w:t xml:space="preserve">Supply‑chain compromise</w:t>
            </w:r>
          </w:p>
        </w:tc>
        <w:tc>
          <w:tcPr/>
          <w:p>
            <w:pPr>
              <w:pStyle w:val="Compact"/>
            </w:pPr>
            <w:r>
              <w:t xml:space="preserve">Compromise of dependencies or third‑party libraries affecting the application.</w:t>
            </w:r>
          </w:p>
        </w:tc>
        <w:tc>
          <w:tcPr/>
          <w:p>
            <w:pPr>
              <w:pStyle w:val="Compact"/>
            </w:pPr>
            <w:r>
              <w:t xml:space="preserve">Medium</w:t>
            </w:r>
          </w:p>
        </w:tc>
        <w:tc>
          <w:tcPr/>
          <w:p>
            <w:pPr>
              <w:pStyle w:val="Compact"/>
            </w:pPr>
            <w:r>
              <w:t xml:space="preserve">High</w:t>
            </w:r>
          </w:p>
        </w:tc>
        <w:tc>
          <w:tcPr/>
          <w:p>
            <w:pPr>
              <w:pStyle w:val="Compact"/>
            </w:pPr>
            <w:r>
              <w:t xml:space="preserve">Use software composition analysis; maintain SBOM; verify signatures; update dependencies; isolate untrusted code.</w:t>
            </w:r>
          </w:p>
        </w:tc>
        <w:tc>
          <w:tcPr/>
          <w:p>
            <w:pPr>
              <w:pStyle w:val="Compact"/>
            </w:pPr>
            <w:r>
              <w:t xml:space="preserve">DevOps</w:t>
            </w:r>
          </w:p>
        </w:tc>
        <w:tc>
          <w:tcPr/>
          <w:p>
            <w:pPr>
              <w:pStyle w:val="Compact"/>
            </w:pPr>
            <w:r>
              <w:t xml:space="preserve">Development &amp; Operation</w:t>
            </w:r>
          </w:p>
        </w:tc>
        <w:tc>
          <w:tcPr/>
          <w:p>
            <w:pPr>
              <w:pStyle w:val="Compact"/>
            </w:pPr>
            <w:r>
              <w:t xml:space="preserve">Dependency scanning integrated; outdated components patched; supply‑chain risk documented.</w:t>
            </w:r>
          </w:p>
        </w:tc>
      </w:tr>
    </w:tbl>
    <w:bookmarkEnd w:id="38"/>
    <w:bookmarkStart w:id="40" w:name="abuse-cases"/>
    <w:p>
      <w:pPr>
        <w:pStyle w:val="Heading2"/>
      </w:pPr>
      <w:r>
        <w:t xml:space="preserve">5 Abuse cases</w:t>
      </w:r>
    </w:p>
    <w:p>
      <w:pPr>
        <w:pStyle w:val="Compact"/>
        <w:numPr>
          <w:ilvl w:val="0"/>
          <w:numId w:val="1004"/>
        </w:numPr>
      </w:pPr>
      <w:r>
        <w:rPr>
          <w:b/>
          <w:bCs/>
        </w:rPr>
        <w:t xml:space="preserve">Data hoarding</w:t>
      </w:r>
      <w:r>
        <w:t xml:space="preserve"> </w:t>
      </w:r>
      <w:r>
        <w:t xml:space="preserve">– A user uploads extremely sensitive personal narratives but expects them to be deleted later. Without proper deletion policies, data remains in storage and backups, exposing them to breaches. Mitigation: implement retention/deletion policy and secure deletion</w:t>
      </w:r>
      <w:hyperlink r:id="rId39">
        <w:r>
          <w:rPr>
            <w:rStyle w:val="Hyperlink"/>
          </w:rPr>
          <w:t xml:space="preserve">[14]</w:t>
        </w:r>
      </w:hyperlink>
      <w:r>
        <w:t xml:space="preserve">.</w:t>
      </w:r>
    </w:p>
    <w:p>
      <w:pPr>
        <w:pStyle w:val="Compact"/>
        <w:numPr>
          <w:ilvl w:val="0"/>
          <w:numId w:val="1004"/>
        </w:numPr>
      </w:pPr>
      <w:r>
        <w:rPr>
          <w:b/>
          <w:bCs/>
        </w:rPr>
        <w:t xml:space="preserve">Unauthorized AI training</w:t>
      </w:r>
      <w:r>
        <w:t xml:space="preserve"> </w:t>
      </w:r>
      <w:r>
        <w:t xml:space="preserve">– AI provider or internal team uses user memories for model training without consent. Mitigation: include contractual prohibitions on secondary use; implement internal policies for AI training; perform vendor assessments.</w:t>
      </w:r>
    </w:p>
    <w:p>
      <w:pPr>
        <w:pStyle w:val="Compact"/>
        <w:numPr>
          <w:ilvl w:val="0"/>
          <w:numId w:val="1004"/>
        </w:numPr>
      </w:pPr>
      <w:r>
        <w:rPr>
          <w:b/>
          <w:bCs/>
        </w:rPr>
        <w:t xml:space="preserve">Prompt injection attack</w:t>
      </w:r>
      <w:r>
        <w:t xml:space="preserve"> </w:t>
      </w:r>
      <w:r>
        <w:t xml:space="preserve">– A user crafts a memory containing hidden instructions to cause the AI to reveal confidential system information. Mitigation: treat all prompts and retrieval results as untrusted; filter and remove injection patterns; enforce system prompts</w:t>
      </w:r>
      <w:hyperlink r:id="rId31">
        <w:r>
          <w:rPr>
            <w:rStyle w:val="Hyperlink"/>
          </w:rPr>
          <w:t xml:space="preserve">[7]</w:t>
        </w:r>
      </w:hyperlink>
      <w:r>
        <w:t xml:space="preserve">.</w:t>
      </w:r>
    </w:p>
    <w:p>
      <w:pPr>
        <w:pStyle w:val="Compact"/>
        <w:numPr>
          <w:ilvl w:val="0"/>
          <w:numId w:val="1004"/>
        </w:numPr>
      </w:pPr>
      <w:r>
        <w:rPr>
          <w:b/>
          <w:bCs/>
        </w:rPr>
        <w:t xml:space="preserve">Insider misuse</w:t>
      </w:r>
      <w:r>
        <w:t xml:space="preserve"> </w:t>
      </w:r>
      <w:r>
        <w:t xml:space="preserve">– Support staff with broad access view sensitive user reflections out of curiosity. Mitigation: implement RBAC and least privilege; maintain audit logs; perform background checks and user access reviews.</w:t>
      </w:r>
    </w:p>
    <w:p>
      <w:pPr>
        <w:pStyle w:val="Compact"/>
        <w:numPr>
          <w:ilvl w:val="0"/>
          <w:numId w:val="1004"/>
        </w:numPr>
      </w:pPr>
      <w:r>
        <w:rPr>
          <w:b/>
          <w:bCs/>
        </w:rPr>
        <w:t xml:space="preserve">Compromised backup</w:t>
      </w:r>
      <w:r>
        <w:t xml:space="preserve"> </w:t>
      </w:r>
      <w:r>
        <w:t xml:space="preserve">– Attackers target backup storage to obtain encrypted but unprotected keys. Mitigation: encrypt backups; separate encryption keys; restrict access; test restore procedures.</w:t>
      </w:r>
    </w:p>
    <w:p>
      <w:pPr>
        <w:pStyle w:val="Compact"/>
        <w:numPr>
          <w:ilvl w:val="0"/>
          <w:numId w:val="1004"/>
        </w:numPr>
      </w:pPr>
      <w:r>
        <w:rPr>
          <w:b/>
          <w:bCs/>
        </w:rPr>
        <w:t xml:space="preserve">Physical theft of devices</w:t>
      </w:r>
      <w:r>
        <w:t xml:space="preserve"> </w:t>
      </w:r>
      <w:r>
        <w:t xml:space="preserve">– A stolen admin laptop contains cached sessions or unencrypted data. Mitigation: enforce full‑disk encryption</w:t>
      </w:r>
      <w:hyperlink r:id="rId30">
        <w:r>
          <w:rPr>
            <w:rStyle w:val="Hyperlink"/>
          </w:rPr>
          <w:t xml:space="preserve">[6]</w:t>
        </w:r>
      </w:hyperlink>
      <w:r>
        <w:t xml:space="preserve">; implement remote wipe; avoid storing secrets locally.</w:t>
      </w:r>
    </w:p>
    <w:bookmarkEnd w:id="40"/>
    <w:bookmarkStart w:id="41" w:name="prompt-injection-threat-analysis"/>
    <w:p>
      <w:pPr>
        <w:pStyle w:val="Heading2"/>
      </w:pPr>
      <w:r>
        <w:t xml:space="preserve">6 Prompt injection threat analysis</w:t>
      </w:r>
    </w:p>
    <w:p>
      <w:pPr>
        <w:pStyle w:val="FirstParagraph"/>
      </w:pPr>
      <w:r>
        <w:t xml:space="preserve">The</w:t>
      </w:r>
      <w:r>
        <w:t xml:space="preserve"> </w:t>
      </w:r>
      <w:r>
        <w:rPr>
          <w:b/>
          <w:bCs/>
        </w:rPr>
        <w:t xml:space="preserve">OWASP LLM01:2025 Prompt Injection</w:t>
      </w:r>
      <w:r>
        <w:t xml:space="preserve"> </w:t>
      </w:r>
      <w:r>
        <w:t xml:space="preserve">section defines prompt injection as manipulating an AI system by injecting crafted instructions into user input or external content</w:t>
      </w:r>
      <w:hyperlink r:id="rId23">
        <w:r>
          <w:rPr>
            <w:rStyle w:val="Hyperlink"/>
          </w:rPr>
          <w:t xml:space="preserve">[1]</w:t>
        </w:r>
      </w:hyperlink>
      <w:r>
        <w:t xml:space="preserve">. Attacks can be</w:t>
      </w:r>
      <w:r>
        <w:t xml:space="preserve"> </w:t>
      </w:r>
      <w:r>
        <w:rPr>
          <w:b/>
          <w:bCs/>
        </w:rPr>
        <w:t xml:space="preserve">direct</w:t>
      </w:r>
      <w:r>
        <w:t xml:space="preserve"> </w:t>
      </w:r>
      <w:r>
        <w:t xml:space="preserve">(user sends malicious prompt) or</w:t>
      </w:r>
      <w:r>
        <w:t xml:space="preserve"> </w:t>
      </w:r>
      <w:r>
        <w:rPr>
          <w:b/>
          <w:bCs/>
        </w:rPr>
        <w:t xml:space="preserve">indirect</w:t>
      </w:r>
      <w:r>
        <w:t xml:space="preserve"> </w:t>
      </w:r>
      <w:r>
        <w:t xml:space="preserve">(malicious instructions embedded in websites, documents or memory retrievals). Potential impacts include sensitive data disclosure, content manipulation, bypassing guidelines, unauthorized actions, or executing system commands</w:t>
      </w:r>
      <w:hyperlink r:id="rId23">
        <w:r>
          <w:rPr>
            <w:rStyle w:val="Hyperlink"/>
          </w:rPr>
          <w:t xml:space="preserve">[1]</w:t>
        </w:r>
      </w:hyperlink>
      <w:r>
        <w:t xml:space="preserve">. To mitigate prompt‑injection risks:</w:t>
      </w:r>
    </w:p>
    <w:p>
      <w:pPr>
        <w:pStyle w:val="Compact"/>
        <w:numPr>
          <w:ilvl w:val="0"/>
          <w:numId w:val="1005"/>
        </w:numPr>
      </w:pPr>
      <w:r>
        <w:rPr>
          <w:b/>
          <w:bCs/>
        </w:rPr>
        <w:t xml:space="preserve">System prompt hardening</w:t>
      </w:r>
      <w:r>
        <w:t xml:space="preserve"> </w:t>
      </w:r>
      <w:r>
        <w:t xml:space="preserve">– Use robust system prompts to clearly define the AI’s allowed actions; separate instructions from user content; avoid dynamic injection.</w:t>
      </w:r>
    </w:p>
    <w:p>
      <w:pPr>
        <w:pStyle w:val="Compact"/>
        <w:numPr>
          <w:ilvl w:val="0"/>
          <w:numId w:val="1005"/>
        </w:numPr>
      </w:pPr>
      <w:r>
        <w:rPr>
          <w:b/>
          <w:bCs/>
        </w:rPr>
        <w:t xml:space="preserve">Output format specification</w:t>
      </w:r>
      <w:r>
        <w:t xml:space="preserve"> </w:t>
      </w:r>
      <w:r>
        <w:t xml:space="preserve">– Define expected output structures (e.g., JSON) and reject responses that deviate.</w:t>
      </w:r>
    </w:p>
    <w:p>
      <w:pPr>
        <w:pStyle w:val="Compact"/>
        <w:numPr>
          <w:ilvl w:val="0"/>
          <w:numId w:val="1005"/>
        </w:numPr>
      </w:pPr>
      <w:r>
        <w:rPr>
          <w:b/>
          <w:bCs/>
        </w:rPr>
        <w:t xml:space="preserve">Input/output filtering</w:t>
      </w:r>
      <w:r>
        <w:t xml:space="preserve"> </w:t>
      </w:r>
      <w:r>
        <w:t xml:space="preserve">– Apply semantic filters to detect malicious content; remove instructions and code blocks before forwarding to the model; scan outputs for anomalies</w:t>
      </w:r>
      <w:hyperlink r:id="rId31">
        <w:r>
          <w:rPr>
            <w:rStyle w:val="Hyperlink"/>
          </w:rPr>
          <w:t xml:space="preserve">[7]</w:t>
        </w:r>
      </w:hyperlink>
      <w:r>
        <w:t xml:space="preserve">.</w:t>
      </w:r>
    </w:p>
    <w:p>
      <w:pPr>
        <w:pStyle w:val="Compact"/>
        <w:numPr>
          <w:ilvl w:val="0"/>
          <w:numId w:val="1005"/>
        </w:numPr>
      </w:pPr>
      <w:r>
        <w:rPr>
          <w:b/>
          <w:bCs/>
        </w:rPr>
        <w:t xml:space="preserve">Least privilege &amp; token scoping</w:t>
      </w:r>
      <w:r>
        <w:t xml:space="preserve"> </w:t>
      </w:r>
      <w:r>
        <w:t xml:space="preserve">– Provide minimal capabilities; use dedicated API tokens with limited scopes for external actions</w:t>
      </w:r>
      <w:hyperlink r:id="rId31">
        <w:r>
          <w:rPr>
            <w:rStyle w:val="Hyperlink"/>
          </w:rPr>
          <w:t xml:space="preserve">[7]</w:t>
        </w:r>
      </w:hyperlink>
      <w:r>
        <w:t xml:space="preserve">.</w:t>
      </w:r>
    </w:p>
    <w:p>
      <w:pPr>
        <w:pStyle w:val="Compact"/>
        <w:numPr>
          <w:ilvl w:val="0"/>
          <w:numId w:val="1005"/>
        </w:numPr>
      </w:pPr>
      <w:r>
        <w:rPr>
          <w:b/>
          <w:bCs/>
        </w:rPr>
        <w:t xml:space="preserve">Human oversight</w:t>
      </w:r>
      <w:r>
        <w:t xml:space="preserve"> </w:t>
      </w:r>
      <w:r>
        <w:t xml:space="preserve">– Require human review for high‑risk actions (e.g., sending messages, updating safety events). Avoid full automation.</w:t>
      </w:r>
      <w:hyperlink r:id="rId31">
        <w:r>
          <w:rPr>
            <w:rStyle w:val="Hyperlink"/>
          </w:rPr>
          <w:t xml:space="preserve">[7]</w:t>
        </w:r>
      </w:hyperlink>
    </w:p>
    <w:p>
      <w:pPr>
        <w:pStyle w:val="Compact"/>
        <w:numPr>
          <w:ilvl w:val="0"/>
          <w:numId w:val="1005"/>
        </w:numPr>
      </w:pPr>
      <w:r>
        <w:rPr>
          <w:b/>
          <w:bCs/>
        </w:rPr>
        <w:t xml:space="preserve">Segregation of untrusted content</w:t>
      </w:r>
      <w:r>
        <w:t xml:space="preserve"> </w:t>
      </w:r>
      <w:r>
        <w:t xml:space="preserve">– Keep untrusted user input separate from system instructions; treat retrieval‑augmented content as untrusted and filter it.</w:t>
      </w:r>
    </w:p>
    <w:p>
      <w:pPr>
        <w:pStyle w:val="Compact"/>
        <w:numPr>
          <w:ilvl w:val="0"/>
          <w:numId w:val="1005"/>
        </w:numPr>
      </w:pPr>
      <w:r>
        <w:rPr>
          <w:b/>
          <w:bCs/>
        </w:rPr>
        <w:t xml:space="preserve">Adversarial testing</w:t>
      </w:r>
      <w:r>
        <w:t xml:space="preserve"> </w:t>
      </w:r>
      <w:r>
        <w:t xml:space="preserve">– Conduct red‑teaming, threat modelling and penetration tests focusing on AI interactions and injection scenarios</w:t>
      </w:r>
      <w:hyperlink r:id="rId31">
        <w:r>
          <w:rPr>
            <w:rStyle w:val="Hyperlink"/>
          </w:rPr>
          <w:t xml:space="preserve">[7]</w:t>
        </w:r>
      </w:hyperlink>
      <w:r>
        <w:t xml:space="preserve">.</w:t>
      </w:r>
    </w:p>
    <w:p>
      <w:pPr>
        <w:pStyle w:val="FirstParagraph"/>
      </w:pPr>
      <w:r>
        <w:t xml:space="preserve">These controls must be built into the design and enforced at runtime. Because reflections and memories may contain hidden instructions, the retrieval pipeline should perform injection detection before using the text in prompts.</w:t>
      </w:r>
    </w:p>
    <w:bookmarkEnd w:id="41"/>
    <w:bookmarkStart w:id="47" w:name="ai-provider-risk-analysis"/>
    <w:p>
      <w:pPr>
        <w:pStyle w:val="Heading2"/>
      </w:pPr>
      <w:r>
        <w:t xml:space="preserve">7 AI provider risk analysis</w:t>
      </w:r>
    </w:p>
    <w:p>
      <w:pPr>
        <w:pStyle w:val="FirstParagraph"/>
      </w:pPr>
      <w:r>
        <w:t xml:space="preserve">The NIST Generative AI profile highlights the need for</w:t>
      </w:r>
      <w:r>
        <w:t xml:space="preserve"> </w:t>
      </w:r>
      <w:r>
        <w:rPr>
          <w:b/>
          <w:bCs/>
        </w:rPr>
        <w:t xml:space="preserve">procurement and vendor assessments</w:t>
      </w:r>
      <w:r>
        <w:t xml:space="preserve"> </w:t>
      </w:r>
      <w:r>
        <w:t xml:space="preserve">that consider intellectual property, data privacy, security and other risks</w:t>
      </w:r>
      <w:hyperlink r:id="rId42">
        <w:r>
          <w:rPr>
            <w:rStyle w:val="Hyperlink"/>
          </w:rPr>
          <w:t xml:space="preserve">[15]</w:t>
        </w:r>
      </w:hyperlink>
      <w:r>
        <w:t xml:space="preserve">. Organisations should:</w:t>
      </w:r>
    </w:p>
    <w:p>
      <w:pPr>
        <w:pStyle w:val="Compact"/>
        <w:numPr>
          <w:ilvl w:val="0"/>
          <w:numId w:val="1006"/>
        </w:numPr>
      </w:pPr>
      <w:r>
        <w:rPr>
          <w:b/>
          <w:bCs/>
        </w:rPr>
        <w:t xml:space="preserve">Update procurement processes</w:t>
      </w:r>
      <w:r>
        <w:t xml:space="preserve"> </w:t>
      </w:r>
      <w:r>
        <w:t xml:space="preserve">to evaluate AI vendors for embedded generative technologies, data privacy, security and intellectual property risks</w:t>
      </w:r>
      <w:hyperlink r:id="rId42">
        <w:r>
          <w:rPr>
            <w:rStyle w:val="Hyperlink"/>
          </w:rPr>
          <w:t xml:space="preserve">[16]</w:t>
        </w:r>
      </w:hyperlink>
      <w:r>
        <w:t xml:space="preserve">. Assess both open‑source and proprietary GAI tools against vulnerability databases</w:t>
      </w:r>
      <w:hyperlink r:id="rId42">
        <w:r>
          <w:rPr>
            <w:rStyle w:val="Hyperlink"/>
          </w:rPr>
          <w:t xml:space="preserve">[16]</w:t>
        </w:r>
      </w:hyperlink>
      <w:r>
        <w:t xml:space="preserve">.</w:t>
      </w:r>
    </w:p>
    <w:p>
      <w:pPr>
        <w:pStyle w:val="Compact"/>
        <w:numPr>
          <w:ilvl w:val="0"/>
          <w:numId w:val="1006"/>
        </w:numPr>
      </w:pPr>
      <w:r>
        <w:rPr>
          <w:b/>
          <w:bCs/>
        </w:rPr>
        <w:t xml:space="preserve">Monitor third‑party risks</w:t>
      </w:r>
      <w:r>
        <w:t xml:space="preserve"> </w:t>
      </w:r>
      <w:r>
        <w:t xml:space="preserve">– Implement ongoing monitoring, assessment and real‑time reporting of vendor incidents and vulnerabilities; document incidents involving third‑party AI data/systems and maintain contingency plans</w:t>
      </w:r>
      <w:hyperlink r:id="rId43">
        <w:r>
          <w:rPr>
            <w:rStyle w:val="Hyperlink"/>
          </w:rPr>
          <w:t xml:space="preserve">[17]</w:t>
        </w:r>
      </w:hyperlink>
      <w:r>
        <w:t xml:space="preserve">.</w:t>
      </w:r>
    </w:p>
    <w:p>
      <w:pPr>
        <w:pStyle w:val="Compact"/>
        <w:numPr>
          <w:ilvl w:val="0"/>
          <w:numId w:val="1006"/>
        </w:numPr>
      </w:pPr>
      <w:r>
        <w:rPr>
          <w:b/>
          <w:bCs/>
        </w:rPr>
        <w:t xml:space="preserve">Review contracts</w:t>
      </w:r>
      <w:r>
        <w:t xml:space="preserve"> </w:t>
      </w:r>
      <w:r>
        <w:t xml:space="preserve">– Ensure agreements specify data use restrictions, prohibit secondary data use, assign liability, require breach notification, and include service‑level agreements (SLAs) for incident response and support</w:t>
      </w:r>
      <w:hyperlink r:id="rId44">
        <w:r>
          <w:rPr>
            <w:rStyle w:val="Hyperlink"/>
          </w:rPr>
          <w:t xml:space="preserve">[18]</w:t>
        </w:r>
      </w:hyperlink>
      <w:r>
        <w:t xml:space="preserve">.</w:t>
      </w:r>
    </w:p>
    <w:p>
      <w:pPr>
        <w:pStyle w:val="Compact"/>
        <w:numPr>
          <w:ilvl w:val="0"/>
          <w:numId w:val="1006"/>
        </w:numPr>
      </w:pPr>
      <w:r>
        <w:rPr>
          <w:b/>
          <w:bCs/>
        </w:rPr>
        <w:t xml:space="preserve">Document value chain risks</w:t>
      </w:r>
      <w:r>
        <w:t xml:space="preserve"> </w:t>
      </w:r>
      <w:r>
        <w:t xml:space="preserve">– Identify over‑reliance on third‑party data and provide fallbacks; maintain policies for data redundancy and model weights</w:t>
      </w:r>
      <w:hyperlink r:id="rId45">
        <w:r>
          <w:rPr>
            <w:rStyle w:val="Hyperlink"/>
          </w:rPr>
          <w:t xml:space="preserve">[19]</w:t>
        </w:r>
      </w:hyperlink>
      <w:r>
        <w:t xml:space="preserve">.</w:t>
      </w:r>
    </w:p>
    <w:p>
      <w:pPr>
        <w:pStyle w:val="Compact"/>
        <w:numPr>
          <w:ilvl w:val="0"/>
          <w:numId w:val="1006"/>
        </w:numPr>
      </w:pPr>
      <w:r>
        <w:rPr>
          <w:b/>
          <w:bCs/>
        </w:rPr>
        <w:t xml:space="preserve">Align incident response</w:t>
      </w:r>
      <w:r>
        <w:t xml:space="preserve"> </w:t>
      </w:r>
      <w:r>
        <w:t xml:space="preserve">– Create third‑party incident response plans aligned with internal MAP 5.1 guidance (Monitoring, Assessment and Preparedness); communicate and rehearse these plans; consider regulatory reporting requirements</w:t>
      </w:r>
      <w:hyperlink r:id="rId46">
        <w:r>
          <w:rPr>
            <w:rStyle w:val="Hyperlink"/>
          </w:rPr>
          <w:t xml:space="preserve">[20]</w:t>
        </w:r>
      </w:hyperlink>
      <w:r>
        <w:t xml:space="preserve">.</w:t>
      </w:r>
    </w:p>
    <w:p>
      <w:pPr>
        <w:pStyle w:val="FirstParagraph"/>
      </w:pPr>
      <w:r>
        <w:t xml:space="preserve">Evaluating AI providers should include: background checks of security and compliance certifications, encryption practices, data segregation, privacy policies, retention and deletion policies, incident history, and supply‑chain integrity. Additionally, providers must commit to not using user data for training without explicit consent and must support deletion upon request.</w:t>
      </w:r>
    </w:p>
    <w:bookmarkEnd w:id="47"/>
    <w:bookmarkStart w:id="49" w:name="authentication-requirements"/>
    <w:p>
      <w:pPr>
        <w:pStyle w:val="Heading2"/>
      </w:pPr>
      <w:r>
        <w:t xml:space="preserve">8 Authentication requirements</w:t>
      </w:r>
    </w:p>
    <w:p>
      <w:pPr>
        <w:pStyle w:val="Compact"/>
        <w:numPr>
          <w:ilvl w:val="0"/>
          <w:numId w:val="1007"/>
        </w:numPr>
      </w:pPr>
      <w:r>
        <w:rPr>
          <w:b/>
          <w:bCs/>
        </w:rPr>
        <w:t xml:space="preserve">Password strength</w:t>
      </w:r>
      <w:r>
        <w:t xml:space="preserve"> </w:t>
      </w:r>
      <w:r>
        <w:t xml:space="preserve">– Enforce minimum length and complexity; prevent commonly used or breached passwords (use password blacklist). Rate‑limit authentication attempts.</w:t>
      </w:r>
    </w:p>
    <w:p>
      <w:pPr>
        <w:pStyle w:val="Compact"/>
        <w:numPr>
          <w:ilvl w:val="0"/>
          <w:numId w:val="1007"/>
        </w:numPr>
      </w:pPr>
      <w:r>
        <w:rPr>
          <w:b/>
          <w:bCs/>
        </w:rPr>
        <w:t xml:space="preserve">Multi‑factor authentication (MFA)</w:t>
      </w:r>
      <w:r>
        <w:t xml:space="preserve"> </w:t>
      </w:r>
      <w:r>
        <w:t xml:space="preserve">– Required for all users and administrators; support Time‑based One‑Time Password (TOTP) or hardware key tokens</w:t>
      </w:r>
      <w:hyperlink r:id="rId33">
        <w:r>
          <w:rPr>
            <w:rStyle w:val="Hyperlink"/>
          </w:rPr>
          <w:t xml:space="preserve">[8]</w:t>
        </w:r>
      </w:hyperlink>
      <w:r>
        <w:t xml:space="preserve">. Provide secure MFA reset procedures (identity proofing)</w:t>
      </w:r>
      <w:hyperlink r:id="rId33">
        <w:r>
          <w:rPr>
            <w:rStyle w:val="Hyperlink"/>
          </w:rPr>
          <w:t xml:space="preserve">[8]</w:t>
        </w:r>
      </w:hyperlink>
      <w:r>
        <w:t xml:space="preserve">. Require MFA during login and when performing sensitive actions (e.g., changing credentials)</w:t>
      </w:r>
      <w:hyperlink r:id="rId48">
        <w:r>
          <w:rPr>
            <w:rStyle w:val="Hyperlink"/>
          </w:rPr>
          <w:t xml:space="preserve">[21]</w:t>
        </w:r>
      </w:hyperlink>
      <w:r>
        <w:t xml:space="preserve">.</w:t>
      </w:r>
    </w:p>
    <w:p>
      <w:pPr>
        <w:pStyle w:val="Compact"/>
        <w:numPr>
          <w:ilvl w:val="0"/>
          <w:numId w:val="1007"/>
        </w:numPr>
      </w:pPr>
      <w:r>
        <w:rPr>
          <w:b/>
          <w:bCs/>
        </w:rPr>
        <w:t xml:space="preserve">Session management</w:t>
      </w:r>
      <w:r>
        <w:t xml:space="preserve"> </w:t>
      </w:r>
      <w:r>
        <w:t xml:space="preserve">– Use secure, HTTP‑only cookies with strict same‑site settings; implement session expiration and revocation on logout. Maintain session inactivity timeouts; rotate session IDs after privilege escalation.</w:t>
      </w:r>
    </w:p>
    <w:p>
      <w:pPr>
        <w:pStyle w:val="Compact"/>
        <w:numPr>
          <w:ilvl w:val="0"/>
          <w:numId w:val="1007"/>
        </w:numPr>
      </w:pPr>
      <w:r>
        <w:rPr>
          <w:b/>
          <w:bCs/>
        </w:rPr>
        <w:t xml:space="preserve">Account lifecycle</w:t>
      </w:r>
      <w:r>
        <w:t xml:space="preserve"> </w:t>
      </w:r>
      <w:r>
        <w:t xml:space="preserve">– Enforce verified e‑mail or phone registration; provide account lockout after repeated failed logins; provide secure password reset via email with short‑lived, single‑use tokens.</w:t>
      </w:r>
    </w:p>
    <w:p>
      <w:pPr>
        <w:pStyle w:val="Compact"/>
        <w:numPr>
          <w:ilvl w:val="0"/>
          <w:numId w:val="1007"/>
        </w:numPr>
      </w:pPr>
      <w:r>
        <w:rPr>
          <w:b/>
          <w:bCs/>
        </w:rPr>
        <w:t xml:space="preserve">Hardware &amp; device security</w:t>
      </w:r>
      <w:r>
        <w:t xml:space="preserve"> </w:t>
      </w:r>
      <w:r>
        <w:t xml:space="preserve">– Encourage users to use OS‑level full‑disk encryption</w:t>
      </w:r>
      <w:hyperlink r:id="rId30">
        <w:r>
          <w:rPr>
            <w:rStyle w:val="Hyperlink"/>
          </w:rPr>
          <w:t xml:space="preserve">[6]</w:t>
        </w:r>
      </w:hyperlink>
      <w:r>
        <w:t xml:space="preserve">; support biometric MFA for mobile apps.</w:t>
      </w:r>
    </w:p>
    <w:bookmarkEnd w:id="49"/>
    <w:bookmarkStart w:id="50" w:name="authorisation-requirements"/>
    <w:p>
      <w:pPr>
        <w:pStyle w:val="Heading2"/>
      </w:pPr>
      <w:r>
        <w:t xml:space="preserve">9 Authorisation requirements</w:t>
      </w:r>
    </w:p>
    <w:p>
      <w:pPr>
        <w:pStyle w:val="Compact"/>
        <w:numPr>
          <w:ilvl w:val="0"/>
          <w:numId w:val="1008"/>
        </w:numPr>
      </w:pPr>
      <w:r>
        <w:rPr>
          <w:b/>
          <w:bCs/>
        </w:rPr>
        <w:t xml:space="preserve">Principle of least privilege</w:t>
      </w:r>
      <w:r>
        <w:t xml:space="preserve"> </w:t>
      </w:r>
      <w:r>
        <w:t xml:space="preserve">– Users and services only have access to the data and operations necessary for their role</w:t>
      </w:r>
      <w:hyperlink r:id="rId34">
        <w:r>
          <w:rPr>
            <w:rStyle w:val="Hyperlink"/>
          </w:rPr>
          <w:t xml:space="preserve">[9]</w:t>
        </w:r>
      </w:hyperlink>
      <w:r>
        <w:t xml:space="preserve">. Provide read/write access controls at record level (per memory/reflection).</w:t>
      </w:r>
    </w:p>
    <w:p>
      <w:pPr>
        <w:pStyle w:val="Compact"/>
        <w:numPr>
          <w:ilvl w:val="0"/>
          <w:numId w:val="1008"/>
        </w:numPr>
      </w:pPr>
      <w:r>
        <w:rPr>
          <w:b/>
          <w:bCs/>
        </w:rPr>
        <w:t xml:space="preserve">Role‑based access control (RBAC)</w:t>
      </w:r>
      <w:r>
        <w:t xml:space="preserve"> </w:t>
      </w:r>
      <w:r>
        <w:t xml:space="preserve">– Use roles to group permissions (see RBAC model below). Roles can be hierarchical (admin inherits user privileges). The role design should support segregation of duties (e.g., support staff cannot access crisis notes). Access rights are assigned to roles and inherited by users</w:t>
      </w:r>
      <w:hyperlink r:id="rId34">
        <w:r>
          <w:rPr>
            <w:rStyle w:val="Hyperlink"/>
          </w:rPr>
          <w:t xml:space="preserve">[22]</w:t>
        </w:r>
      </w:hyperlink>
      <w:r>
        <w:t xml:space="preserve">.</w:t>
      </w:r>
    </w:p>
    <w:p>
      <w:pPr>
        <w:pStyle w:val="Compact"/>
        <w:numPr>
          <w:ilvl w:val="0"/>
          <w:numId w:val="1008"/>
        </w:numPr>
      </w:pPr>
      <w:r>
        <w:rPr>
          <w:b/>
          <w:bCs/>
        </w:rPr>
        <w:t xml:space="preserve">Attribute‑based access control (ABAC)</w:t>
      </w:r>
      <w:r>
        <w:t xml:space="preserve"> </w:t>
      </w:r>
      <w:r>
        <w:t xml:space="preserve">– Apply contextual attributes (time, location, purpose) for more granular decisions. For example, restrict access to high‑risk data outside specific regions or times; require justification for safety event access. ABAC conditions should be auditable.</w:t>
      </w:r>
    </w:p>
    <w:p>
      <w:pPr>
        <w:pStyle w:val="Compact"/>
        <w:numPr>
          <w:ilvl w:val="0"/>
          <w:numId w:val="1008"/>
        </w:numPr>
      </w:pPr>
      <w:r>
        <w:rPr>
          <w:b/>
          <w:bCs/>
        </w:rPr>
        <w:t xml:space="preserve">Approval workflows</w:t>
      </w:r>
      <w:r>
        <w:t xml:space="preserve"> </w:t>
      </w:r>
      <w:r>
        <w:t xml:space="preserve">– For high‑risk actions (e.g., reading deleted memories, viewing sensitive crisis notes), require secondary approval or break‑glass processes.</w:t>
      </w:r>
    </w:p>
    <w:bookmarkEnd w:id="50"/>
    <w:bookmarkStart w:id="51" w:name="rolebased-access-control-model"/>
    <w:p>
      <w:pPr>
        <w:pStyle w:val="Heading2"/>
      </w:pPr>
      <w:r>
        <w:t xml:space="preserve">10 Role‑based access control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Description</w:t>
            </w:r>
          </w:p>
        </w:tc>
        <w:tc>
          <w:tcPr/>
          <w:p>
            <w:pPr>
              <w:pStyle w:val="Compact"/>
            </w:pPr>
            <w:r>
              <w:t xml:space="preserve">Permissions</w:t>
            </w:r>
          </w:p>
        </w:tc>
      </w:tr>
      <w:tr>
        <w:tc>
          <w:tcPr/>
          <w:p>
            <w:pPr>
              <w:pStyle w:val="Compact"/>
            </w:pPr>
            <w:r>
              <w:rPr>
                <w:b/>
                <w:bCs/>
              </w:rPr>
              <w:t xml:space="preserve">End User</w:t>
            </w:r>
          </w:p>
        </w:tc>
        <w:tc>
          <w:tcPr/>
          <w:p>
            <w:pPr>
              <w:pStyle w:val="Compact"/>
            </w:pPr>
            <w:r>
              <w:t xml:space="preserve">Regular user storing memories and reflections.</w:t>
            </w:r>
          </w:p>
        </w:tc>
        <w:tc>
          <w:tcPr/>
          <w:p>
            <w:pPr>
              <w:pStyle w:val="Compact"/>
            </w:pPr>
            <w:r>
              <w:t xml:space="preserve">Create/update/delete own memories; view own consents and safety events; manage account and authentication; request data export/deletion.</w:t>
            </w:r>
          </w:p>
        </w:tc>
      </w:tr>
      <w:tr>
        <w:tc>
          <w:tcPr/>
          <w:p>
            <w:pPr>
              <w:pStyle w:val="Compact"/>
            </w:pPr>
            <w:r>
              <w:rPr>
                <w:b/>
                <w:bCs/>
              </w:rPr>
              <w:t xml:space="preserve">Support Agent</w:t>
            </w:r>
          </w:p>
        </w:tc>
        <w:tc>
          <w:tcPr/>
          <w:p>
            <w:pPr>
              <w:pStyle w:val="Compact"/>
            </w:pPr>
            <w:r>
              <w:t xml:space="preserve">Staff providing technical support.</w:t>
            </w:r>
          </w:p>
        </w:tc>
        <w:tc>
          <w:tcPr/>
          <w:p>
            <w:pPr>
              <w:pStyle w:val="Compact"/>
            </w:pPr>
            <w:r>
              <w:t xml:space="preserve">View basic account info (username, email); view error logs and status; cannot view memory content; can trigger password resets.</w:t>
            </w:r>
          </w:p>
        </w:tc>
      </w:tr>
      <w:tr>
        <w:tc>
          <w:tcPr/>
          <w:p>
            <w:pPr>
              <w:pStyle w:val="Compact"/>
            </w:pPr>
            <w:r>
              <w:rPr>
                <w:b/>
                <w:bCs/>
              </w:rPr>
              <w:t xml:space="preserve">Safety Specialist</w:t>
            </w:r>
          </w:p>
        </w:tc>
        <w:tc>
          <w:tcPr/>
          <w:p>
            <w:pPr>
              <w:pStyle w:val="Compact"/>
            </w:pPr>
            <w:r>
              <w:t xml:space="preserve">Handles crisis and safety events.</w:t>
            </w:r>
          </w:p>
        </w:tc>
        <w:tc>
          <w:tcPr/>
          <w:p>
            <w:pPr>
              <w:pStyle w:val="Compact"/>
            </w:pPr>
            <w:r>
              <w:t xml:space="preserve">View and manage crisis flags and safety events; view de‑identified summaries; cannot view full reflections unless user consents.</w:t>
            </w:r>
          </w:p>
        </w:tc>
      </w:tr>
      <w:tr>
        <w:tc>
          <w:tcPr/>
          <w:p>
            <w:pPr>
              <w:pStyle w:val="Compact"/>
            </w:pPr>
            <w:r>
              <w:rPr>
                <w:b/>
                <w:bCs/>
              </w:rPr>
              <w:t xml:space="preserve">Data Steward</w:t>
            </w:r>
          </w:p>
        </w:tc>
        <w:tc>
          <w:tcPr/>
          <w:p>
            <w:pPr>
              <w:pStyle w:val="Compact"/>
            </w:pPr>
            <w:r>
              <w:t xml:space="preserve">Ensures compliance and data governance.</w:t>
            </w:r>
          </w:p>
        </w:tc>
        <w:tc>
          <w:tcPr/>
          <w:p>
            <w:pPr>
              <w:pStyle w:val="Compact"/>
            </w:pPr>
            <w:r>
              <w:t xml:space="preserve">Manage consent policies, data retention rules, deletion requests; access pseudonymized usage statistics; cannot access raw content.</w:t>
            </w:r>
          </w:p>
        </w:tc>
      </w:tr>
      <w:tr>
        <w:tc>
          <w:tcPr/>
          <w:p>
            <w:pPr>
              <w:pStyle w:val="Compact"/>
            </w:pPr>
            <w:r>
              <w:rPr>
                <w:b/>
                <w:bCs/>
              </w:rPr>
              <w:t xml:space="preserve">System Service</w:t>
            </w:r>
          </w:p>
        </w:tc>
        <w:tc>
          <w:tcPr/>
          <w:p>
            <w:pPr>
              <w:pStyle w:val="Compact"/>
            </w:pPr>
            <w:r>
              <w:t xml:space="preserve">Application micro‑service accounts.</w:t>
            </w:r>
          </w:p>
        </w:tc>
        <w:tc>
          <w:tcPr/>
          <w:p>
            <w:pPr>
              <w:pStyle w:val="Compact"/>
            </w:pPr>
            <w:r>
              <w:t xml:space="preserve">Read/write reflections and metadata; compute embeddings; call AI providers; cannot access admin console; uses least‑privilege tokens.</w:t>
            </w:r>
          </w:p>
        </w:tc>
      </w:tr>
      <w:tr>
        <w:tc>
          <w:tcPr/>
          <w:p>
            <w:pPr>
              <w:pStyle w:val="Compact"/>
            </w:pPr>
            <w:r>
              <w:rPr>
                <w:b/>
                <w:bCs/>
              </w:rPr>
              <w:t xml:space="preserve">Admin</w:t>
            </w:r>
          </w:p>
        </w:tc>
        <w:tc>
          <w:tcPr/>
          <w:p>
            <w:pPr>
              <w:pStyle w:val="Compact"/>
            </w:pPr>
            <w:r>
              <w:t xml:space="preserve">Senior engineer or operations.</w:t>
            </w:r>
          </w:p>
        </w:tc>
        <w:tc>
          <w:tcPr/>
          <w:p>
            <w:pPr>
              <w:pStyle w:val="Compact"/>
            </w:pPr>
            <w:r>
              <w:t xml:space="preserve">Manage users and roles; configure infrastructure; view aggregated logs; cannot access user content unless explicitly escalated (break‑glass). All admin actions are logged.</w:t>
            </w:r>
          </w:p>
        </w:tc>
      </w:tr>
    </w:tbl>
    <w:bookmarkEnd w:id="51"/>
    <w:bookmarkStart w:id="56" w:name="encryption-requirements"/>
    <w:p>
      <w:pPr>
        <w:pStyle w:val="Heading2"/>
      </w:pPr>
      <w:r>
        <w:t xml:space="preserve">11 Encryption requirements</w:t>
      </w:r>
    </w:p>
    <w:p>
      <w:pPr>
        <w:pStyle w:val="Compact"/>
        <w:numPr>
          <w:ilvl w:val="0"/>
          <w:numId w:val="1009"/>
        </w:numPr>
      </w:pPr>
      <w:r>
        <w:rPr>
          <w:b/>
          <w:bCs/>
        </w:rPr>
        <w:t xml:space="preserve">Data at rest</w:t>
      </w:r>
      <w:r>
        <w:t xml:space="preserve"> </w:t>
      </w:r>
      <w:r>
        <w:t xml:space="preserve">– All user data, metadata, embeddings, consents, safety events and logs must be encrypted at rest with</w:t>
      </w:r>
      <w:r>
        <w:t xml:space="preserve"> </w:t>
      </w:r>
      <w:r>
        <w:rPr>
          <w:b/>
          <w:bCs/>
        </w:rPr>
        <w:t xml:space="preserve">AES‑256</w:t>
      </w:r>
      <w:r>
        <w:t xml:space="preserve"> </w:t>
      </w:r>
      <w:r>
        <w:t xml:space="preserve">or comparable algorithm using FIPS 140‑2/3 validated cryptographic modules</w:t>
      </w:r>
      <w:hyperlink r:id="rId30">
        <w:r>
          <w:rPr>
            <w:rStyle w:val="Hyperlink"/>
          </w:rPr>
          <w:t xml:space="preserve">[6]</w:t>
        </w:r>
      </w:hyperlink>
      <w:r>
        <w:t xml:space="preserve">. Full‑disk encryption should be used on servers and devices storing data</w:t>
      </w:r>
      <w:hyperlink r:id="rId30">
        <w:r>
          <w:rPr>
            <w:rStyle w:val="Hyperlink"/>
          </w:rPr>
          <w:t xml:space="preserve">[6]</w:t>
        </w:r>
      </w:hyperlink>
      <w:r>
        <w:t xml:space="preserve">; encryption keys must be stored separately (e.g., hardware security module or cloud key management service)</w:t>
      </w:r>
      <w:hyperlink r:id="rId52">
        <w:r>
          <w:rPr>
            <w:rStyle w:val="Hyperlink"/>
          </w:rPr>
          <w:t xml:space="preserve">[23]</w:t>
        </w:r>
      </w:hyperlink>
      <w:r>
        <w:t xml:space="preserve">.</w:t>
      </w:r>
    </w:p>
    <w:p>
      <w:pPr>
        <w:pStyle w:val="Compact"/>
        <w:numPr>
          <w:ilvl w:val="0"/>
          <w:numId w:val="1009"/>
        </w:numPr>
      </w:pPr>
      <w:r>
        <w:rPr>
          <w:b/>
          <w:bCs/>
        </w:rPr>
        <w:t xml:space="preserve">Data in transit</w:t>
      </w:r>
      <w:r>
        <w:t xml:space="preserve"> </w:t>
      </w:r>
      <w:r>
        <w:t xml:space="preserve">– Use TLS 1.2 or 1.3 with strong cipher suites for all network communications (client–server, micro‑service, backups)</w:t>
      </w:r>
      <w:hyperlink r:id="rId53">
        <w:r>
          <w:rPr>
            <w:rStyle w:val="Hyperlink"/>
          </w:rPr>
          <w:t xml:space="preserve">[24]</w:t>
        </w:r>
      </w:hyperlink>
      <w:r>
        <w:t xml:space="preserve">. Enable certificate validation and replay protection. Use IPsec or always‑on VPN for internal network traffic when appropriate</w:t>
      </w:r>
      <w:hyperlink r:id="rId53">
        <w:r>
          <w:rPr>
            <w:rStyle w:val="Hyperlink"/>
          </w:rPr>
          <w:t xml:space="preserve">[24]</w:t>
        </w:r>
      </w:hyperlink>
      <w:r>
        <w:t xml:space="preserve">.</w:t>
      </w:r>
    </w:p>
    <w:p>
      <w:pPr>
        <w:pStyle w:val="Compact"/>
        <w:numPr>
          <w:ilvl w:val="0"/>
          <w:numId w:val="1009"/>
        </w:numPr>
      </w:pPr>
      <w:r>
        <w:rPr>
          <w:b/>
          <w:bCs/>
        </w:rPr>
        <w:t xml:space="preserve">Key management</w:t>
      </w:r>
      <w:r>
        <w:t xml:space="preserve"> </w:t>
      </w:r>
      <w:r>
        <w:t xml:space="preserve">– Generate cryptographic keys using secure random generation and strong lengths</w:t>
      </w:r>
      <w:hyperlink r:id="rId54">
        <w:r>
          <w:rPr>
            <w:rStyle w:val="Hyperlink"/>
          </w:rPr>
          <w:t xml:space="preserve">[25]</w:t>
        </w:r>
      </w:hyperlink>
      <w:r>
        <w:t xml:space="preserve">; keys must be protected from modification or unauthorized access</w:t>
      </w:r>
      <w:hyperlink r:id="rId55">
        <w:r>
          <w:rPr>
            <w:rStyle w:val="Hyperlink"/>
          </w:rPr>
          <w:t xml:space="preserve">[26]</w:t>
        </w:r>
      </w:hyperlink>
      <w:r>
        <w:t xml:space="preserve">. Rotate keys regularly and upon personnel change. Maintain key lifecycle (creation, rotation, retirement) and separation of duties for key custodians.</w:t>
      </w:r>
    </w:p>
    <w:p>
      <w:pPr>
        <w:pStyle w:val="Compact"/>
        <w:numPr>
          <w:ilvl w:val="0"/>
          <w:numId w:val="1009"/>
        </w:numPr>
      </w:pPr>
      <w:r>
        <w:rPr>
          <w:b/>
          <w:bCs/>
        </w:rPr>
        <w:t xml:space="preserve">Encryption for backups</w:t>
      </w:r>
      <w:r>
        <w:t xml:space="preserve"> </w:t>
      </w:r>
      <w:r>
        <w:t xml:space="preserve">– Backups must be encrypted before transmission and at rest; keys used for backups must be distinct from production keys; backups stored offline or cloud must meet FIPS standards.</w:t>
      </w:r>
    </w:p>
    <w:p>
      <w:pPr>
        <w:pStyle w:val="Compact"/>
        <w:numPr>
          <w:ilvl w:val="0"/>
          <w:numId w:val="1009"/>
        </w:numPr>
      </w:pPr>
      <w:r>
        <w:rPr>
          <w:b/>
          <w:bCs/>
        </w:rPr>
        <w:t xml:space="preserve">Selective field encryption</w:t>
      </w:r>
      <w:r>
        <w:t xml:space="preserve"> </w:t>
      </w:r>
      <w:r>
        <w:t xml:space="preserve">– Sensitive fields (e.g., crisis narratives) should be encrypted at application layer using client‑side or envelope encryption; supports fine‑grained decryption and deletion.</w:t>
      </w:r>
    </w:p>
    <w:bookmarkEnd w:id="56"/>
    <w:bookmarkStart w:id="59" w:name="secrets-management-requirements"/>
    <w:p>
      <w:pPr>
        <w:pStyle w:val="Heading2"/>
      </w:pPr>
      <w:r>
        <w:t xml:space="preserve">12 Secrets management requirements</w:t>
      </w:r>
    </w:p>
    <w:p>
      <w:pPr>
        <w:pStyle w:val="Compact"/>
        <w:numPr>
          <w:ilvl w:val="0"/>
          <w:numId w:val="1010"/>
        </w:numPr>
      </w:pPr>
      <w:r>
        <w:rPr>
          <w:b/>
          <w:bCs/>
        </w:rPr>
        <w:t xml:space="preserve">Centralized secret storage</w:t>
      </w:r>
      <w:r>
        <w:t xml:space="preserve"> </w:t>
      </w:r>
      <w:r>
        <w:t xml:space="preserve">– Use a dedicated secret management system (e.g., HashiCorp Vault, cloud secret manager) to store API keys, database passwords, encryption keys and other credentials</w:t>
      </w:r>
      <w:hyperlink r:id="rId24">
        <w:r>
          <w:rPr>
            <w:rStyle w:val="Hyperlink"/>
          </w:rPr>
          <w:t xml:space="preserve">[2]</w:t>
        </w:r>
      </w:hyperlink>
      <w:r>
        <w:t xml:space="preserve">. Secrets should not be hardcoded in code or configuration; environment variables are not sufficient as they may leak</w:t>
      </w:r>
      <w:hyperlink r:id="rId57">
        <w:r>
          <w:rPr>
            <w:rStyle w:val="Hyperlink"/>
          </w:rPr>
          <w:t xml:space="preserve">[27]</w:t>
        </w:r>
      </w:hyperlink>
      <w:r>
        <w:t xml:space="preserve">.</w:t>
      </w:r>
    </w:p>
    <w:p>
      <w:pPr>
        <w:pStyle w:val="Compact"/>
        <w:numPr>
          <w:ilvl w:val="0"/>
          <w:numId w:val="1010"/>
        </w:numPr>
      </w:pPr>
      <w:r>
        <w:rPr>
          <w:b/>
          <w:bCs/>
        </w:rPr>
        <w:t xml:space="preserve">Least privilege access</w:t>
      </w:r>
      <w:r>
        <w:t xml:space="preserve"> </w:t>
      </w:r>
      <w:r>
        <w:t xml:space="preserve">– Fine‑grained policies should grant read/write access to secrets only to the services that require them</w:t>
      </w:r>
      <w:hyperlink r:id="rId58">
        <w:r>
          <w:rPr>
            <w:rStyle w:val="Hyperlink"/>
          </w:rPr>
          <w:t xml:space="preserve">[28]</w:t>
        </w:r>
      </w:hyperlink>
      <w:r>
        <w:t xml:space="preserve">. Access is audited and logged.</w:t>
      </w:r>
    </w:p>
    <w:p>
      <w:pPr>
        <w:pStyle w:val="Compact"/>
        <w:numPr>
          <w:ilvl w:val="0"/>
          <w:numId w:val="1010"/>
        </w:numPr>
      </w:pPr>
      <w:r>
        <w:rPr>
          <w:b/>
          <w:bCs/>
        </w:rPr>
        <w:t xml:space="preserve">Automated secret rotation</w:t>
      </w:r>
      <w:r>
        <w:t xml:space="preserve"> </w:t>
      </w:r>
      <w:r>
        <w:t xml:space="preserve">– Implement dynamic secrets and automatic rotation to reduce exposure time</w:t>
      </w:r>
      <w:hyperlink r:id="rId25">
        <w:r>
          <w:rPr>
            <w:rStyle w:val="Hyperlink"/>
          </w:rPr>
          <w:t xml:space="preserve">[29]</w:t>
        </w:r>
      </w:hyperlink>
      <w:r>
        <w:t xml:space="preserve">. For example, database credentials can be time‑limited.</w:t>
      </w:r>
    </w:p>
    <w:p>
      <w:pPr>
        <w:pStyle w:val="Compact"/>
        <w:numPr>
          <w:ilvl w:val="0"/>
          <w:numId w:val="1010"/>
        </w:numPr>
      </w:pPr>
      <w:r>
        <w:rPr>
          <w:b/>
          <w:bCs/>
        </w:rPr>
        <w:t xml:space="preserve">Secure secret distribution</w:t>
      </w:r>
      <w:r>
        <w:t xml:space="preserve"> </w:t>
      </w:r>
      <w:r>
        <w:t xml:space="preserve">– Use orchestrator or service mesh to inject secrets into runtime containers via in‑memory volumes or sidecars; avoid storing secrets on disk or in environment variables</w:t>
      </w:r>
      <w:hyperlink r:id="rId57">
        <w:r>
          <w:rPr>
            <w:rStyle w:val="Hyperlink"/>
          </w:rPr>
          <w:t xml:space="preserve">[27]</w:t>
        </w:r>
      </w:hyperlink>
      <w:r>
        <w:t xml:space="preserve">.</w:t>
      </w:r>
    </w:p>
    <w:p>
      <w:pPr>
        <w:pStyle w:val="Compact"/>
        <w:numPr>
          <w:ilvl w:val="0"/>
          <w:numId w:val="1010"/>
        </w:numPr>
      </w:pPr>
      <w:r>
        <w:rPr>
          <w:b/>
          <w:bCs/>
        </w:rPr>
        <w:t xml:space="preserve">Lifecycle management</w:t>
      </w:r>
      <w:r>
        <w:t xml:space="preserve"> </w:t>
      </w:r>
      <w:r>
        <w:t xml:space="preserve">– Ensure secrets are created, rotated, disabled, and revoked in response to personnel changes, service retirement, or compromised keys. Deletion of secrets must ensure associated encrypted data is either re‑encrypted or no longer accessible.</w:t>
      </w:r>
    </w:p>
    <w:bookmarkEnd w:id="59"/>
    <w:bookmarkStart w:id="61" w:name="audit-logging-requirements"/>
    <w:p>
      <w:pPr>
        <w:pStyle w:val="Heading2"/>
      </w:pPr>
      <w:r>
        <w:t xml:space="preserve">13 Audit logging requirements</w:t>
      </w:r>
    </w:p>
    <w:p>
      <w:pPr>
        <w:pStyle w:val="FirstParagraph"/>
      </w:pPr>
      <w:r>
        <w:t xml:space="preserve">Based on UC Berkeley’s audit logging guideline, the system must log events critical for intrusion detection and accountability</w:t>
      </w:r>
      <w:hyperlink r:id="rId26">
        <w:r>
          <w:rPr>
            <w:rStyle w:val="Hyperlink"/>
          </w:rPr>
          <w:t xml:space="preserve">[4]</w:t>
        </w:r>
      </w:hyperlink>
      <w:r>
        <w:t xml:space="preserve">:</w:t>
      </w:r>
    </w:p>
    <w:p>
      <w:pPr>
        <w:pStyle w:val="Compact"/>
        <w:numPr>
          <w:ilvl w:val="0"/>
          <w:numId w:val="1011"/>
        </w:numPr>
      </w:pPr>
      <w:r>
        <w:rPr>
          <w:b/>
          <w:bCs/>
        </w:rPr>
        <w:t xml:space="preserve">Authentication events</w:t>
      </w:r>
      <w:r>
        <w:t xml:space="preserve"> </w:t>
      </w:r>
      <w:r>
        <w:t xml:space="preserve">– Successful and failed logins, MFA challenges, session creation and termination.</w:t>
      </w:r>
    </w:p>
    <w:p>
      <w:pPr>
        <w:pStyle w:val="Compact"/>
        <w:numPr>
          <w:ilvl w:val="0"/>
          <w:numId w:val="1011"/>
        </w:numPr>
      </w:pPr>
      <w:r>
        <w:rPr>
          <w:b/>
          <w:bCs/>
        </w:rPr>
        <w:t xml:space="preserve">Authorization changes</w:t>
      </w:r>
      <w:r>
        <w:t xml:space="preserve"> </w:t>
      </w:r>
      <w:r>
        <w:t xml:space="preserve">– Role assignments, permission grants/revocations, group membership changes.</w:t>
      </w:r>
    </w:p>
    <w:p>
      <w:pPr>
        <w:pStyle w:val="Compact"/>
        <w:numPr>
          <w:ilvl w:val="0"/>
          <w:numId w:val="1011"/>
        </w:numPr>
      </w:pPr>
      <w:r>
        <w:rPr>
          <w:b/>
          <w:bCs/>
        </w:rPr>
        <w:t xml:space="preserve">Administrative actions</w:t>
      </w:r>
      <w:r>
        <w:t xml:space="preserve"> </w:t>
      </w:r>
      <w:r>
        <w:t xml:space="preserve">– CRUD operations on users, consents, safety events, configuration changes, system start/stop, and service restarts</w:t>
      </w:r>
      <w:hyperlink r:id="rId26">
        <w:r>
          <w:rPr>
            <w:rStyle w:val="Hyperlink"/>
          </w:rPr>
          <w:t xml:space="preserve">[4]</w:t>
        </w:r>
      </w:hyperlink>
      <w:r>
        <w:t xml:space="preserve">.</w:t>
      </w:r>
    </w:p>
    <w:p>
      <w:pPr>
        <w:pStyle w:val="Compact"/>
        <w:numPr>
          <w:ilvl w:val="0"/>
          <w:numId w:val="1011"/>
        </w:numPr>
      </w:pPr>
      <w:r>
        <w:rPr>
          <w:b/>
          <w:bCs/>
        </w:rPr>
        <w:t xml:space="preserve">Application operations</w:t>
      </w:r>
      <w:r>
        <w:t xml:space="preserve"> </w:t>
      </w:r>
      <w:r>
        <w:t xml:space="preserve">– Application start/shutdown, configuration changes, failures and errors, API requests, file uploads/downloads</w:t>
      </w:r>
      <w:hyperlink r:id="rId26">
        <w:r>
          <w:rPr>
            <w:rStyle w:val="Hyperlink"/>
          </w:rPr>
          <w:t xml:space="preserve">[4]</w:t>
        </w:r>
      </w:hyperlink>
      <w:r>
        <w:t xml:space="preserve">.</w:t>
      </w:r>
    </w:p>
    <w:p>
      <w:pPr>
        <w:pStyle w:val="Compact"/>
        <w:numPr>
          <w:ilvl w:val="0"/>
          <w:numId w:val="1011"/>
        </w:numPr>
      </w:pPr>
      <w:r>
        <w:rPr>
          <w:b/>
          <w:bCs/>
        </w:rPr>
        <w:t xml:space="preserve">Crisis and safety events</w:t>
      </w:r>
      <w:r>
        <w:t xml:space="preserve"> </w:t>
      </w:r>
      <w:r>
        <w:t xml:space="preserve">– Creation, modification, resolution of safety events; all access to these records.</w:t>
      </w:r>
    </w:p>
    <w:p>
      <w:pPr>
        <w:pStyle w:val="Compact"/>
        <w:numPr>
          <w:ilvl w:val="0"/>
          <w:numId w:val="1011"/>
        </w:numPr>
      </w:pPr>
      <w:r>
        <w:rPr>
          <w:b/>
          <w:bCs/>
        </w:rPr>
        <w:t xml:space="preserve">Important metadata</w:t>
      </w:r>
      <w:r>
        <w:t xml:space="preserve"> </w:t>
      </w:r>
      <w:r>
        <w:t xml:space="preserve">– Each log entry must include timestamp, user/system account ID, event type, status/error codes, and device/network identifiers</w:t>
      </w:r>
      <w:hyperlink r:id="rId27">
        <w:r>
          <w:rPr>
            <w:rStyle w:val="Hyperlink"/>
          </w:rPr>
          <w:t xml:space="preserve">[10]</w:t>
        </w:r>
      </w:hyperlink>
      <w:r>
        <w:t xml:space="preserve">.</w:t>
      </w:r>
    </w:p>
    <w:p>
      <w:pPr>
        <w:pStyle w:val="FirstParagraph"/>
      </w:pPr>
      <w:r>
        <w:t xml:space="preserve">Additional requirements:</w:t>
      </w:r>
    </w:p>
    <w:p>
      <w:pPr>
        <w:pStyle w:val="Compact"/>
        <w:numPr>
          <w:ilvl w:val="0"/>
          <w:numId w:val="1012"/>
        </w:numPr>
      </w:pPr>
      <w:r>
        <w:rPr>
          <w:b/>
          <w:bCs/>
        </w:rPr>
        <w:t xml:space="preserve">Log integrity and confidentiality</w:t>
      </w:r>
      <w:r>
        <w:t xml:space="preserve"> </w:t>
      </w:r>
      <w:r>
        <w:t xml:space="preserve">– Logs must be transmitted and stored securely; remote logging should use encryption and strong authentication</w:t>
      </w:r>
      <w:hyperlink r:id="rId27">
        <w:r>
          <w:rPr>
            <w:rStyle w:val="Hyperlink"/>
          </w:rPr>
          <w:t xml:space="preserve">[5]</w:t>
        </w:r>
      </w:hyperlink>
      <w:r>
        <w:t xml:space="preserve">. Only authorized roles can read or modify logs; modification should be prohibited.</w:t>
      </w:r>
    </w:p>
    <w:p>
      <w:pPr>
        <w:pStyle w:val="Compact"/>
        <w:numPr>
          <w:ilvl w:val="0"/>
          <w:numId w:val="1012"/>
        </w:numPr>
      </w:pPr>
      <w:r>
        <w:rPr>
          <w:b/>
          <w:bCs/>
        </w:rPr>
        <w:t xml:space="preserve">Time synchronisation</w:t>
      </w:r>
      <w:r>
        <w:t xml:space="preserve"> </w:t>
      </w:r>
      <w:r>
        <w:t xml:space="preserve">– All systems must use a reliable time source (e.g., NTP) to ensure consistent timestamps</w:t>
      </w:r>
      <w:hyperlink r:id="rId60">
        <w:r>
          <w:rPr>
            <w:rStyle w:val="Hyperlink"/>
          </w:rPr>
          <w:t xml:space="preserve">[30]</w:t>
        </w:r>
      </w:hyperlink>
      <w:r>
        <w:t xml:space="preserve">.</w:t>
      </w:r>
    </w:p>
    <w:p>
      <w:pPr>
        <w:pStyle w:val="Compact"/>
        <w:numPr>
          <w:ilvl w:val="0"/>
          <w:numId w:val="1012"/>
        </w:numPr>
      </w:pPr>
      <w:r>
        <w:rPr>
          <w:b/>
          <w:bCs/>
        </w:rPr>
        <w:t xml:space="preserve">Retention and review</w:t>
      </w:r>
      <w:r>
        <w:t xml:space="preserve"> </w:t>
      </w:r>
      <w:r>
        <w:t xml:space="preserve">– Log retention policy (e.g., 2 years) must meet regulatory requirements. Automated systems should review logs for anomalies and alert security teams.</w:t>
      </w:r>
    </w:p>
    <w:p>
      <w:pPr>
        <w:pStyle w:val="Compact"/>
        <w:numPr>
          <w:ilvl w:val="0"/>
          <w:numId w:val="1012"/>
        </w:numPr>
      </w:pPr>
      <w:r>
        <w:rPr>
          <w:b/>
          <w:bCs/>
        </w:rPr>
        <w:t xml:space="preserve">Privacy considerations</w:t>
      </w:r>
      <w:r>
        <w:t xml:space="preserve"> </w:t>
      </w:r>
      <w:r>
        <w:t xml:space="preserve">– Logs must not include raw sensitive user content or OTPs</w:t>
      </w:r>
      <w:hyperlink r:id="rId36">
        <w:r>
          <w:rPr>
            <w:rStyle w:val="Hyperlink"/>
          </w:rPr>
          <w:t xml:space="preserve">[12]</w:t>
        </w:r>
      </w:hyperlink>
      <w:r>
        <w:t xml:space="preserve">; sensitive information must be redacted.</w:t>
      </w:r>
    </w:p>
    <w:bookmarkEnd w:id="61"/>
    <w:bookmarkStart w:id="64" w:name="secure-deletion-requirements"/>
    <w:p>
      <w:pPr>
        <w:pStyle w:val="Heading2"/>
      </w:pPr>
      <w:r>
        <w:t xml:space="preserve">14 Secure deletion requirements</w:t>
      </w:r>
    </w:p>
    <w:p>
      <w:pPr>
        <w:pStyle w:val="FirstParagraph"/>
      </w:pPr>
      <w:r>
        <w:t xml:space="preserve">User deletion must remove or de‑identify all associated data, including embeddings and caches. Guidelines from UC Berkeley recommend securely overwriting data or destroying devices when retiring them</w:t>
      </w:r>
      <w:hyperlink r:id="rId62">
        <w:r>
          <w:rPr>
            <w:rStyle w:val="Hyperlink"/>
          </w:rPr>
          <w:t xml:space="preserve">[31]</w:t>
        </w:r>
      </w:hyperlink>
      <w:hyperlink r:id="rId63">
        <w:r>
          <w:rPr>
            <w:rStyle w:val="Hyperlink"/>
          </w:rPr>
          <w:t xml:space="preserve">[32]</w:t>
        </w:r>
      </w:hyperlink>
      <w:r>
        <w:t xml:space="preserve">. Requirements for BecomingOS:</w:t>
      </w:r>
    </w:p>
    <w:p>
      <w:pPr>
        <w:pStyle w:val="Compact"/>
        <w:numPr>
          <w:ilvl w:val="0"/>
          <w:numId w:val="1013"/>
        </w:numPr>
      </w:pPr>
      <w:r>
        <w:rPr>
          <w:b/>
          <w:bCs/>
        </w:rPr>
        <w:t xml:space="preserve">Deletion on user request</w:t>
      </w:r>
      <w:r>
        <w:t xml:space="preserve"> </w:t>
      </w:r>
      <w:r>
        <w:t xml:space="preserve">– When users delete a memory or entire account, the system must remove or de‑identify the content from primary databases, vector stores, caches, AI prompts and retrieval systems. Embedding indices must be invalidated to avoid retrieval of deleted information.</w:t>
      </w:r>
    </w:p>
    <w:p>
      <w:pPr>
        <w:pStyle w:val="Compact"/>
        <w:numPr>
          <w:ilvl w:val="0"/>
          <w:numId w:val="1013"/>
        </w:numPr>
      </w:pPr>
      <w:r>
        <w:rPr>
          <w:b/>
          <w:bCs/>
        </w:rPr>
        <w:t xml:space="preserve">Secure erasure</w:t>
      </w:r>
      <w:r>
        <w:t xml:space="preserve"> </w:t>
      </w:r>
      <w:r>
        <w:t xml:space="preserve">– Data must be overwritten using secure erasure algorithms (e.g., DoD 5220.22‑M) or by destroying encryption keys to render data unrecoverable</w:t>
      </w:r>
      <w:hyperlink r:id="rId62">
        <w:r>
          <w:rPr>
            <w:rStyle w:val="Hyperlink"/>
          </w:rPr>
          <w:t xml:space="preserve">[31]</w:t>
        </w:r>
      </w:hyperlink>
      <w:r>
        <w:t xml:space="preserve">.</w:t>
      </w:r>
    </w:p>
    <w:p>
      <w:pPr>
        <w:pStyle w:val="Compact"/>
        <w:numPr>
          <w:ilvl w:val="0"/>
          <w:numId w:val="1013"/>
        </w:numPr>
      </w:pPr>
      <w:r>
        <w:rPr>
          <w:b/>
          <w:bCs/>
        </w:rPr>
        <w:t xml:space="preserve">Backup deletion</w:t>
      </w:r>
      <w:r>
        <w:t xml:space="preserve"> </w:t>
      </w:r>
      <w:r>
        <w:t xml:space="preserve">– Deleted data must also be purged from backups according to retention policies. If immediate deletion is not possible, encryption keys specific to that data must be destroyed so the data is unrecoverable</w:t>
      </w:r>
      <w:hyperlink r:id="rId39">
        <w:r>
          <w:rPr>
            <w:rStyle w:val="Hyperlink"/>
          </w:rPr>
          <w:t xml:space="preserve">[14]</w:t>
        </w:r>
      </w:hyperlink>
      <w:r>
        <w:t xml:space="preserve">.</w:t>
      </w:r>
    </w:p>
    <w:p>
      <w:pPr>
        <w:pStyle w:val="Compact"/>
        <w:numPr>
          <w:ilvl w:val="0"/>
          <w:numId w:val="1013"/>
        </w:numPr>
      </w:pPr>
      <w:r>
        <w:rPr>
          <w:b/>
          <w:bCs/>
        </w:rPr>
        <w:t xml:space="preserve">Verification</w:t>
      </w:r>
      <w:r>
        <w:t xml:space="preserve"> </w:t>
      </w:r>
      <w:r>
        <w:t xml:space="preserve">– Deletion processes must be logged and verified; regular audits should ensure that deleted data cannot be retrieved.</w:t>
      </w:r>
    </w:p>
    <w:p>
      <w:pPr>
        <w:pStyle w:val="Compact"/>
        <w:numPr>
          <w:ilvl w:val="0"/>
          <w:numId w:val="1013"/>
        </w:numPr>
      </w:pPr>
      <w:r>
        <w:rPr>
          <w:b/>
          <w:bCs/>
        </w:rPr>
        <w:t xml:space="preserve">Retention &amp; de‑identification policy</w:t>
      </w:r>
      <w:r>
        <w:t xml:space="preserve"> </w:t>
      </w:r>
      <w:r>
        <w:t xml:space="preserve">– Establish minimum and maximum retention periods compliant with regulations (e.g., GDPR, Australian Privacy Act). After retention period, de‑identify or securely delete data.</w:t>
      </w:r>
    </w:p>
    <w:p>
      <w:pPr>
        <w:pStyle w:val="Compact"/>
        <w:numPr>
          <w:ilvl w:val="0"/>
          <w:numId w:val="1013"/>
        </w:numPr>
      </w:pPr>
      <w:r>
        <w:rPr>
          <w:b/>
          <w:bCs/>
        </w:rPr>
        <w:t xml:space="preserve">Crisis text retention</w:t>
      </w:r>
      <w:r>
        <w:t xml:space="preserve"> </w:t>
      </w:r>
      <w:r>
        <w:t xml:space="preserve">– Default is not to store raw crisis text; only store high‑level flags or summaries unless explicit consent obtained.</w:t>
      </w:r>
    </w:p>
    <w:p>
      <w:pPr>
        <w:pStyle w:val="Compact"/>
        <w:numPr>
          <w:ilvl w:val="0"/>
          <w:numId w:val="1013"/>
        </w:numPr>
      </w:pPr>
      <w:r>
        <w:rPr>
          <w:b/>
          <w:bCs/>
        </w:rPr>
        <w:t xml:space="preserve">Data minimisation</w:t>
      </w:r>
      <w:r>
        <w:t xml:space="preserve"> </w:t>
      </w:r>
      <w:r>
        <w:t xml:space="preserve">– Do not store unneeded personal data; reduce risk by minimising what is collected and retained.</w:t>
      </w:r>
    </w:p>
    <w:bookmarkEnd w:id="64"/>
    <w:bookmarkStart w:id="65" w:name="Xd175a15553ae0120e81df26675993e75fc72cbe"/>
    <w:p>
      <w:pPr>
        <w:pStyle w:val="Heading2"/>
      </w:pPr>
      <w:r>
        <w:t xml:space="preserve">15 Embedding invalidation security requirements</w:t>
      </w:r>
    </w:p>
    <w:p>
      <w:pPr>
        <w:pStyle w:val="Compact"/>
        <w:numPr>
          <w:ilvl w:val="0"/>
          <w:numId w:val="1014"/>
        </w:numPr>
      </w:pPr>
      <w:r>
        <w:t xml:space="preserve">Ensure that embeddings linked to deleted or rejected memories are removed from the vector database and caches. Maintain a mapping between records and embeddings to allow targeted invalidation.</w:t>
      </w:r>
    </w:p>
    <w:p>
      <w:pPr>
        <w:pStyle w:val="Compact"/>
        <w:numPr>
          <w:ilvl w:val="0"/>
          <w:numId w:val="1014"/>
        </w:numPr>
      </w:pPr>
      <w:r>
        <w:t xml:space="preserve">Implement versioning for embeddings to invalidate older versions after updates or deletions.</w:t>
      </w:r>
    </w:p>
    <w:p>
      <w:pPr>
        <w:pStyle w:val="Compact"/>
        <w:numPr>
          <w:ilvl w:val="0"/>
          <w:numId w:val="1014"/>
        </w:numPr>
      </w:pPr>
      <w:r>
        <w:t xml:space="preserve">Use encryption at rest for embeddings and restrict access to vector DB to service accounts.</w:t>
      </w:r>
    </w:p>
    <w:p>
      <w:pPr>
        <w:pStyle w:val="Compact"/>
        <w:numPr>
          <w:ilvl w:val="0"/>
          <w:numId w:val="1014"/>
        </w:numPr>
      </w:pPr>
      <w:r>
        <w:t xml:space="preserve">Log all embedding updates and invalidations for audit purposes.</w:t>
      </w:r>
    </w:p>
    <w:bookmarkEnd w:id="65"/>
    <w:bookmarkStart w:id="66" w:name="backup-and-restore-security-requirements"/>
    <w:p>
      <w:pPr>
        <w:pStyle w:val="Heading2"/>
      </w:pPr>
      <w:r>
        <w:t xml:space="preserve">16 Backup and restore security requirements</w:t>
      </w:r>
    </w:p>
    <w:p>
      <w:pPr>
        <w:pStyle w:val="FirstParagraph"/>
      </w:pPr>
      <w:r>
        <w:t xml:space="preserve">The New Zealand NCSC backup guidance emphasises understanding data types,</w:t>
      </w:r>
      <w:r>
        <w:t xml:space="preserve"> </w:t>
      </w:r>
      <w:r>
        <w:rPr>
          <w:b/>
          <w:bCs/>
        </w:rPr>
        <w:t xml:space="preserve">recovery point objective (RPO)</w:t>
      </w:r>
      <w:r>
        <w:t xml:space="preserve"> </w:t>
      </w:r>
      <w:r>
        <w:t xml:space="preserve">and</w:t>
      </w:r>
      <w:r>
        <w:t xml:space="preserve"> </w:t>
      </w:r>
      <w:r>
        <w:rPr>
          <w:b/>
          <w:bCs/>
        </w:rPr>
        <w:t xml:space="preserve">recovery time objective (RTO)</w:t>
      </w:r>
      <w:r>
        <w:t xml:space="preserve"> </w:t>
      </w:r>
      <w:r>
        <w:t xml:space="preserve">when planning backups. Requirements:</w:t>
      </w:r>
    </w:p>
    <w:p>
      <w:pPr>
        <w:pStyle w:val="Compact"/>
        <w:numPr>
          <w:ilvl w:val="0"/>
          <w:numId w:val="1015"/>
        </w:numPr>
      </w:pPr>
      <w:r>
        <w:rPr>
          <w:b/>
          <w:bCs/>
        </w:rPr>
        <w:t xml:space="preserve">Backup scope &amp; RPO/RTO</w:t>
      </w:r>
      <w:r>
        <w:t xml:space="preserve"> </w:t>
      </w:r>
      <w:r>
        <w:t xml:space="preserve">– Identify critical data (memories, consents, embeddings) and set RPO (e.g., 24 hours) and RTO (e.g., 4 hours) based on user tolerance for data loss and downtime.</w:t>
      </w:r>
    </w:p>
    <w:p>
      <w:pPr>
        <w:pStyle w:val="Compact"/>
        <w:numPr>
          <w:ilvl w:val="0"/>
          <w:numId w:val="1015"/>
        </w:numPr>
      </w:pPr>
      <w:r>
        <w:rPr>
          <w:b/>
          <w:bCs/>
        </w:rPr>
        <w:t xml:space="preserve">Backup frequency &amp; type</w:t>
      </w:r>
      <w:r>
        <w:t xml:space="preserve"> </w:t>
      </w:r>
      <w:r>
        <w:t xml:space="preserve">– Use a combination of full, incremental, and differential backups. Schedule daily incremental backups and weekly full backups. Keep at least three copies of data (3‑2‑1 rule): three copies on two different media with one off‑site copy.</w:t>
      </w:r>
    </w:p>
    <w:p>
      <w:pPr>
        <w:pStyle w:val="Compact"/>
        <w:numPr>
          <w:ilvl w:val="0"/>
          <w:numId w:val="1015"/>
        </w:numPr>
      </w:pPr>
      <w:r>
        <w:rPr>
          <w:b/>
          <w:bCs/>
        </w:rPr>
        <w:t xml:space="preserve">Encryption &amp; integrity</w:t>
      </w:r>
      <w:r>
        <w:t xml:space="preserve"> </w:t>
      </w:r>
      <w:r>
        <w:t xml:space="preserve">– Encrypt backups at rest and in transit (AES‑256 &amp; TLS). Use cryptographic checksums to detect tampering.</w:t>
      </w:r>
    </w:p>
    <w:p>
      <w:pPr>
        <w:pStyle w:val="Compact"/>
        <w:numPr>
          <w:ilvl w:val="0"/>
          <w:numId w:val="1015"/>
        </w:numPr>
      </w:pPr>
      <w:r>
        <w:rPr>
          <w:b/>
          <w:bCs/>
        </w:rPr>
        <w:t xml:space="preserve">Isolation &amp; access control</w:t>
      </w:r>
      <w:r>
        <w:t xml:space="preserve"> </w:t>
      </w:r>
      <w:r>
        <w:t xml:space="preserve">– Store backups in isolated environments with separate credentials. Only backup service accounts can access backup repositories.</w:t>
      </w:r>
    </w:p>
    <w:p>
      <w:pPr>
        <w:pStyle w:val="Compact"/>
        <w:numPr>
          <w:ilvl w:val="0"/>
          <w:numId w:val="1015"/>
        </w:numPr>
      </w:pPr>
      <w:r>
        <w:rPr>
          <w:b/>
          <w:bCs/>
        </w:rPr>
        <w:t xml:space="preserve">Backup testing</w:t>
      </w:r>
      <w:r>
        <w:t xml:space="preserve"> </w:t>
      </w:r>
      <w:r>
        <w:t xml:space="preserve">– Regularly test backup restoration to meet RTO; ensure that backups are intact and usable. Document and review restore procedures.</w:t>
      </w:r>
    </w:p>
    <w:p>
      <w:pPr>
        <w:pStyle w:val="Compact"/>
        <w:numPr>
          <w:ilvl w:val="0"/>
          <w:numId w:val="1015"/>
        </w:numPr>
      </w:pPr>
      <w:r>
        <w:rPr>
          <w:b/>
          <w:bCs/>
        </w:rPr>
        <w:t xml:space="preserve">Retention &amp; deletion</w:t>
      </w:r>
      <w:r>
        <w:t xml:space="preserve"> </w:t>
      </w:r>
      <w:r>
        <w:t xml:space="preserve">– Define retention periods based on legal requirements; ensure deleted or expired data is also purged from backups. When retention ends, securely delete or destroy encryption keys.</w:t>
      </w:r>
    </w:p>
    <w:p>
      <w:pPr>
        <w:pStyle w:val="Compact"/>
        <w:numPr>
          <w:ilvl w:val="0"/>
          <w:numId w:val="1015"/>
        </w:numPr>
      </w:pPr>
      <w:r>
        <w:rPr>
          <w:b/>
          <w:bCs/>
        </w:rPr>
        <w:t xml:space="preserve">Resilience</w:t>
      </w:r>
      <w:r>
        <w:t xml:space="preserve"> </w:t>
      </w:r>
      <w:r>
        <w:t xml:space="preserve">– For high availability, replicate data across zones; use versioning to recover from logical corruption or ransomware attacks.</w:t>
      </w:r>
    </w:p>
    <w:bookmarkEnd w:id="66"/>
    <w:bookmarkStart w:id="68" w:name="incident-response-plan"/>
    <w:p>
      <w:pPr>
        <w:pStyle w:val="Heading2"/>
      </w:pPr>
      <w:r>
        <w:t xml:space="preserve">17 Incident response plan</w:t>
      </w:r>
    </w:p>
    <w:p>
      <w:pPr>
        <w:pStyle w:val="FirstParagraph"/>
      </w:pPr>
      <w:r>
        <w:t xml:space="preserve">Following the SANS six‑step incident response model</w:t>
      </w:r>
      <w:hyperlink r:id="rId67">
        <w:r>
          <w:rPr>
            <w:rStyle w:val="Hyperlink"/>
          </w:rPr>
          <w:t xml:space="preserve">[33]</w:t>
        </w:r>
      </w:hyperlink>
      <w:r>
        <w:t xml:space="preserve">:</w:t>
      </w:r>
    </w:p>
    <w:p>
      <w:pPr>
        <w:pStyle w:val="Compact"/>
        <w:numPr>
          <w:ilvl w:val="0"/>
          <w:numId w:val="1016"/>
        </w:numPr>
      </w:pPr>
      <w:r>
        <w:rPr>
          <w:b/>
          <w:bCs/>
        </w:rPr>
        <w:t xml:space="preserve">Preparation</w:t>
      </w:r>
      <w:r>
        <w:t xml:space="preserve"> </w:t>
      </w:r>
      <w:r>
        <w:t xml:space="preserve">– Develop incident response policies and procedures; assign roles (incident commander, communications lead, forensics); train staff; maintain contact list; ensure logging, monitoring and detection systems are in place</w:t>
      </w:r>
      <w:hyperlink r:id="rId67">
        <w:r>
          <w:rPr>
            <w:rStyle w:val="Hyperlink"/>
          </w:rPr>
          <w:t xml:space="preserve">[33]</w:t>
        </w:r>
      </w:hyperlink>
      <w:r>
        <w:t xml:space="preserve">.</w:t>
      </w:r>
    </w:p>
    <w:p>
      <w:pPr>
        <w:pStyle w:val="Compact"/>
        <w:numPr>
          <w:ilvl w:val="0"/>
          <w:numId w:val="1016"/>
        </w:numPr>
      </w:pPr>
      <w:r>
        <w:rPr>
          <w:b/>
          <w:bCs/>
        </w:rPr>
        <w:t xml:space="preserve">Identification</w:t>
      </w:r>
      <w:r>
        <w:t xml:space="preserve"> </w:t>
      </w:r>
      <w:r>
        <w:t xml:space="preserve">– Monitor systems for anomalies using IDS/IPS, SIEM and behavioural analytics. Classify events (e.g., unauthorized access, data exfiltration, service outage). Determine if an incident is security‑related and estimate severity.</w:t>
      </w:r>
    </w:p>
    <w:p>
      <w:pPr>
        <w:pStyle w:val="Compact"/>
        <w:numPr>
          <w:ilvl w:val="0"/>
          <w:numId w:val="1016"/>
        </w:numPr>
      </w:pPr>
      <w:r>
        <w:rPr>
          <w:b/>
          <w:bCs/>
        </w:rPr>
        <w:t xml:space="preserve">Containment</w:t>
      </w:r>
      <w:r>
        <w:t xml:space="preserve"> </w:t>
      </w:r>
      <w:r>
        <w:t xml:space="preserve">– Isolate affected systems to limit spread (e.g., network segmentation, disabling compromised accounts); maintain service continuity; avoid destroying evidence; coordinate with cloud provider for DDoS mitigation</w:t>
      </w:r>
      <w:hyperlink r:id="rId67">
        <w:r>
          <w:rPr>
            <w:rStyle w:val="Hyperlink"/>
          </w:rPr>
          <w:t xml:space="preserve">[33]</w:t>
        </w:r>
      </w:hyperlink>
      <w:r>
        <w:t xml:space="preserve">.</w:t>
      </w:r>
    </w:p>
    <w:p>
      <w:pPr>
        <w:pStyle w:val="Compact"/>
        <w:numPr>
          <w:ilvl w:val="0"/>
          <w:numId w:val="1016"/>
        </w:numPr>
      </w:pPr>
      <w:r>
        <w:rPr>
          <w:b/>
          <w:bCs/>
        </w:rPr>
        <w:t xml:space="preserve">Eradication</w:t>
      </w:r>
      <w:r>
        <w:t xml:space="preserve"> </w:t>
      </w:r>
      <w:r>
        <w:t xml:space="preserve">– Remove malicious code or access; patch vulnerabilities; reset credentials; conduct root cause analysis; ensure compromised secrets are rotated. Document steps.</w:t>
      </w:r>
    </w:p>
    <w:p>
      <w:pPr>
        <w:pStyle w:val="Compact"/>
        <w:numPr>
          <w:ilvl w:val="0"/>
          <w:numId w:val="1016"/>
        </w:numPr>
      </w:pPr>
      <w:r>
        <w:rPr>
          <w:b/>
          <w:bCs/>
        </w:rPr>
        <w:t xml:space="preserve">Recovery</w:t>
      </w:r>
      <w:r>
        <w:t xml:space="preserve"> </w:t>
      </w:r>
      <w:r>
        <w:t xml:space="preserve">– Restore systems from clean backups; verify system integrity; monitor for recurrence; gradually return to production; communicate status to stakeholders</w:t>
      </w:r>
      <w:hyperlink r:id="rId67">
        <w:r>
          <w:rPr>
            <w:rStyle w:val="Hyperlink"/>
          </w:rPr>
          <w:t xml:space="preserve">[33]</w:t>
        </w:r>
      </w:hyperlink>
      <w:r>
        <w:t xml:space="preserve">.</w:t>
      </w:r>
    </w:p>
    <w:p>
      <w:pPr>
        <w:pStyle w:val="Compact"/>
        <w:numPr>
          <w:ilvl w:val="0"/>
          <w:numId w:val="1016"/>
        </w:numPr>
      </w:pPr>
      <w:r>
        <w:rPr>
          <w:b/>
          <w:bCs/>
        </w:rPr>
        <w:t xml:space="preserve">Lessons learned</w:t>
      </w:r>
      <w:r>
        <w:t xml:space="preserve"> </w:t>
      </w:r>
      <w:r>
        <w:t xml:space="preserve">– After incident resolution, hold a post‑mortem to analyse what happened, what was done well, and what can be improved; update threat model, policies and training accordingly</w:t>
      </w:r>
      <w:hyperlink r:id="rId67">
        <w:r>
          <w:rPr>
            <w:rStyle w:val="Hyperlink"/>
          </w:rPr>
          <w:t xml:space="preserve">[33]</w:t>
        </w:r>
      </w:hyperlink>
      <w:r>
        <w:t xml:space="preserve">.</w:t>
      </w:r>
    </w:p>
    <w:p>
      <w:pPr>
        <w:pStyle w:val="FirstParagraph"/>
      </w:pPr>
      <w:r>
        <w:t xml:space="preserve">The incident response plan should integrate third‑party AI provider incidents (per NIST GAI profile). Procedures must include notifying affected users and regulators when personal data is involved, as required by privacy laws.</w:t>
      </w:r>
    </w:p>
    <w:bookmarkEnd w:id="68"/>
    <w:bookmarkStart w:id="69" w:name="vulnerability-scanning-plan"/>
    <w:p>
      <w:pPr>
        <w:pStyle w:val="Heading2"/>
      </w:pPr>
      <w:r>
        <w:t xml:space="preserve">18 Vulnerability scanning plan</w:t>
      </w:r>
    </w:p>
    <w:p>
      <w:pPr>
        <w:pStyle w:val="FirstParagraph"/>
      </w:pPr>
      <w:r>
        <w:t xml:space="preserve">According to best practices</w:t>
      </w:r>
      <w:hyperlink r:id="rId37">
        <w:r>
          <w:rPr>
            <w:rStyle w:val="Hyperlink"/>
          </w:rPr>
          <w:t xml:space="preserve">[13]</w:t>
        </w:r>
      </w:hyperlink>
      <w:r>
        <w:t xml:space="preserve">:</w:t>
      </w:r>
    </w:p>
    <w:p>
      <w:pPr>
        <w:pStyle w:val="Compact"/>
        <w:numPr>
          <w:ilvl w:val="0"/>
          <w:numId w:val="1017"/>
        </w:numPr>
      </w:pPr>
      <w:r>
        <w:rPr>
          <w:b/>
          <w:bCs/>
        </w:rPr>
        <w:t xml:space="preserve">Regular scanning</w:t>
      </w:r>
      <w:r>
        <w:t xml:space="preserve"> </w:t>
      </w:r>
      <w:r>
        <w:t xml:space="preserve">– Perform automated vulnerability scans monthly or more frequently for critical systems. High‑risk components (public APIs, admin console) should be scanned weekly or continuously.</w:t>
      </w:r>
    </w:p>
    <w:p>
      <w:pPr>
        <w:pStyle w:val="Compact"/>
        <w:numPr>
          <w:ilvl w:val="0"/>
          <w:numId w:val="1017"/>
        </w:numPr>
      </w:pPr>
      <w:r>
        <w:rPr>
          <w:b/>
          <w:bCs/>
        </w:rPr>
        <w:t xml:space="preserve">Changes &amp; events</w:t>
      </w:r>
      <w:r>
        <w:t xml:space="preserve"> </w:t>
      </w:r>
      <w:r>
        <w:t xml:space="preserve">– Run scans after major releases, infrastructure changes or security incidents</w:t>
      </w:r>
      <w:hyperlink r:id="rId37">
        <w:r>
          <w:rPr>
            <w:rStyle w:val="Hyperlink"/>
          </w:rPr>
          <w:t xml:space="preserve">[13]</w:t>
        </w:r>
      </w:hyperlink>
      <w:r>
        <w:t xml:space="preserve">.</w:t>
      </w:r>
    </w:p>
    <w:p>
      <w:pPr>
        <w:pStyle w:val="Compact"/>
        <w:numPr>
          <w:ilvl w:val="0"/>
          <w:numId w:val="1017"/>
        </w:numPr>
      </w:pPr>
      <w:r>
        <w:rPr>
          <w:b/>
          <w:bCs/>
        </w:rPr>
        <w:t xml:space="preserve">Authenticated scans</w:t>
      </w:r>
      <w:r>
        <w:t xml:space="preserve"> </w:t>
      </w:r>
      <w:r>
        <w:t xml:space="preserve">– Perform fully authenticated scans (with credentials) at least quarterly to uncover vulnerabilities requiring administrative access</w:t>
      </w:r>
      <w:hyperlink r:id="rId37">
        <w:r>
          <w:rPr>
            <w:rStyle w:val="Hyperlink"/>
          </w:rPr>
          <w:t xml:space="preserve">[13]</w:t>
        </w:r>
      </w:hyperlink>
      <w:r>
        <w:t xml:space="preserve">.</w:t>
      </w:r>
    </w:p>
    <w:p>
      <w:pPr>
        <w:pStyle w:val="Compact"/>
        <w:numPr>
          <w:ilvl w:val="0"/>
          <w:numId w:val="1017"/>
        </w:numPr>
      </w:pPr>
      <w:r>
        <w:rPr>
          <w:b/>
          <w:bCs/>
        </w:rPr>
        <w:t xml:space="preserve">Manual verification</w:t>
      </w:r>
      <w:r>
        <w:t xml:space="preserve"> </w:t>
      </w:r>
      <w:r>
        <w:t xml:space="preserve">– Complement automated scanning with manual verification to eliminate false positives and identify logic flaws</w:t>
      </w:r>
      <w:hyperlink r:id="rId37">
        <w:r>
          <w:rPr>
            <w:rStyle w:val="Hyperlink"/>
          </w:rPr>
          <w:t xml:space="preserve">[13]</w:t>
        </w:r>
      </w:hyperlink>
      <w:r>
        <w:t xml:space="preserve">.</w:t>
      </w:r>
    </w:p>
    <w:p>
      <w:pPr>
        <w:pStyle w:val="Compact"/>
        <w:numPr>
          <w:ilvl w:val="0"/>
          <w:numId w:val="1017"/>
        </w:numPr>
      </w:pPr>
      <w:r>
        <w:rPr>
          <w:b/>
          <w:bCs/>
        </w:rPr>
        <w:t xml:space="preserve">Remediation &amp; tracking</w:t>
      </w:r>
      <w:r>
        <w:t xml:space="preserve"> </w:t>
      </w:r>
      <w:r>
        <w:t xml:space="preserve">– Integrate scanning results into a vulnerability management system; prioritise remediation based on severity and exploitability; retest after fixes.</w:t>
      </w:r>
    </w:p>
    <w:p>
      <w:pPr>
        <w:pStyle w:val="Compact"/>
        <w:numPr>
          <w:ilvl w:val="0"/>
          <w:numId w:val="1017"/>
        </w:numPr>
      </w:pPr>
      <w:r>
        <w:rPr>
          <w:b/>
          <w:bCs/>
        </w:rPr>
        <w:t xml:space="preserve">Coverage</w:t>
      </w:r>
      <w:r>
        <w:t xml:space="preserve"> </w:t>
      </w:r>
      <w:r>
        <w:t xml:space="preserve">– Include application code, dependencies, infrastructure, container images, secret management and AI pipelines. Use SCA to detect vulnerable libraries; ensure supply‑chain scanning.</w:t>
      </w:r>
    </w:p>
    <w:bookmarkEnd w:id="69"/>
    <w:bookmarkStart w:id="70" w:name="penetration-testing-checklist"/>
    <w:p>
      <w:pPr>
        <w:pStyle w:val="Heading2"/>
      </w:pPr>
      <w:r>
        <w:t xml:space="preserve">19 Penetration testing checklist</w:t>
      </w:r>
    </w:p>
    <w:p>
      <w:pPr>
        <w:pStyle w:val="Compact"/>
        <w:numPr>
          <w:ilvl w:val="0"/>
          <w:numId w:val="1018"/>
        </w:numPr>
      </w:pPr>
      <w:r>
        <w:rPr>
          <w:b/>
          <w:bCs/>
        </w:rPr>
        <w:t xml:space="preserve">Scope definition</w:t>
      </w:r>
      <w:r>
        <w:t xml:space="preserve"> </w:t>
      </w:r>
      <w:r>
        <w:t xml:space="preserve">– Identify in‑scope systems: web/mobile apps, APIs, micro‑services, vector database, AI integration, admin console, third‑party integrations. Explicitly exclude out‑of‑scope items (e.g., third‑party provider infrastructure unless permitted).</w:t>
      </w:r>
    </w:p>
    <w:p>
      <w:pPr>
        <w:pStyle w:val="Compact"/>
        <w:numPr>
          <w:ilvl w:val="0"/>
          <w:numId w:val="1018"/>
        </w:numPr>
      </w:pPr>
      <w:r>
        <w:rPr>
          <w:b/>
          <w:bCs/>
        </w:rPr>
        <w:t xml:space="preserve">Reconnaissance</w:t>
      </w:r>
      <w:r>
        <w:t xml:space="preserve"> </w:t>
      </w:r>
      <w:r>
        <w:t xml:space="preserve">– Gather open‑source intelligence (OSINT) about the domain, infrastructure and endpoints; enumerate subdomains and open ports.</w:t>
      </w:r>
    </w:p>
    <w:p>
      <w:pPr>
        <w:pStyle w:val="Compact"/>
        <w:numPr>
          <w:ilvl w:val="0"/>
          <w:numId w:val="1018"/>
        </w:numPr>
      </w:pPr>
      <w:r>
        <w:rPr>
          <w:b/>
          <w:bCs/>
        </w:rPr>
        <w:t xml:space="preserve">Authentication testing</w:t>
      </w:r>
      <w:r>
        <w:t xml:space="preserve"> </w:t>
      </w:r>
      <w:r>
        <w:t xml:space="preserve">– Test password policy enforcement; attempt credential stuffing; evaluate MFA implementation</w:t>
      </w:r>
      <w:hyperlink r:id="rId33">
        <w:r>
          <w:rPr>
            <w:rStyle w:val="Hyperlink"/>
          </w:rPr>
          <w:t xml:space="preserve">[8]</w:t>
        </w:r>
      </w:hyperlink>
      <w:r>
        <w:t xml:space="preserve">; check for session fixation or bypass.</w:t>
      </w:r>
    </w:p>
    <w:p>
      <w:pPr>
        <w:pStyle w:val="Compact"/>
        <w:numPr>
          <w:ilvl w:val="0"/>
          <w:numId w:val="1018"/>
        </w:numPr>
      </w:pPr>
      <w:r>
        <w:rPr>
          <w:b/>
          <w:bCs/>
        </w:rPr>
        <w:t xml:space="preserve">Authorization testing</w:t>
      </w:r>
      <w:r>
        <w:t xml:space="preserve"> </w:t>
      </w:r>
      <w:r>
        <w:t xml:space="preserve">– Verify RBAC and ABAC boundaries; attempt privilege escalation; ensure users cannot access other users’ memories or consents.</w:t>
      </w:r>
    </w:p>
    <w:p>
      <w:pPr>
        <w:pStyle w:val="Compact"/>
        <w:numPr>
          <w:ilvl w:val="0"/>
          <w:numId w:val="1018"/>
        </w:numPr>
      </w:pPr>
      <w:r>
        <w:rPr>
          <w:b/>
          <w:bCs/>
        </w:rPr>
        <w:t xml:space="preserve">Injection testing</w:t>
      </w:r>
      <w:r>
        <w:t xml:space="preserve"> </w:t>
      </w:r>
      <w:r>
        <w:t xml:space="preserve">– Test for SQL/NoSQL injection, command injection, cross‑site scripting (XSS), and injection in AI prompts (prompt injection)</w:t>
      </w:r>
      <w:hyperlink r:id="rId23">
        <w:r>
          <w:rPr>
            <w:rStyle w:val="Hyperlink"/>
          </w:rPr>
          <w:t xml:space="preserve">[1]</w:t>
        </w:r>
      </w:hyperlink>
      <w:r>
        <w:t xml:space="preserve">. Verify input validation and output encoding.</w:t>
      </w:r>
    </w:p>
    <w:p>
      <w:pPr>
        <w:pStyle w:val="Compact"/>
        <w:numPr>
          <w:ilvl w:val="0"/>
          <w:numId w:val="1018"/>
        </w:numPr>
      </w:pPr>
      <w:r>
        <w:rPr>
          <w:b/>
          <w:bCs/>
        </w:rPr>
        <w:t xml:space="preserve">Secure storage</w:t>
      </w:r>
      <w:r>
        <w:t xml:space="preserve"> </w:t>
      </w:r>
      <w:r>
        <w:t xml:space="preserve">– Check encryption of data at rest and in transit; attempt to retrieve secrets from code, environment variables, logs or backups. Validate secure key management</w:t>
      </w:r>
      <w:hyperlink r:id="rId30">
        <w:r>
          <w:rPr>
            <w:rStyle w:val="Hyperlink"/>
          </w:rPr>
          <w:t xml:space="preserve">[6]</w:t>
        </w:r>
      </w:hyperlink>
      <w:hyperlink r:id="rId52">
        <w:r>
          <w:rPr>
            <w:rStyle w:val="Hyperlink"/>
          </w:rPr>
          <w:t xml:space="preserve">[23]</w:t>
        </w:r>
      </w:hyperlink>
      <w:r>
        <w:t xml:space="preserve">.</w:t>
      </w:r>
    </w:p>
    <w:p>
      <w:pPr>
        <w:pStyle w:val="Compact"/>
        <w:numPr>
          <w:ilvl w:val="0"/>
          <w:numId w:val="1018"/>
        </w:numPr>
      </w:pPr>
      <w:r>
        <w:rPr>
          <w:b/>
          <w:bCs/>
        </w:rPr>
        <w:t xml:space="preserve">Business logic</w:t>
      </w:r>
      <w:r>
        <w:t xml:space="preserve"> </w:t>
      </w:r>
      <w:r>
        <w:t xml:space="preserve">– Test abuse cases (e.g., over‑upload to bypass limits, repeated deletion &amp; restore to circumvent deletion, circumventing consent requirements). Explore concurrency vulnerabilities.</w:t>
      </w:r>
    </w:p>
    <w:p>
      <w:pPr>
        <w:pStyle w:val="Compact"/>
        <w:numPr>
          <w:ilvl w:val="0"/>
          <w:numId w:val="1018"/>
        </w:numPr>
      </w:pPr>
      <w:r>
        <w:rPr>
          <w:b/>
          <w:bCs/>
        </w:rPr>
        <w:t xml:space="preserve">AI‑specific testing</w:t>
      </w:r>
      <w:r>
        <w:t xml:space="preserve"> </w:t>
      </w:r>
      <w:r>
        <w:t xml:space="preserve">– Conduct prompt injection red‑teaming; test for data leakage via AI provider responses; verify output filtering and human‑approval mechanisms.</w:t>
      </w:r>
    </w:p>
    <w:p>
      <w:pPr>
        <w:pStyle w:val="Compact"/>
        <w:numPr>
          <w:ilvl w:val="0"/>
          <w:numId w:val="1018"/>
        </w:numPr>
      </w:pPr>
      <w:r>
        <w:rPr>
          <w:b/>
          <w:bCs/>
        </w:rPr>
        <w:t xml:space="preserve">Backup and recovery testing</w:t>
      </w:r>
      <w:r>
        <w:t xml:space="preserve"> </w:t>
      </w:r>
      <w:r>
        <w:t xml:space="preserve">– Attempt to access backup data; check encryption; test restore procedures. Validate retention and secure deletion</w:t>
      </w:r>
      <w:hyperlink r:id="rId39">
        <w:r>
          <w:rPr>
            <w:rStyle w:val="Hyperlink"/>
          </w:rPr>
          <w:t xml:space="preserve">[14]</w:t>
        </w:r>
      </w:hyperlink>
      <w:r>
        <w:t xml:space="preserve">.</w:t>
      </w:r>
    </w:p>
    <w:p>
      <w:pPr>
        <w:pStyle w:val="Compact"/>
        <w:numPr>
          <w:ilvl w:val="0"/>
          <w:numId w:val="1018"/>
        </w:numPr>
      </w:pPr>
      <w:r>
        <w:rPr>
          <w:b/>
          <w:bCs/>
        </w:rPr>
        <w:t xml:space="preserve">Reporting &amp; remediation</w:t>
      </w:r>
      <w:r>
        <w:t xml:space="preserve"> </w:t>
      </w:r>
      <w:r>
        <w:t xml:space="preserve">– Provide detailed findings with severity ratings; replicate proofs of concept; suggest remediation. Schedule retest after fixes.</w:t>
      </w:r>
    </w:p>
    <w:p>
      <w:pPr>
        <w:pStyle w:val="FirstParagraph"/>
      </w:pPr>
      <w:r>
        <w:t xml:space="preserve">Penetration tests should be performed annually or after major system changes</w:t>
      </w:r>
      <w:hyperlink r:id="rId37">
        <w:r>
          <w:rPr>
            <w:rStyle w:val="Hyperlink"/>
          </w:rPr>
          <w:t xml:space="preserve">[13]</w:t>
        </w:r>
      </w:hyperlink>
      <w:r>
        <w:t xml:space="preserve"> </w:t>
      </w:r>
      <w:r>
        <w:t xml:space="preserve">and include an independent third party for unbiased assessment. The results should feed back into the threat model and security requirements.</w:t>
      </w:r>
    </w:p>
    <w:bookmarkEnd w:id="70"/>
    <w:bookmarkStart w:id="71" w:name="security-acceptance-criteria"/>
    <w:p>
      <w:pPr>
        <w:pStyle w:val="Heading2"/>
      </w:pPr>
      <w:r>
        <w:t xml:space="preserve">20 Security acceptance criteria</w:t>
      </w:r>
    </w:p>
    <w:p>
      <w:pPr>
        <w:pStyle w:val="FirstParagraph"/>
      </w:pPr>
      <w:r>
        <w:t xml:space="preserve">Before the MVP release, the following criteria must be met: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Acceptance criteria</w:t>
            </w:r>
          </w:p>
        </w:tc>
      </w:tr>
      <w:tr>
        <w:tc>
          <w:tcPr/>
          <w:p>
            <w:pPr>
              <w:pStyle w:val="Compact"/>
            </w:pPr>
            <w:r>
              <w:rPr>
                <w:b/>
                <w:bCs/>
              </w:rPr>
              <w:t xml:space="preserve">Threat model &amp; STRIDE analysis</w:t>
            </w:r>
          </w:p>
        </w:tc>
        <w:tc>
          <w:tcPr/>
          <w:p>
            <w:pPr>
              <w:pStyle w:val="Compact"/>
            </w:pPr>
            <w:r>
              <w:t xml:space="preserve">A documented threat model (this document) reviewed and approved by security leadership and product stakeholders. All identified risks have mitigation plans and owners.</w:t>
            </w:r>
          </w:p>
        </w:tc>
      </w:tr>
      <w:tr>
        <w:tc>
          <w:tcPr/>
          <w:p>
            <w:pPr>
              <w:pStyle w:val="Compact"/>
            </w:pPr>
            <w:r>
              <w:rPr>
                <w:b/>
                <w:bCs/>
              </w:rPr>
              <w:t xml:space="preserve">Authentication &amp; MFA</w:t>
            </w:r>
          </w:p>
        </w:tc>
        <w:tc>
          <w:tcPr/>
          <w:p>
            <w:pPr>
              <w:pStyle w:val="Compact"/>
            </w:pPr>
            <w:r>
              <w:t xml:space="preserve">MFA implemented for all user and admin accounts with TOTP/hardware options; password policies and account lockout enforced; secure reset processes.</w:t>
            </w:r>
          </w:p>
        </w:tc>
      </w:tr>
      <w:tr>
        <w:tc>
          <w:tcPr/>
          <w:p>
            <w:pPr>
              <w:pStyle w:val="Compact"/>
            </w:pPr>
            <w:r>
              <w:rPr>
                <w:b/>
                <w:bCs/>
              </w:rPr>
              <w:t xml:space="preserve">Authorization &amp; RBAC</w:t>
            </w:r>
          </w:p>
        </w:tc>
        <w:tc>
          <w:tcPr/>
          <w:p>
            <w:pPr>
              <w:pStyle w:val="Compact"/>
            </w:pPr>
            <w:r>
              <w:t xml:space="preserve">RBAC implemented with defined roles; ABAC conditions enforced; least privilege verified through code review and penetration testing. High‑risk actions require additional approval.</w:t>
            </w:r>
          </w:p>
        </w:tc>
      </w:tr>
      <w:tr>
        <w:tc>
          <w:tcPr/>
          <w:p>
            <w:pPr>
              <w:pStyle w:val="Compact"/>
            </w:pPr>
            <w:r>
              <w:rPr>
                <w:b/>
                <w:bCs/>
              </w:rPr>
              <w:t xml:space="preserve">Encryption</w:t>
            </w:r>
          </w:p>
        </w:tc>
        <w:tc>
          <w:tcPr/>
          <w:p>
            <w:pPr>
              <w:pStyle w:val="Compact"/>
            </w:pPr>
            <w:r>
              <w:t xml:space="preserve">Data at rest and in transit encrypted with FIPS‑validated algorithms; encryption keys managed by a KMS; encryption and key rotation tested.</w:t>
            </w:r>
          </w:p>
        </w:tc>
      </w:tr>
      <w:tr>
        <w:tc>
          <w:tcPr/>
          <w:p>
            <w:pPr>
              <w:pStyle w:val="Compact"/>
            </w:pPr>
            <w:r>
              <w:rPr>
                <w:b/>
                <w:bCs/>
              </w:rPr>
              <w:t xml:space="preserve">Secrets management</w:t>
            </w:r>
          </w:p>
        </w:tc>
        <w:tc>
          <w:tcPr/>
          <w:p>
            <w:pPr>
              <w:pStyle w:val="Compact"/>
            </w:pPr>
            <w:r>
              <w:t xml:space="preserve">No secrets stored in code or environment variables; central secret manager used; secrets rotation implemented; access policies defined and audited.</w:t>
            </w:r>
          </w:p>
        </w:tc>
      </w:tr>
      <w:tr>
        <w:tc>
          <w:tcPr/>
          <w:p>
            <w:pPr>
              <w:pStyle w:val="Compact"/>
            </w:pPr>
            <w:r>
              <w:rPr>
                <w:b/>
                <w:bCs/>
              </w:rPr>
              <w:t xml:space="preserve">Audit logging</w:t>
            </w:r>
          </w:p>
        </w:tc>
        <w:tc>
          <w:tcPr/>
          <w:p>
            <w:pPr>
              <w:pStyle w:val="Compact"/>
            </w:pPr>
            <w:r>
              <w:t xml:space="preserve">Logging framework captures required events with timestamps, user IDs and device details; logs are tamper‑proof, encrypted, and stored off‑host; log retention and review procedures implemented.</w:t>
            </w:r>
          </w:p>
        </w:tc>
      </w:tr>
      <w:tr>
        <w:tc>
          <w:tcPr/>
          <w:p>
            <w:pPr>
              <w:pStyle w:val="Compact"/>
            </w:pPr>
            <w:r>
              <w:rPr>
                <w:b/>
                <w:bCs/>
              </w:rPr>
              <w:t xml:space="preserve">Secure deletion &amp; embedding invalidation</w:t>
            </w:r>
          </w:p>
        </w:tc>
        <w:tc>
          <w:tcPr/>
          <w:p>
            <w:pPr>
              <w:pStyle w:val="Compact"/>
            </w:pPr>
            <w:r>
              <w:t xml:space="preserve">Data deletion workflow removes or de‑identifies user data and associated embeddings; deletion logged and verified; backups purge deleted data or destroy relevant keys.</w:t>
            </w:r>
          </w:p>
        </w:tc>
      </w:tr>
      <w:tr>
        <w:tc>
          <w:tcPr/>
          <w:p>
            <w:pPr>
              <w:pStyle w:val="Compact"/>
            </w:pPr>
            <w:r>
              <w:rPr>
                <w:b/>
                <w:bCs/>
              </w:rPr>
              <w:t xml:space="preserve">Prompt injection controls</w:t>
            </w:r>
          </w:p>
        </w:tc>
        <w:tc>
          <w:tcPr/>
          <w:p>
            <w:pPr>
              <w:pStyle w:val="Compact"/>
            </w:pPr>
            <w:r>
              <w:t xml:space="preserve">AI integration uses hardened system prompts; input/output filtering and injection detection implemented; untrusted content separated; human review required for high‑impact actions. Security tests confirm injection resistance.</w:t>
            </w:r>
          </w:p>
        </w:tc>
      </w:tr>
      <w:tr>
        <w:tc>
          <w:tcPr/>
          <w:p>
            <w:pPr>
              <w:pStyle w:val="Compact"/>
            </w:pPr>
            <w:r>
              <w:rPr>
                <w:b/>
                <w:bCs/>
              </w:rPr>
              <w:t xml:space="preserve">Backup &amp; restore</w:t>
            </w:r>
          </w:p>
        </w:tc>
        <w:tc>
          <w:tcPr/>
          <w:p>
            <w:pPr>
              <w:pStyle w:val="Compact"/>
            </w:pPr>
            <w:r>
              <w:t xml:space="preserve">Backups scheduled, encrypted and stored off‑site; restore procedures tested within RTO; retention and deletion policies enforced. RPO and RTO documented and accepted by stakeholders.</w:t>
            </w:r>
          </w:p>
        </w:tc>
      </w:tr>
      <w:tr>
        <w:tc>
          <w:tcPr/>
          <w:p>
            <w:pPr>
              <w:pStyle w:val="Compact"/>
            </w:pPr>
            <w:r>
              <w:rPr>
                <w:b/>
                <w:bCs/>
              </w:rPr>
              <w:t xml:space="preserve">Incident response readiness</w:t>
            </w:r>
          </w:p>
        </w:tc>
        <w:tc>
          <w:tcPr/>
          <w:p>
            <w:pPr>
              <w:pStyle w:val="Compact"/>
            </w:pPr>
            <w:r>
              <w:t xml:space="preserve">Incident response plan documented and rehearsed; contacts defined; detection systems configured; escalation processes validated.</w:t>
            </w:r>
          </w:p>
        </w:tc>
      </w:tr>
      <w:tr>
        <w:tc>
          <w:tcPr/>
          <w:p>
            <w:pPr>
              <w:pStyle w:val="Compact"/>
            </w:pPr>
            <w:r>
              <w:rPr>
                <w:b/>
                <w:bCs/>
              </w:rPr>
              <w:t xml:space="preserve">Vulnerability scanning &amp; penetration testing</w:t>
            </w:r>
          </w:p>
        </w:tc>
        <w:tc>
          <w:tcPr/>
          <w:p>
            <w:pPr>
              <w:pStyle w:val="Compact"/>
            </w:pPr>
            <w:r>
              <w:t xml:space="preserve">Automated scans integrated into CI/CD; regular schedule defined; initial full penetration test completed with critical findings remediated. Ongoing scanning pipeline covers code, dependencies and infrastructure.</w:t>
            </w:r>
          </w:p>
        </w:tc>
      </w:tr>
      <w:tr>
        <w:tc>
          <w:tcPr/>
          <w:p>
            <w:pPr>
              <w:pStyle w:val="Compact"/>
            </w:pPr>
            <w:r>
              <w:rPr>
                <w:b/>
                <w:bCs/>
              </w:rPr>
              <w:t xml:space="preserve">Compliance &amp; privacy</w:t>
            </w:r>
          </w:p>
        </w:tc>
        <w:tc>
          <w:tcPr/>
          <w:p>
            <w:pPr>
              <w:pStyle w:val="Compact"/>
            </w:pPr>
            <w:r>
              <w:t xml:space="preserve">Policies align with relevant regulations (e.g., Australian Privacy Act, GDPR). Data minimisation implemented; consents tracked; privacy impact assessment completed.</w:t>
            </w:r>
          </w:p>
        </w:tc>
      </w:tr>
      <w:tr>
        <w:tc>
          <w:tcPr/>
          <w:p>
            <w:pPr>
              <w:pStyle w:val="Compact"/>
            </w:pPr>
            <w:r>
              <w:rPr>
                <w:b/>
                <w:bCs/>
              </w:rPr>
              <w:t xml:space="preserve">Security training &amp; culture</w:t>
            </w:r>
          </w:p>
        </w:tc>
        <w:tc>
          <w:tcPr/>
          <w:p>
            <w:pPr>
              <w:pStyle w:val="Compact"/>
            </w:pPr>
            <w:r>
              <w:t xml:space="preserve">Developers and staff receive secure coding and privacy training; security champions assigned; awareness of prompt injection and AI risks.</w:t>
            </w:r>
          </w:p>
        </w:tc>
      </w:tr>
    </w:tbl>
    <w:p>
      <w:pPr>
        <w:pStyle w:val="BodyText"/>
      </w:pPr>
      <w:r>
        <w:t xml:space="preserve">Meeting these criteria ensures the platform adheres to industry best practices and regulatory expectations. Continuous improvement through iterative threat modelling and testing is essential to maintain security as the system evolves.</w:t>
      </w:r>
    </w:p>
    <w:bookmarkEnd w:id="71"/>
    <w:bookmarkEnd w:id="72"/>
    <w:bookmarkEnd w:id="73"/>
    <w:p>
      <w:r>
        <w:pict>
          <v:rect style="width:0;height:1.5pt" o:hralign="center" o:hrstd="t" o:hr="t"/>
        </w:pict>
      </w:r>
    </w:p>
    <w:bookmarkStart w:id="86" w:name="citations"/>
    <w:p>
      <w:pPr>
        <w:pStyle w:val="FirstParagraph"/>
      </w:pPr>
      <w:hyperlink r:id="rId23">
        <w:r>
          <w:rPr>
            <w:rStyle w:val="Hyperlink"/>
          </w:rPr>
          <w:t xml:space="preserve">[1]</w:t>
        </w:r>
      </w:hyperlink>
      <w:r>
        <w:t xml:space="preserve"> </w:t>
      </w:r>
      <w:hyperlink r:id="rId31">
        <w:r>
          <w:rPr>
            <w:rStyle w:val="Hyperlink"/>
          </w:rPr>
          <w:t xml:space="preserve">[7]</w:t>
        </w:r>
      </w:hyperlink>
      <w:r>
        <w:t xml:space="preserve"> </w:t>
      </w:r>
      <w:r>
        <w:t xml:space="preserve">LLM01:2025 Prompt Injection - OWASP Gen AI Security Project</w:t>
      </w:r>
    </w:p>
    <w:p>
      <w:pPr>
        <w:pStyle w:val="BodyText"/>
      </w:pPr>
      <w:hyperlink r:id="rId74">
        <w:r>
          <w:rPr>
            <w:rStyle w:val="Hyperlink"/>
          </w:rPr>
          <w:t xml:space="preserve">https://genai.owasp.org/llmrisk/llm01-prompt-injection/</w:t>
        </w:r>
      </w:hyperlink>
    </w:p>
    <w:p>
      <w:pPr>
        <w:pStyle w:val="BodyText"/>
      </w:pPr>
      <w:hyperlink r:id="rId24">
        <w:r>
          <w:rPr>
            <w:rStyle w:val="Hyperlink"/>
          </w:rPr>
          <w:t xml:space="preserve">[2]</w:t>
        </w:r>
      </w:hyperlink>
      <w:r>
        <w:t xml:space="preserve"> </w:t>
      </w:r>
      <w:hyperlink r:id="rId25">
        <w:r>
          <w:rPr>
            <w:rStyle w:val="Hyperlink"/>
          </w:rPr>
          <w:t xml:space="preserve">[3]</w:t>
        </w:r>
      </w:hyperlink>
      <w:r>
        <w:t xml:space="preserve"> </w:t>
      </w:r>
      <w:hyperlink r:id="rId57">
        <w:r>
          <w:rPr>
            <w:rStyle w:val="Hyperlink"/>
          </w:rPr>
          <w:t xml:space="preserve">[27]</w:t>
        </w:r>
      </w:hyperlink>
      <w:r>
        <w:t xml:space="preserve"> </w:t>
      </w:r>
      <w:hyperlink r:id="rId58">
        <w:r>
          <w:rPr>
            <w:rStyle w:val="Hyperlink"/>
          </w:rPr>
          <w:t xml:space="preserve">[28]</w:t>
        </w:r>
      </w:hyperlink>
      <w:r>
        <w:t xml:space="preserve"> </w:t>
      </w:r>
      <w:hyperlink r:id="rId25">
        <w:r>
          <w:rPr>
            <w:rStyle w:val="Hyperlink"/>
          </w:rPr>
          <w:t xml:space="preserve">[29]</w:t>
        </w:r>
      </w:hyperlink>
      <w:r>
        <w:t xml:space="preserve"> </w:t>
      </w:r>
      <w:r>
        <w:t xml:space="preserve">Secrets Management - OWASP Cheat Sheet Series</w:t>
      </w:r>
    </w:p>
    <w:p>
      <w:pPr>
        <w:pStyle w:val="BodyText"/>
      </w:pPr>
      <w:hyperlink r:id="rId75">
        <w:r>
          <w:rPr>
            <w:rStyle w:val="Hyperlink"/>
          </w:rPr>
          <w:t xml:space="preserve">https://cheatsheetseries.owasp.org/cheatsheets/Secrets_Management_Cheat_Sheet.html</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hyperlink r:id="rId27">
        <w:r>
          <w:rPr>
            <w:rStyle w:val="Hyperlink"/>
          </w:rPr>
          <w:t xml:space="preserve">[10]</w:t>
        </w:r>
      </w:hyperlink>
      <w:r>
        <w:t xml:space="preserve"> </w:t>
      </w:r>
      <w:hyperlink r:id="rId60">
        <w:r>
          <w:rPr>
            <w:rStyle w:val="Hyperlink"/>
          </w:rPr>
          <w:t xml:space="preserve">[30]</w:t>
        </w:r>
      </w:hyperlink>
      <w:r>
        <w:t xml:space="preserve"> </w:t>
      </w:r>
      <w:r>
        <w:t xml:space="preserve">Security Audit Logging Guideline | Information Security Office</w:t>
      </w:r>
    </w:p>
    <w:p>
      <w:pPr>
        <w:pStyle w:val="BodyText"/>
      </w:pPr>
      <w:hyperlink r:id="rId76">
        <w:r>
          <w:rPr>
            <w:rStyle w:val="Hyperlink"/>
          </w:rPr>
          <w:t xml:space="preserve">https://security.berkeley.edu/security-audit-logging-guideline</w:t>
        </w:r>
      </w:hyperlink>
    </w:p>
    <w:p>
      <w:pPr>
        <w:pStyle w:val="BodyText"/>
      </w:pPr>
      <w:hyperlink r:id="rId30">
        <w:r>
          <w:rPr>
            <w:rStyle w:val="Hyperlink"/>
          </w:rPr>
          <w:t xml:space="preserve">[6]</w:t>
        </w:r>
      </w:hyperlink>
      <w:r>
        <w:t xml:space="preserve"> </w:t>
      </w:r>
      <w:hyperlink r:id="rId53">
        <w:r>
          <w:rPr>
            <w:rStyle w:val="Hyperlink"/>
          </w:rPr>
          <w:t xml:space="preserve">[24]</w:t>
        </w:r>
      </w:hyperlink>
      <w:r>
        <w:t xml:space="preserve"> </w:t>
      </w:r>
      <w:hyperlink r:id="rId54">
        <w:r>
          <w:rPr>
            <w:rStyle w:val="Hyperlink"/>
          </w:rPr>
          <w:t xml:space="preserve">[25]</w:t>
        </w:r>
      </w:hyperlink>
      <w:r>
        <w:t xml:space="preserve"> </w:t>
      </w:r>
      <w:r>
        <w:t xml:space="preserve">3. Protect data at rest and in transit | National Cyber Security Centre</w:t>
      </w:r>
    </w:p>
    <w:p>
      <w:pPr>
        <w:pStyle w:val="BodyText"/>
      </w:pPr>
      <w:hyperlink r:id="rId77">
        <w:r>
          <w:rPr>
            <w:rStyle w:val="Hyperlink"/>
          </w:rPr>
          <w:t xml:space="preserve">https://www.ncsc.gov.uk/collection/device-security-principles-for-manufacturers/protect-data-at-rest-and-in-transit</w:t>
        </w:r>
      </w:hyperlink>
    </w:p>
    <w:p>
      <w:pPr>
        <w:pStyle w:val="BodyText"/>
      </w:pPr>
      <w:hyperlink r:id="rId33">
        <w:r>
          <w:rPr>
            <w:rStyle w:val="Hyperlink"/>
          </w:rPr>
          <w:t xml:space="preserve">[8]</w:t>
        </w:r>
      </w:hyperlink>
      <w:r>
        <w:t xml:space="preserve"> </w:t>
      </w:r>
      <w:hyperlink r:id="rId36">
        <w:r>
          <w:rPr>
            <w:rStyle w:val="Hyperlink"/>
          </w:rPr>
          <w:t xml:space="preserve">[12]</w:t>
        </w:r>
      </w:hyperlink>
      <w:r>
        <w:t xml:space="preserve"> </w:t>
      </w:r>
      <w:hyperlink r:id="rId48">
        <w:r>
          <w:rPr>
            <w:rStyle w:val="Hyperlink"/>
          </w:rPr>
          <w:t xml:space="preserve">[21]</w:t>
        </w:r>
      </w:hyperlink>
      <w:r>
        <w:t xml:space="preserve"> </w:t>
      </w:r>
      <w:r>
        <w:t xml:space="preserve">Multifactor Authentication - OWASP Cheat Sheet Series</w:t>
      </w:r>
    </w:p>
    <w:p>
      <w:pPr>
        <w:pStyle w:val="BodyText"/>
      </w:pPr>
      <w:hyperlink r:id="rId78">
        <w:r>
          <w:rPr>
            <w:rStyle w:val="Hyperlink"/>
          </w:rPr>
          <w:t xml:space="preserve">https://cheatsheetseries.owasp.org/cheatsheets/Multifactor_Authentication_Cheat_Sheet.html</w:t>
        </w:r>
      </w:hyperlink>
    </w:p>
    <w:p>
      <w:pPr>
        <w:pStyle w:val="BodyText"/>
      </w:pPr>
      <w:hyperlink r:id="rId34">
        <w:r>
          <w:rPr>
            <w:rStyle w:val="Hyperlink"/>
          </w:rPr>
          <w:t xml:space="preserve">[9]</w:t>
        </w:r>
      </w:hyperlink>
      <w:r>
        <w:t xml:space="preserve"> </w:t>
      </w:r>
      <w:hyperlink r:id="rId34">
        <w:r>
          <w:rPr>
            <w:rStyle w:val="Hyperlink"/>
          </w:rPr>
          <w:t xml:space="preserve">[22]</w:t>
        </w:r>
      </w:hyperlink>
      <w:r>
        <w:t xml:space="preserve"> </w:t>
      </w:r>
      <w:r>
        <w:t xml:space="preserve">Access Control | OWASP Foundation</w:t>
      </w:r>
    </w:p>
    <w:p>
      <w:pPr>
        <w:pStyle w:val="BodyText"/>
      </w:pPr>
      <w:hyperlink r:id="rId79">
        <w:r>
          <w:rPr>
            <w:rStyle w:val="Hyperlink"/>
          </w:rPr>
          <w:t xml:space="preserve">https://owasp.org/www-community/Access_Control</w:t>
        </w:r>
      </w:hyperlink>
    </w:p>
    <w:p>
      <w:pPr>
        <w:pStyle w:val="BodyText"/>
      </w:pPr>
      <w:hyperlink r:id="rId35">
        <w:r>
          <w:rPr>
            <w:rStyle w:val="Hyperlink"/>
          </w:rPr>
          <w:t xml:space="preserve">[11]</w:t>
        </w:r>
      </w:hyperlink>
      <w:r>
        <w:t xml:space="preserve"> </w:t>
      </w:r>
      <w:hyperlink r:id="rId52">
        <w:r>
          <w:rPr>
            <w:rStyle w:val="Hyperlink"/>
          </w:rPr>
          <w:t xml:space="preserve">[23]</w:t>
        </w:r>
      </w:hyperlink>
      <w:r>
        <w:t xml:space="preserve"> </w:t>
      </w:r>
      <w:hyperlink r:id="rId55">
        <w:r>
          <w:rPr>
            <w:rStyle w:val="Hyperlink"/>
          </w:rPr>
          <w:t xml:space="preserve">[26]</w:t>
        </w:r>
      </w:hyperlink>
      <w:r>
        <w:t xml:space="preserve"> </w:t>
      </w:r>
      <w:r>
        <w:t xml:space="preserve">Encryption Basics</w:t>
      </w:r>
    </w:p>
    <w:p>
      <w:pPr>
        <w:pStyle w:val="BodyText"/>
      </w:pPr>
      <w:hyperlink r:id="rId80">
        <w:r>
          <w:rPr>
            <w:rStyle w:val="Hyperlink"/>
          </w:rPr>
          <w:t xml:space="preserve">https://tsapps.nist.gov/publication/get_pdf.cfm</w:t>
        </w:r>
      </w:hyperlink>
    </w:p>
    <w:p>
      <w:pPr>
        <w:pStyle w:val="BodyText"/>
      </w:pPr>
      <w:hyperlink r:id="rId37">
        <w:r>
          <w:rPr>
            <w:rStyle w:val="Hyperlink"/>
          </w:rPr>
          <w:t xml:space="preserve">[13]</w:t>
        </w:r>
      </w:hyperlink>
      <w:r>
        <w:t xml:space="preserve"> </w:t>
      </w:r>
      <w:r>
        <w:t xml:space="preserve">Vulnerability Scanning Frequency Best Practices | Evolve Security</w:t>
      </w:r>
    </w:p>
    <w:p>
      <w:pPr>
        <w:pStyle w:val="BodyText"/>
      </w:pPr>
      <w:hyperlink r:id="rId81">
        <w:r>
          <w:rPr>
            <w:rStyle w:val="Hyperlink"/>
          </w:rPr>
          <w:t xml:space="preserve">https://www.evolvesecurity.com/blog-posts/vulnerability-scanning-frequency-best-practices</w:t>
        </w:r>
      </w:hyperlink>
    </w:p>
    <w:p>
      <w:pPr>
        <w:pStyle w:val="BodyText"/>
      </w:pPr>
      <w:hyperlink r:id="rId39">
        <w:r>
          <w:rPr>
            <w:rStyle w:val="Hyperlink"/>
          </w:rPr>
          <w:t xml:space="preserve">[14]</w:t>
        </w:r>
      </w:hyperlink>
      <w:r>
        <w:t xml:space="preserve"> </w:t>
      </w:r>
      <w:r>
        <w:t xml:space="preserve">Data Retention vs. Deletion | Anchor Cyber Security</w:t>
      </w:r>
    </w:p>
    <w:p>
      <w:pPr>
        <w:pStyle w:val="BodyText"/>
      </w:pPr>
      <w:hyperlink r:id="rId82">
        <w:r>
          <w:rPr>
            <w:rStyle w:val="Hyperlink"/>
          </w:rPr>
          <w:t xml:space="preserve">https://anchorcybersecurity.com/blog/2025-07-18-data-retentionvsdatadeletion/</w:t>
        </w:r>
      </w:hyperlink>
    </w:p>
    <w:p>
      <w:pPr>
        <w:pStyle w:val="BodyText"/>
      </w:pPr>
      <w:hyperlink r:id="rId42">
        <w:r>
          <w:rPr>
            <w:rStyle w:val="Hyperlink"/>
          </w:rPr>
          <w:t xml:space="preserve">[15]</w:t>
        </w:r>
      </w:hyperlink>
      <w:r>
        <w:t xml:space="preserve"> </w:t>
      </w:r>
      <w:hyperlink r:id="rId42">
        <w:r>
          <w:rPr>
            <w:rStyle w:val="Hyperlink"/>
          </w:rPr>
          <w:t xml:space="preserve">[16]</w:t>
        </w:r>
      </w:hyperlink>
      <w:r>
        <w:t xml:space="preserve"> </w:t>
      </w:r>
      <w:hyperlink r:id="rId43">
        <w:r>
          <w:rPr>
            <w:rStyle w:val="Hyperlink"/>
          </w:rPr>
          <w:t xml:space="preserve">[17]</w:t>
        </w:r>
      </w:hyperlink>
      <w:r>
        <w:t xml:space="preserve"> </w:t>
      </w:r>
      <w:hyperlink r:id="rId44">
        <w:r>
          <w:rPr>
            <w:rStyle w:val="Hyperlink"/>
          </w:rPr>
          <w:t xml:space="preserve">[18]</w:t>
        </w:r>
      </w:hyperlink>
      <w:r>
        <w:t xml:space="preserve"> </w:t>
      </w:r>
      <w:hyperlink r:id="rId45">
        <w:r>
          <w:rPr>
            <w:rStyle w:val="Hyperlink"/>
          </w:rPr>
          <w:t xml:space="preserve">[19]</w:t>
        </w:r>
      </w:hyperlink>
      <w:r>
        <w:t xml:space="preserve"> </w:t>
      </w:r>
      <w:hyperlink r:id="rId46">
        <w:r>
          <w:rPr>
            <w:rStyle w:val="Hyperlink"/>
          </w:rPr>
          <w:t xml:space="preserve">[20]</w:t>
        </w:r>
      </w:hyperlink>
      <w:r>
        <w:t xml:space="preserve"> </w:t>
      </w:r>
      <w:r>
        <w:t xml:space="preserve">Artificial Intelligence Risk Management Framework: Generative Artificial Intelligence Profile</w:t>
      </w:r>
    </w:p>
    <w:p>
      <w:pPr>
        <w:pStyle w:val="BodyText"/>
      </w:pPr>
      <w:hyperlink r:id="rId83">
        <w:r>
          <w:rPr>
            <w:rStyle w:val="Hyperlink"/>
          </w:rPr>
          <w:t xml:space="preserve">https://nvlpubs.nist.gov/nistpubs/ai/NIST.AI.600-1.pdf</w:t>
        </w:r>
      </w:hyperlink>
    </w:p>
    <w:p>
      <w:pPr>
        <w:pStyle w:val="BodyText"/>
      </w:pPr>
      <w:hyperlink r:id="rId62">
        <w:r>
          <w:rPr>
            <w:rStyle w:val="Hyperlink"/>
          </w:rPr>
          <w:t xml:space="preserve">[31]</w:t>
        </w:r>
      </w:hyperlink>
      <w:r>
        <w:t xml:space="preserve"> </w:t>
      </w:r>
      <w:hyperlink r:id="rId63">
        <w:r>
          <w:rPr>
            <w:rStyle w:val="Hyperlink"/>
          </w:rPr>
          <w:t xml:space="preserve">[32]</w:t>
        </w:r>
      </w:hyperlink>
      <w:r>
        <w:t xml:space="preserve"> </w:t>
      </w:r>
      <w:r>
        <w:t xml:space="preserve">Secure Deletion Guideline | Information Security Office</w:t>
      </w:r>
    </w:p>
    <w:p>
      <w:pPr>
        <w:pStyle w:val="BodyText"/>
      </w:pPr>
      <w:hyperlink r:id="rId84">
        <w:r>
          <w:rPr>
            <w:rStyle w:val="Hyperlink"/>
          </w:rPr>
          <w:t xml:space="preserve">https://security.berkeley.edu/secure-deletion-guideline</w:t>
        </w:r>
      </w:hyperlink>
    </w:p>
    <w:p>
      <w:pPr>
        <w:pStyle w:val="BodyText"/>
      </w:pPr>
      <w:hyperlink r:id="rId67">
        <w:r>
          <w:rPr>
            <w:rStyle w:val="Hyperlink"/>
          </w:rPr>
          <w:t xml:space="preserve">[33]</w:t>
        </w:r>
      </w:hyperlink>
      <w:r>
        <w:t xml:space="preserve"> </w:t>
      </w:r>
      <w:r>
        <w:t xml:space="preserve">SANS Incident Response: 6-Step Process &amp; Critical Best Practices | Exabeam</w:t>
      </w:r>
    </w:p>
    <w:p>
      <w:pPr>
        <w:pStyle w:val="BodyText"/>
      </w:pPr>
      <w:hyperlink r:id="rId85">
        <w:r>
          <w:rPr>
            <w:rStyle w:val="Hyperlink"/>
          </w:rPr>
          <w:t xml:space="preserve">https://www.exabeam.com/explainers/incident-response/sans-incident-response-6-step-process-critical-best-practices/</w:t>
        </w:r>
      </w:hyperlink>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https://anchorcybersecurity.com/blog/2025-07-18-data-retentionvsdatadeletion/" TargetMode="External" /><Relationship Type="http://schemas.openxmlformats.org/officeDocument/2006/relationships/hyperlink" Id="rId39" Target="https://anchorcybersecurity.com/blog/2025-07-18-data-retentionvsdatadeletion/#:~:text=The%20Art%20of%20Secure%20Data,Deletion" TargetMode="External" /><Relationship Type="http://schemas.openxmlformats.org/officeDocument/2006/relationships/hyperlink" Id="rId78" Target="https://cheatsheetseries.owasp.org/cheatsheets/Multifactor_Authentication_Cheat_Sheet.html" TargetMode="External" /><Relationship Type="http://schemas.openxmlformats.org/officeDocument/2006/relationships/hyperlink" Id="rId36" Target="https://cheatsheetseries.owasp.org/cheatsheets/Multifactor_Authentication_Cheat_Sheet.html#:~:text=OTPs%20are%20authentication%20secrets%20and,lead%20to%20user%20account%20compromise" TargetMode="External" /><Relationship Type="http://schemas.openxmlformats.org/officeDocument/2006/relationships/hyperlink" Id="rId33" Target="https://cheatsheetseries.owasp.org/cheatsheets/Multifactor_Authentication_Cheat_Sheet.html#:~:text=Quick%20Recommendations%C2%B6" TargetMode="External" /><Relationship Type="http://schemas.openxmlformats.org/officeDocument/2006/relationships/hyperlink" Id="rId48" Target="https://cheatsheetseries.owasp.org/cheatsheets/Multifactor_Authentication_Cheat_Sheet.html#:~:text=When%20to%20Require%20MFA%C2%B6" TargetMode="External" /><Relationship Type="http://schemas.openxmlformats.org/officeDocument/2006/relationships/hyperlink" Id="rId75" Target="https://cheatsheetseries.owasp.org/cheatsheets/Secrets_Management_Cheat_Sheet.html" TargetMode="External" /><Relationship Type="http://schemas.openxmlformats.org/officeDocument/2006/relationships/hyperlink" Id="rId57" Target="https://cheatsheetseries.owasp.org/cheatsheets/Secrets_Management_Cheat_Sheet.html#:~:text=,other%20methods%20are%20not%20possible" TargetMode="External" /><Relationship Type="http://schemas.openxmlformats.org/officeDocument/2006/relationships/hyperlink" Id="rId25" Target="https://cheatsheetseries.owasp.org/cheatsheets/Secrets_Management_Cheat_Sheet.html#:~:text=2" TargetMode="External" /><Relationship Type="http://schemas.openxmlformats.org/officeDocument/2006/relationships/hyperlink" Id="rId24" Target="https://cheatsheetseries.owasp.org/cheatsheets/Secrets_Management_Cheat_Sheet.html#:~:text=Secrets%20Management%20Cheat%20Sheet%C2%B6" TargetMode="External" /><Relationship Type="http://schemas.openxmlformats.org/officeDocument/2006/relationships/hyperlink" Id="rId58" Target="https://cheatsheetseries.owasp.org/cheatsheets/Secrets_Management_Cheat_Sheet.html#:~:text=Standardization%20should%20include%20Secrets%20life,the%20more%20documentation%20you%20need" TargetMode="External" /><Relationship Type="http://schemas.openxmlformats.org/officeDocument/2006/relationships/hyperlink" Id="rId74" Target="https://genai.owasp.org/llmrisk/llm01-prompt-injection/" TargetMode="External" /><Relationship Type="http://schemas.openxmlformats.org/officeDocument/2006/relationships/hyperlink" Id="rId23" Target="https://genai.owasp.org/llmrisk/llm01-prompt-injection/#:~:text=LLM01%3A2025%20Prompt%20Injection" TargetMode="External" /><Relationship Type="http://schemas.openxmlformats.org/officeDocument/2006/relationships/hyperlink" Id="rId31" Target="https://genai.owasp.org/llmrisk/llm01-prompt-injection/#:~:text=Prevention%20and%20Mitigation%20Strategies" TargetMode="External" /><Relationship Type="http://schemas.openxmlformats.org/officeDocument/2006/relationships/hyperlink" Id="rId83" Target="https://nvlpubs.nist.gov/nistpubs/ai/NIST.AI.600-1.pdf" TargetMode="External" /><Relationship Type="http://schemas.openxmlformats.org/officeDocument/2006/relationships/hyperlink" Id="rId46" Target="https://nvlpubs.nist.gov/nistpubs/ai/NIST.AI.600-1.pdf#:~:text=22%20GV,for%20alignment%20with%20relevant%20breach" TargetMode="External" /><Relationship Type="http://schemas.openxmlformats.org/officeDocument/2006/relationships/hyperlink" Id="rId45" Target="https://nvlpubs.nist.gov/nistpubs/ai/NIST.AI.600-1.pdf#:~:text=22%20GV,weights%20and%20other%20system%20artifacts" TargetMode="External" /><Relationship Type="http://schemas.openxmlformats.org/officeDocument/2006/relationships/hyperlink" Id="rId43" Target="https://nvlpubs.nist.gov/nistpubs/ai/NIST.AI.600-1.pdf#:~:text=GOVERN%206,Value%20Chain%20and%20Component%20Integration" TargetMode="External" /><Relationship Type="http://schemas.openxmlformats.org/officeDocument/2006/relationships/hyperlink" Id="rId44" Target="https://nvlpubs.nist.gov/nistpubs/ai/NIST.AI.600-1.pdf#:~:text=Review%20vendor%20contracts%20and%20avoid,and%20availability%20of%20critical%20support" TargetMode="External" /><Relationship Type="http://schemas.openxmlformats.org/officeDocument/2006/relationships/hyperlink" Id="rId42" Target="https://nvlpubs.nist.gov/nistpubs/ai/NIST.AI.600-1.pdf#:~:text=procurement%20vendor%20assessments%20to%20include,time%20reporting" TargetMode="External" /><Relationship Type="http://schemas.openxmlformats.org/officeDocument/2006/relationships/hyperlink" Id="rId79" Target="https://owasp.org/www-community/Access_Control" TargetMode="External" /><Relationship Type="http://schemas.openxmlformats.org/officeDocument/2006/relationships/hyperlink" Id="rId34" Target="https://owasp.org/www-community/Access_Control#:~:text=Role,group%20and%20inherited%20by%20members" TargetMode="External" /><Relationship Type="http://schemas.openxmlformats.org/officeDocument/2006/relationships/hyperlink" Id="rId84" Target="https://security.berkeley.edu/secure-deletion-guideline" TargetMode="External" /><Relationship Type="http://schemas.openxmlformats.org/officeDocument/2006/relationships/hyperlink" Id="rId63" Target="https://security.berkeley.edu/secure-deletion-guideline#:~:text=1,deleting%20data%20files%20and%20folders" TargetMode="External" /><Relationship Type="http://schemas.openxmlformats.org/officeDocument/2006/relationships/hyperlink" Id="rId62" Target="https://security.berkeley.edu/secure-deletion-guideline#:~:text=Resource%20Custodians%20must%20ensure%20that,is%20destroyed%20prior%20to%20disposal" TargetMode="External" /><Relationship Type="http://schemas.openxmlformats.org/officeDocument/2006/relationships/hyperlink" Id="rId76" Target="https://security.berkeley.edu/security-audit-logging-guideline" TargetMode="External" /><Relationship Type="http://schemas.openxmlformats.org/officeDocument/2006/relationships/hyperlink" Id="rId26" Target="https://security.berkeley.edu/security-audit-logging-guideline#:~:text=Resource%20Custodians%20must%20maintain%2C%20monitor%2C,audit%20logs%20for%20covered%20devices" TargetMode="External" /><Relationship Type="http://schemas.openxmlformats.org/officeDocument/2006/relationships/hyperlink" Id="rId27" Target="https://security.berkeley.edu/security-audit-logging-guideline#:~:text=The%20details%20logged%C2%A0for%20each%20event,minimum%20each%20event%20should%20capture" TargetMode="External" /><Relationship Type="http://schemas.openxmlformats.org/officeDocument/2006/relationships/hyperlink" Id="rId60" Target="https://security.berkeley.edu/security-audit-logging-guideline#:~:text=their%20activities%20to%20maximize%20opportunities,access%20to%20operating%20system%20console" TargetMode="External" /><Relationship Type="http://schemas.openxmlformats.org/officeDocument/2006/relationships/hyperlink" Id="rId80" Target="https://tsapps.nist.gov/publication/get_pdf.cfm" TargetMode="External" /><Relationship Type="http://schemas.openxmlformats.org/officeDocument/2006/relationships/hyperlink" Id="rId55" Target="https://tsapps.nist.gov/publication/get_pdf.cfm#:~:text=Important%20Requirements%20when%20Implementing%20Encryption,protection%20of%20the%20protected%20data" TargetMode="External" /><Relationship Type="http://schemas.openxmlformats.org/officeDocument/2006/relationships/hyperlink" Id="rId52" Target="https://tsapps.nist.gov/publication/get_pdf.cfm#:~:text=Important%20Requirements%20when%20Implementing%20Encryption,the%20Cryptographic%20Key%20from%20Modification" TargetMode="External" /><Relationship Type="http://schemas.openxmlformats.org/officeDocument/2006/relationships/hyperlink" Id="rId35" Target="https://tsapps.nist.gov/publication/get_pdf.cfm#:~:text=encryption%20is%20also%20used%20to,drive%20without%20the%20cryptographic%20key" TargetMode="External" /><Relationship Type="http://schemas.openxmlformats.org/officeDocument/2006/relationships/hyperlink" Id="rId81" Target="https://www.evolvesecurity.com/blog-posts/vulnerability-scanning-frequency-best-practices" TargetMode="External" /><Relationship Type="http://schemas.openxmlformats.org/officeDocument/2006/relationships/hyperlink" Id="rId37" Target="https://www.evolvesecurity.com/blog-posts/vulnerability-scanning-frequency-best-practices#:~:text=Establish%20a%20regular%20scanning%20schedule,in%20compliance%20with%20these%20regulations" TargetMode="External" /><Relationship Type="http://schemas.openxmlformats.org/officeDocument/2006/relationships/hyperlink" Id="rId85" Target="https://www.exabeam.com/explainers/incident-response/sans-incident-response-6-step-process-critical-best-practices/" TargetMode="External" /><Relationship Type="http://schemas.openxmlformats.org/officeDocument/2006/relationships/hyperlink" Id="rId67" Target="https://www.exabeam.com/explainers/incident-response/sans-incident-response-6-step-process-critical-best-practices/#:~:text=6%20Steps%20of%20the%20SANS,Incident%20Response%20Process" TargetMode="External" /><Relationship Type="http://schemas.openxmlformats.org/officeDocument/2006/relationships/hyperlink" Id="rId77" Target="https://www.ncsc.gov.uk/collection/device-security-principles-for-manufacturers/protect-data-at-rest-and-in-transit" TargetMode="External" /><Relationship Type="http://schemas.openxmlformats.org/officeDocument/2006/relationships/hyperlink" Id="rId30" Target="https://www.ncsc.gov.uk/collection/device-security-principles-for-manufacturers/protect-data-at-rest-and-in-transit#:~:text=Guideline%203,all%20user%20data%20at%20rest" TargetMode="External" /><Relationship Type="http://schemas.openxmlformats.org/officeDocument/2006/relationships/hyperlink" Id="rId54" Target="https://www.ncsc.gov.uk/collection/device-security-principles-for-manufacturers/protect-data-at-rest-and-in-transit#:~:text=Guideline%203,at%20rest%20and%20in%20transit" TargetMode="External" /><Relationship Type="http://schemas.openxmlformats.org/officeDocument/2006/relationships/hyperlink" Id="rId53" Target="https://www.ncsc.gov.uk/collection/device-security-principles-for-manufacturers/protect-data-at-rest-and-in-transit#:~:text=Guideline%203,provides%20confidentiality%2C%20integrity%20and%20authenticity" TargetMode="External" /></Relationships>
</file>

<file path=word/_rels/footnotes.xml.rels><?xml version="1.0" encoding="UTF-8"?><Relationships xmlns="http://schemas.openxmlformats.org/package/2006/relationships"><Relationship Type="http://schemas.openxmlformats.org/officeDocument/2006/relationships/hyperlink" Id="rId82" Target="https://anchorcybersecurity.com/blog/2025-07-18-data-retentionvsdatadeletion/" TargetMode="External" /><Relationship Type="http://schemas.openxmlformats.org/officeDocument/2006/relationships/hyperlink" Id="rId39" Target="https://anchorcybersecurity.com/blog/2025-07-18-data-retentionvsdatadeletion/#:~:text=The%20Art%20of%20Secure%20Data,Deletion" TargetMode="External" /><Relationship Type="http://schemas.openxmlformats.org/officeDocument/2006/relationships/hyperlink" Id="rId78" Target="https://cheatsheetseries.owasp.org/cheatsheets/Multifactor_Authentication_Cheat_Sheet.html" TargetMode="External" /><Relationship Type="http://schemas.openxmlformats.org/officeDocument/2006/relationships/hyperlink" Id="rId36" Target="https://cheatsheetseries.owasp.org/cheatsheets/Multifactor_Authentication_Cheat_Sheet.html#:~:text=OTPs%20are%20authentication%20secrets%20and,lead%20to%20user%20account%20compromise" TargetMode="External" /><Relationship Type="http://schemas.openxmlformats.org/officeDocument/2006/relationships/hyperlink" Id="rId33" Target="https://cheatsheetseries.owasp.org/cheatsheets/Multifactor_Authentication_Cheat_Sheet.html#:~:text=Quick%20Recommendations%C2%B6" TargetMode="External" /><Relationship Type="http://schemas.openxmlformats.org/officeDocument/2006/relationships/hyperlink" Id="rId48" Target="https://cheatsheetseries.owasp.org/cheatsheets/Multifactor_Authentication_Cheat_Sheet.html#:~:text=When%20to%20Require%20MFA%C2%B6" TargetMode="External" /><Relationship Type="http://schemas.openxmlformats.org/officeDocument/2006/relationships/hyperlink" Id="rId75" Target="https://cheatsheetseries.owasp.org/cheatsheets/Secrets_Management_Cheat_Sheet.html" TargetMode="External" /><Relationship Type="http://schemas.openxmlformats.org/officeDocument/2006/relationships/hyperlink" Id="rId57" Target="https://cheatsheetseries.owasp.org/cheatsheets/Secrets_Management_Cheat_Sheet.html#:~:text=,other%20methods%20are%20not%20possible" TargetMode="External" /><Relationship Type="http://schemas.openxmlformats.org/officeDocument/2006/relationships/hyperlink" Id="rId25" Target="https://cheatsheetseries.owasp.org/cheatsheets/Secrets_Management_Cheat_Sheet.html#:~:text=2" TargetMode="External" /><Relationship Type="http://schemas.openxmlformats.org/officeDocument/2006/relationships/hyperlink" Id="rId24" Target="https://cheatsheetseries.owasp.org/cheatsheets/Secrets_Management_Cheat_Sheet.html#:~:text=Secrets%20Management%20Cheat%20Sheet%C2%B6" TargetMode="External" /><Relationship Type="http://schemas.openxmlformats.org/officeDocument/2006/relationships/hyperlink" Id="rId58" Target="https://cheatsheetseries.owasp.org/cheatsheets/Secrets_Management_Cheat_Sheet.html#:~:text=Standardization%20should%20include%20Secrets%20life,the%20more%20documentation%20you%20need" TargetMode="External" /><Relationship Type="http://schemas.openxmlformats.org/officeDocument/2006/relationships/hyperlink" Id="rId74" Target="https://genai.owasp.org/llmrisk/llm01-prompt-injection/" TargetMode="External" /><Relationship Type="http://schemas.openxmlformats.org/officeDocument/2006/relationships/hyperlink" Id="rId23" Target="https://genai.owasp.org/llmrisk/llm01-prompt-injection/#:~:text=LLM01%3A2025%20Prompt%20Injection" TargetMode="External" /><Relationship Type="http://schemas.openxmlformats.org/officeDocument/2006/relationships/hyperlink" Id="rId31" Target="https://genai.owasp.org/llmrisk/llm01-prompt-injection/#:~:text=Prevention%20and%20Mitigation%20Strategies" TargetMode="External" /><Relationship Type="http://schemas.openxmlformats.org/officeDocument/2006/relationships/hyperlink" Id="rId83" Target="https://nvlpubs.nist.gov/nistpubs/ai/NIST.AI.600-1.pdf" TargetMode="External" /><Relationship Type="http://schemas.openxmlformats.org/officeDocument/2006/relationships/hyperlink" Id="rId46" Target="https://nvlpubs.nist.gov/nistpubs/ai/NIST.AI.600-1.pdf#:~:text=22%20GV,for%20alignment%20with%20relevant%20breach" TargetMode="External" /><Relationship Type="http://schemas.openxmlformats.org/officeDocument/2006/relationships/hyperlink" Id="rId45" Target="https://nvlpubs.nist.gov/nistpubs/ai/NIST.AI.600-1.pdf#:~:text=22%20GV,weights%20and%20other%20system%20artifacts" TargetMode="External" /><Relationship Type="http://schemas.openxmlformats.org/officeDocument/2006/relationships/hyperlink" Id="rId43" Target="https://nvlpubs.nist.gov/nistpubs/ai/NIST.AI.600-1.pdf#:~:text=GOVERN%206,Value%20Chain%20and%20Component%20Integration" TargetMode="External" /><Relationship Type="http://schemas.openxmlformats.org/officeDocument/2006/relationships/hyperlink" Id="rId44" Target="https://nvlpubs.nist.gov/nistpubs/ai/NIST.AI.600-1.pdf#:~:text=Review%20vendor%20contracts%20and%20avoid,and%20availability%20of%20critical%20support" TargetMode="External" /><Relationship Type="http://schemas.openxmlformats.org/officeDocument/2006/relationships/hyperlink" Id="rId42" Target="https://nvlpubs.nist.gov/nistpubs/ai/NIST.AI.600-1.pdf#:~:text=procurement%20vendor%20assessments%20to%20include,time%20reporting" TargetMode="External" /><Relationship Type="http://schemas.openxmlformats.org/officeDocument/2006/relationships/hyperlink" Id="rId79" Target="https://owasp.org/www-community/Access_Control" TargetMode="External" /><Relationship Type="http://schemas.openxmlformats.org/officeDocument/2006/relationships/hyperlink" Id="rId34" Target="https://owasp.org/www-community/Access_Control#:~:text=Role,group%20and%20inherited%20by%20members" TargetMode="External" /><Relationship Type="http://schemas.openxmlformats.org/officeDocument/2006/relationships/hyperlink" Id="rId84" Target="https://security.berkeley.edu/secure-deletion-guideline" TargetMode="External" /><Relationship Type="http://schemas.openxmlformats.org/officeDocument/2006/relationships/hyperlink" Id="rId63" Target="https://security.berkeley.edu/secure-deletion-guideline#:~:text=1,deleting%20data%20files%20and%20folders" TargetMode="External" /><Relationship Type="http://schemas.openxmlformats.org/officeDocument/2006/relationships/hyperlink" Id="rId62" Target="https://security.berkeley.edu/secure-deletion-guideline#:~:text=Resource%20Custodians%20must%20ensure%20that,is%20destroyed%20prior%20to%20disposal" TargetMode="External" /><Relationship Type="http://schemas.openxmlformats.org/officeDocument/2006/relationships/hyperlink" Id="rId76" Target="https://security.berkeley.edu/security-audit-logging-guideline" TargetMode="External" /><Relationship Type="http://schemas.openxmlformats.org/officeDocument/2006/relationships/hyperlink" Id="rId26" Target="https://security.berkeley.edu/security-audit-logging-guideline#:~:text=Resource%20Custodians%20must%20maintain%2C%20monitor%2C,audit%20logs%20for%20covered%20devices" TargetMode="External" /><Relationship Type="http://schemas.openxmlformats.org/officeDocument/2006/relationships/hyperlink" Id="rId27" Target="https://security.berkeley.edu/security-audit-logging-guideline#:~:text=The%20details%20logged%C2%A0for%20each%20event,minimum%20each%20event%20should%20capture" TargetMode="External" /><Relationship Type="http://schemas.openxmlformats.org/officeDocument/2006/relationships/hyperlink" Id="rId60" Target="https://security.berkeley.edu/security-audit-logging-guideline#:~:text=their%20activities%20to%20maximize%20opportunities,access%20to%20operating%20system%20console" TargetMode="External" /><Relationship Type="http://schemas.openxmlformats.org/officeDocument/2006/relationships/hyperlink" Id="rId80" Target="https://tsapps.nist.gov/publication/get_pdf.cfm" TargetMode="External" /><Relationship Type="http://schemas.openxmlformats.org/officeDocument/2006/relationships/hyperlink" Id="rId55" Target="https://tsapps.nist.gov/publication/get_pdf.cfm#:~:text=Important%20Requirements%20when%20Implementing%20Encryption,protection%20of%20the%20protected%20data" TargetMode="External" /><Relationship Type="http://schemas.openxmlformats.org/officeDocument/2006/relationships/hyperlink" Id="rId52" Target="https://tsapps.nist.gov/publication/get_pdf.cfm#:~:text=Important%20Requirements%20when%20Implementing%20Encryption,the%20Cryptographic%20Key%20from%20Modification" TargetMode="External" /><Relationship Type="http://schemas.openxmlformats.org/officeDocument/2006/relationships/hyperlink" Id="rId35" Target="https://tsapps.nist.gov/publication/get_pdf.cfm#:~:text=encryption%20is%20also%20used%20to,drive%20without%20the%20cryptographic%20key" TargetMode="External" /><Relationship Type="http://schemas.openxmlformats.org/officeDocument/2006/relationships/hyperlink" Id="rId81" Target="https://www.evolvesecurity.com/blog-posts/vulnerability-scanning-frequency-best-practices" TargetMode="External" /><Relationship Type="http://schemas.openxmlformats.org/officeDocument/2006/relationships/hyperlink" Id="rId37" Target="https://www.evolvesecurity.com/blog-posts/vulnerability-scanning-frequency-best-practices#:~:text=Establish%20a%20regular%20scanning%20schedule,in%20compliance%20with%20these%20regulations" TargetMode="External" /><Relationship Type="http://schemas.openxmlformats.org/officeDocument/2006/relationships/hyperlink" Id="rId85" Target="https://www.exabeam.com/explainers/incident-response/sans-incident-response-6-step-process-critical-best-practices/" TargetMode="External" /><Relationship Type="http://schemas.openxmlformats.org/officeDocument/2006/relationships/hyperlink" Id="rId67" Target="https://www.exabeam.com/explainers/incident-response/sans-incident-response-6-step-process-critical-best-practices/#:~:text=6%20Steps%20of%20the%20SANS,Incident%20Response%20Process" TargetMode="External" /><Relationship Type="http://schemas.openxmlformats.org/officeDocument/2006/relationships/hyperlink" Id="rId77" Target="https://www.ncsc.gov.uk/collection/device-security-principles-for-manufacturers/protect-data-at-rest-and-in-transit" TargetMode="External" /><Relationship Type="http://schemas.openxmlformats.org/officeDocument/2006/relationships/hyperlink" Id="rId30" Target="https://www.ncsc.gov.uk/collection/device-security-principles-for-manufacturers/protect-data-at-rest-and-in-transit#:~:text=Guideline%203,all%20user%20data%20at%20rest" TargetMode="External" /><Relationship Type="http://schemas.openxmlformats.org/officeDocument/2006/relationships/hyperlink" Id="rId54" Target="https://www.ncsc.gov.uk/collection/device-security-principles-for-manufacturers/protect-data-at-rest-and-in-transit#:~:text=Guideline%203,at%20rest%20and%20in%20transit" TargetMode="External" /><Relationship Type="http://schemas.openxmlformats.org/officeDocument/2006/relationships/hyperlink" Id="rId53" Target="https://www.ncsc.gov.uk/collection/device-security-principles-for-manufacturers/protect-data-at-rest-and-in-transit#:~:text=Guideline%203,provides%20confidentiality%2C%20integrity%20and%20authentic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2026-05-16T08:46:23Z</dcterms:created>
  <dcterms:modified xsi:type="dcterms:W3CDTF">2026-05-16T08:46:23Z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