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3a21918694f102d983f0ae4654a466d88d20a03"/>
    <w:p>
      <w:pPr>
        <w:pStyle w:val="Heading1"/>
      </w:pPr>
      <w:r>
        <w:t xml:space="preserve">BecomingOS MVP Technical Architecture Blueprint (Provisional)</w:t>
      </w:r>
    </w:p>
    <w:bookmarkStart w:id="23" w:name="introduction"/>
    <w:p>
      <w:pPr>
        <w:pStyle w:val="Heading2"/>
      </w:pPr>
      <w:r>
        <w:t xml:space="preserve">Introduction</w:t>
      </w:r>
    </w:p>
    <w:p>
      <w:pPr>
        <w:pStyle w:val="FirstParagraph"/>
      </w:pPr>
      <w:r>
        <w:t xml:space="preserve">BecomingOS is an educational, non‑clinical personal OS for self‑discovery and life alignment. It aims to offer users seven modules, a question engine, AI‑drafted interpretations, personal memory, today directives, an</w:t>
      </w:r>
      <w:r>
        <w:t xml:space="preserve"> </w:t>
      </w:r>
      <w:r>
        <w:rPr>
          <w:b/>
          <w:bCs/>
        </w:rPr>
        <w:t xml:space="preserve">Ask AI</w:t>
      </w:r>
      <w:r>
        <w:t xml:space="preserve"> </w:t>
      </w:r>
      <w:r>
        <w:t xml:space="preserve">advisor, calendar alignment, review loops, consent management, export/deletion tools, safety gates and accessibility features. Because the product will deliver AI‑driven advice and create long‑term personal memory for users, its architecture must protect privacy, enforce consent, prevent hallucinations and comply with data‑protection law.</w:t>
      </w:r>
    </w:p>
    <w:p>
      <w:pPr>
        <w:pStyle w:val="BodyText"/>
      </w:pPr>
      <w:r>
        <w:t xml:space="preserve">This blueprint is</w:t>
      </w:r>
      <w:r>
        <w:t xml:space="preserve"> </w:t>
      </w:r>
      <w:r>
        <w:rPr>
          <w:b/>
          <w:bCs/>
        </w:rPr>
        <w:t xml:space="preserve">provisional</w:t>
      </w:r>
      <w:r>
        <w:t xml:space="preserve"> </w:t>
      </w:r>
      <w:r>
        <w:t xml:space="preserve">because key inputs are not yet available. Architecture design should not proceed to production until user research, a product requirements document (PRD), non‑functional requirements (NFRs), privacy/legal review, a canonical data model, an AI evaluation plan, a threat model, crisis localisation and accessibility requirements are provided. These inputs are prerequisites for making design trade‑offs, selecting technology and sizing infrastructure.</w:t>
      </w:r>
    </w:p>
    <w:bookmarkStart w:id="21" w:name="missing-inputs"/>
    <w:p>
      <w:pPr>
        <w:pStyle w:val="Heading3"/>
      </w:pPr>
      <w:r>
        <w:t xml:space="preserve">Missing Inputs</w:t>
      </w:r>
    </w:p>
    <w:p>
      <w:pPr>
        <w:pStyle w:val="FirstParagraph"/>
      </w:pPr>
      <w:r>
        <w:t xml:space="preserve">The following information must be delivered before finalizing the architecture:</w:t>
      </w:r>
    </w:p>
    <w:p>
      <w:pPr>
        <w:pStyle w:val="Compact"/>
        <w:numPr>
          <w:ilvl w:val="0"/>
          <w:numId w:val="1001"/>
        </w:numPr>
      </w:pPr>
      <w:r>
        <w:rPr>
          <w:b/>
          <w:bCs/>
        </w:rPr>
        <w:t xml:space="preserve">User research findings</w:t>
      </w:r>
      <w:r>
        <w:t xml:space="preserve"> </w:t>
      </w:r>
      <w:r>
        <w:t xml:space="preserve">– demographics, user goals, expected usage patterns, latency expectations, internet access profiles.</w:t>
      </w:r>
    </w:p>
    <w:p>
      <w:pPr>
        <w:pStyle w:val="Compact"/>
        <w:numPr>
          <w:ilvl w:val="0"/>
          <w:numId w:val="1001"/>
        </w:numPr>
      </w:pPr>
      <w:r>
        <w:rPr>
          <w:b/>
          <w:bCs/>
        </w:rPr>
        <w:t xml:space="preserve">Product requirements document (PRD)</w:t>
      </w:r>
      <w:r>
        <w:t xml:space="preserve"> </w:t>
      </w:r>
      <w:r>
        <w:t xml:space="preserve">– detailed specifications for each module, question types, scoring logic, and how AI output should be used in the user interface.</w:t>
      </w:r>
    </w:p>
    <w:p>
      <w:pPr>
        <w:pStyle w:val="Compact"/>
        <w:numPr>
          <w:ilvl w:val="0"/>
          <w:numId w:val="1001"/>
        </w:numPr>
      </w:pPr>
      <w:r>
        <w:rPr>
          <w:b/>
          <w:bCs/>
        </w:rPr>
        <w:t xml:space="preserve">Non‑functional requirements (NFRs)</w:t>
      </w:r>
      <w:r>
        <w:t xml:space="preserve"> </w:t>
      </w:r>
      <w:r>
        <w:t xml:space="preserve">– target uptime, performance thresholds, scalability targets, data residency requirements, acceptable latency for AI calls, and retention periods.</w:t>
      </w:r>
    </w:p>
    <w:p>
      <w:pPr>
        <w:pStyle w:val="Compact"/>
        <w:numPr>
          <w:ilvl w:val="0"/>
          <w:numId w:val="1001"/>
        </w:numPr>
      </w:pPr>
      <w:r>
        <w:rPr>
          <w:b/>
          <w:bCs/>
        </w:rPr>
        <w:t xml:space="preserve">Privacy/legal review preparation</w:t>
      </w:r>
      <w:r>
        <w:t xml:space="preserve"> </w:t>
      </w:r>
      <w:r>
        <w:t xml:space="preserve">– applicable laws (GDPR, HIPAA, Australian privacy law), classification of personal data versus sensitive psychological data, and data‑sharing policies.</w:t>
      </w:r>
    </w:p>
    <w:p>
      <w:pPr>
        <w:pStyle w:val="Compact"/>
        <w:numPr>
          <w:ilvl w:val="0"/>
          <w:numId w:val="1001"/>
        </w:numPr>
      </w:pPr>
      <w:r>
        <w:rPr>
          <w:b/>
          <w:bCs/>
        </w:rPr>
        <w:t xml:space="preserve">Canonical data model</w:t>
      </w:r>
      <w:r>
        <w:t xml:space="preserve"> </w:t>
      </w:r>
      <w:r>
        <w:t xml:space="preserve">– entity‑relationship definitions for user profiles, modules, questions, answers, interpretation drafts, memory entries, embeddings, calendar events and consent records.</w:t>
      </w:r>
    </w:p>
    <w:p>
      <w:pPr>
        <w:pStyle w:val="Compact"/>
        <w:numPr>
          <w:ilvl w:val="0"/>
          <w:numId w:val="1001"/>
        </w:numPr>
      </w:pPr>
      <w:r>
        <w:rPr>
          <w:b/>
          <w:bCs/>
        </w:rPr>
        <w:t xml:space="preserve">AI evaluation plan</w:t>
      </w:r>
      <w:r>
        <w:t xml:space="preserve"> </w:t>
      </w:r>
      <w:r>
        <w:t xml:space="preserve">– benchmarks, success metrics, and red‑team tests to assess model accuracy, safety and fairness.</w:t>
      </w:r>
    </w:p>
    <w:p>
      <w:pPr>
        <w:pStyle w:val="Compact"/>
        <w:numPr>
          <w:ilvl w:val="0"/>
          <w:numId w:val="1001"/>
        </w:numPr>
      </w:pPr>
      <w:r>
        <w:rPr>
          <w:b/>
          <w:bCs/>
        </w:rPr>
        <w:t xml:space="preserve">Threat model</w:t>
      </w:r>
      <w:r>
        <w:t xml:space="preserve"> </w:t>
      </w:r>
      <w:r>
        <w:t xml:space="preserve">– adversarial scenarios (prompt injection, model poisoning, memory corruption), trust boundaries and attacker capabilities.</w:t>
      </w:r>
    </w:p>
    <w:p>
      <w:pPr>
        <w:pStyle w:val="Compact"/>
        <w:numPr>
          <w:ilvl w:val="0"/>
          <w:numId w:val="1001"/>
        </w:numPr>
      </w:pPr>
      <w:r>
        <w:rPr>
          <w:b/>
          <w:bCs/>
        </w:rPr>
        <w:t xml:space="preserve">Crisis localisation &amp; escalation</w:t>
      </w:r>
      <w:r>
        <w:t xml:space="preserve"> </w:t>
      </w:r>
      <w:r>
        <w:t xml:space="preserve">– local crisis‑line numbers and instructions for escalation in all supported jurisdictions.</w:t>
      </w:r>
    </w:p>
    <w:p>
      <w:pPr>
        <w:pStyle w:val="Compact"/>
        <w:numPr>
          <w:ilvl w:val="0"/>
          <w:numId w:val="1001"/>
        </w:numPr>
      </w:pPr>
      <w:r>
        <w:rPr>
          <w:b/>
          <w:bCs/>
        </w:rPr>
        <w:t xml:space="preserve">Accessibility requirements</w:t>
      </w:r>
      <w:r>
        <w:t xml:space="preserve"> </w:t>
      </w:r>
      <w:r>
        <w:t xml:space="preserve">– required standards (WCAG level), support for assistive technologies, localization languages.</w:t>
      </w:r>
    </w:p>
    <w:p>
      <w:pPr>
        <w:pStyle w:val="FirstParagraph"/>
      </w:pPr>
      <w:r>
        <w:t xml:space="preserve">Without these, the architecture below remains high‑level and subject to change.</w:t>
      </w:r>
    </w:p>
    <w:bookmarkEnd w:id="21"/>
    <w:bookmarkStart w:id="22" w:name="assumptions"/>
    <w:p>
      <w:pPr>
        <w:pStyle w:val="Heading3"/>
      </w:pPr>
      <w:r>
        <w:t xml:space="preserve">Assumptions</w:t>
      </w:r>
    </w:p>
    <w:p>
      <w:pPr>
        <w:pStyle w:val="FirstParagraph"/>
      </w:pPr>
      <w:r>
        <w:t xml:space="preserve">To prepare a provisional design, the following assumptions are made:</w:t>
      </w:r>
    </w:p>
    <w:p>
      <w:pPr>
        <w:pStyle w:val="Compact"/>
        <w:numPr>
          <w:ilvl w:val="0"/>
          <w:numId w:val="1002"/>
        </w:numPr>
      </w:pPr>
      <w:r>
        <w:rPr>
          <w:b/>
          <w:bCs/>
        </w:rPr>
        <w:t xml:space="preserve">User volume</w:t>
      </w:r>
      <w:r>
        <w:t xml:space="preserve">: tens of thousands of users, with hundreds of concurrent sessions. Latency target for AI responses is ≤ 5 s on average.</w:t>
      </w:r>
    </w:p>
    <w:p>
      <w:pPr>
        <w:pStyle w:val="Compact"/>
        <w:numPr>
          <w:ilvl w:val="0"/>
          <w:numId w:val="1002"/>
        </w:numPr>
      </w:pPr>
      <w:r>
        <w:rPr>
          <w:b/>
          <w:bCs/>
        </w:rPr>
        <w:t xml:space="preserve">Deployment</w:t>
      </w:r>
      <w:r>
        <w:t xml:space="preserve">: cloud‑based (e.g., AWS/Azure/GCP) with container orchestration via Kubernetes.</w:t>
      </w:r>
    </w:p>
    <w:p>
      <w:pPr>
        <w:pStyle w:val="Compact"/>
        <w:numPr>
          <w:ilvl w:val="0"/>
          <w:numId w:val="1002"/>
        </w:numPr>
      </w:pPr>
      <w:r>
        <w:rPr>
          <w:b/>
          <w:bCs/>
        </w:rPr>
        <w:t xml:space="preserve">LLM provider</w:t>
      </w:r>
      <w:r>
        <w:t xml:space="preserve">: external large‑language model (e.g., OpenAI, Anthropic), with models accessed via API; there is no on‑premise model training.</w:t>
      </w:r>
    </w:p>
    <w:p>
      <w:pPr>
        <w:pStyle w:val="Compact"/>
        <w:numPr>
          <w:ilvl w:val="0"/>
          <w:numId w:val="1002"/>
        </w:numPr>
      </w:pPr>
      <w:r>
        <w:rPr>
          <w:b/>
          <w:bCs/>
        </w:rPr>
        <w:t xml:space="preserve">Vector database</w:t>
      </w:r>
      <w:r>
        <w:t xml:space="preserve">: a managed vector store (e.g., Pinecone, Qdrant) holds embeddings and metadata.</w:t>
      </w:r>
    </w:p>
    <w:p>
      <w:pPr>
        <w:pStyle w:val="Compact"/>
        <w:numPr>
          <w:ilvl w:val="0"/>
          <w:numId w:val="1002"/>
        </w:numPr>
      </w:pPr>
      <w:r>
        <w:rPr>
          <w:b/>
          <w:bCs/>
        </w:rPr>
        <w:t xml:space="preserve">Relational database</w:t>
      </w:r>
      <w:r>
        <w:t xml:space="preserve">: a managed relational DB (e.g., PostgreSQL) stores structured data, and object storage stores raw question/answer transcripts.</w:t>
      </w:r>
    </w:p>
    <w:p>
      <w:pPr>
        <w:pStyle w:val="Compact"/>
        <w:numPr>
          <w:ilvl w:val="0"/>
          <w:numId w:val="1002"/>
        </w:numPr>
      </w:pPr>
      <w:r>
        <w:rPr>
          <w:b/>
          <w:bCs/>
        </w:rPr>
        <w:t xml:space="preserve">Analytics</w:t>
      </w:r>
      <w:r>
        <w:t xml:space="preserve">: aggregated usage metrics are collected but individual usage is protected. Only anonymized analytics are used for product improvements.</w:t>
      </w:r>
    </w:p>
    <w:bookmarkEnd w:id="22"/>
    <w:bookmarkEnd w:id="23"/>
    <w:bookmarkStart w:id="25" w:name="highlevel-architecture"/>
    <w:p>
      <w:pPr>
        <w:pStyle w:val="Heading2"/>
      </w:pPr>
      <w:r>
        <w:t xml:space="preserve">High‑Level Architecture</w:t>
      </w:r>
    </w:p>
    <w:p>
      <w:pPr>
        <w:pStyle w:val="FirstParagraph"/>
      </w:pPr>
      <w:r>
        <w:t xml:space="preserve">BecomingOS follows a</w:t>
      </w:r>
      <w:r>
        <w:t xml:space="preserve"> </w:t>
      </w:r>
      <w:r>
        <w:rPr>
          <w:b/>
          <w:bCs/>
        </w:rPr>
        <w:t xml:space="preserve">modular microservices architecture</w:t>
      </w:r>
      <w:r>
        <w:t xml:space="preserve">. A user interacts via web/mobile clients that call a</w:t>
      </w:r>
      <w:r>
        <w:t xml:space="preserve"> </w:t>
      </w:r>
      <w:r>
        <w:rPr>
          <w:b/>
          <w:bCs/>
        </w:rPr>
        <w:t xml:space="preserve">GraphQL/REST API Gateway</w:t>
      </w:r>
      <w:r>
        <w:t xml:space="preserve">. Behind the gateway, each core function runs as an independent service with its own database access.</w:t>
      </w:r>
      <w:r>
        <w:t xml:space="preserve"> </w:t>
      </w:r>
      <w:r>
        <w:rPr>
          <w:b/>
          <w:bCs/>
        </w:rPr>
        <w:t xml:space="preserve">Auth</w:t>
      </w:r>
      <w:r>
        <w:t xml:space="preserve"> </w:t>
      </w:r>
      <w:r>
        <w:t xml:space="preserve">and</w:t>
      </w:r>
      <w:r>
        <w:t xml:space="preserve"> </w:t>
      </w:r>
      <w:r>
        <w:rPr>
          <w:b/>
          <w:bCs/>
        </w:rPr>
        <w:t xml:space="preserve">Consent</w:t>
      </w:r>
      <w:r>
        <w:t xml:space="preserve"> </w:t>
      </w:r>
      <w:r>
        <w:t xml:space="preserve">services manage user identity and permissions.</w:t>
      </w:r>
      <w:r>
        <w:t xml:space="preserve"> </w:t>
      </w:r>
      <w:r>
        <w:rPr>
          <w:b/>
          <w:bCs/>
        </w:rPr>
        <w:t xml:space="preserve">AI orchestration</w:t>
      </w:r>
      <w:r>
        <w:t xml:space="preserve"> </w:t>
      </w:r>
      <w:r>
        <w:t xml:space="preserve">routes questions and context to external LLMs and handles tool‑calling loops.</w:t>
      </w:r>
      <w:r>
        <w:t xml:space="preserve"> </w:t>
      </w:r>
      <w:r>
        <w:rPr>
          <w:b/>
          <w:bCs/>
        </w:rPr>
        <w:t xml:space="preserve">Memory and Vector services</w:t>
      </w:r>
      <w:r>
        <w:t xml:space="preserve"> </w:t>
      </w:r>
      <w:r>
        <w:t xml:space="preserve">manage personal knowledge and retrieval.</w:t>
      </w:r>
      <w:r>
        <w:t xml:space="preserve"> </w:t>
      </w:r>
      <w:r>
        <w:rPr>
          <w:b/>
          <w:bCs/>
        </w:rPr>
        <w:t xml:space="preserve">Safety and privacy services</w:t>
      </w:r>
      <w:r>
        <w:t xml:space="preserve"> </w:t>
      </w:r>
      <w:r>
        <w:t xml:space="preserve">enforce consent, filter harmful content and prevent deleted data from influencing outputs.</w:t>
      </w:r>
      <w:r>
        <w:t xml:space="preserve"> </w:t>
      </w:r>
      <w:r>
        <w:rPr>
          <w:b/>
          <w:bCs/>
        </w:rPr>
        <w:t xml:space="preserve">Export/deletion</w:t>
      </w:r>
      <w:r>
        <w:t xml:space="preserve">,</w:t>
      </w:r>
      <w:r>
        <w:t xml:space="preserve"> </w:t>
      </w:r>
      <w:r>
        <w:rPr>
          <w:b/>
          <w:bCs/>
        </w:rPr>
        <w:t xml:space="preserve">audit</w:t>
      </w:r>
      <w:r>
        <w:t xml:space="preserve">,</w:t>
      </w:r>
      <w:r>
        <w:t xml:space="preserve"> </w:t>
      </w:r>
      <w:r>
        <w:rPr>
          <w:b/>
          <w:bCs/>
        </w:rPr>
        <w:t xml:space="preserve">monitoring</w:t>
      </w:r>
      <w:r>
        <w:t xml:space="preserve"> </w:t>
      </w:r>
      <w:r>
        <w:t xml:space="preserve">and</w:t>
      </w:r>
      <w:r>
        <w:t xml:space="preserve"> </w:t>
      </w:r>
      <w:r>
        <w:rPr>
          <w:b/>
          <w:bCs/>
        </w:rPr>
        <w:t xml:space="preserve">admin/support</w:t>
      </w:r>
      <w:r>
        <w:t xml:space="preserve"> </w:t>
      </w:r>
      <w:r>
        <w:t xml:space="preserve">provide governance and operations. The architecture decouples memory (user‑owned data) from application logic in line with the Personal AI Architecture pattern</w:t>
      </w:r>
      <w:r>
        <w:t xml:space="preserve"> </w:t>
      </w:r>
      <w:hyperlink r:id="rId24">
        <w:r>
          <w:rPr>
            <w:rStyle w:val="Hyperlink"/>
          </w:rPr>
          <w:t xml:space="preserve">[1]</w:t>
        </w:r>
      </w:hyperlink>
      <w:r>
        <w:t xml:space="preserve">; memory is the platform and can be swapped independently of the application.</w:t>
      </w:r>
    </w:p>
    <w:bookmarkEnd w:id="25"/>
    <w:bookmarkStart w:id="29" w:name="component-diagram-description"/>
    <w:p>
      <w:pPr>
        <w:pStyle w:val="Heading2"/>
      </w:pPr>
      <w:r>
        <w:t xml:space="preserve">Component Diagram Description</w:t>
      </w:r>
    </w:p>
    <w:p>
      <w:pPr>
        <w:pStyle w:val="FirstParagraph"/>
      </w:pPr>
      <w:r>
        <w:t xml:space="preserve">The provisional component diagram (not shown) contains the following major components and interactions:</w:t>
      </w:r>
    </w:p>
    <w:p>
      <w:pPr>
        <w:pStyle w:val="Compact"/>
        <w:numPr>
          <w:ilvl w:val="0"/>
          <w:numId w:val="1003"/>
        </w:numPr>
      </w:pPr>
      <w:r>
        <w:rPr>
          <w:b/>
          <w:bCs/>
        </w:rPr>
        <w:t xml:space="preserve">Client applications</w:t>
      </w:r>
      <w:r>
        <w:t xml:space="preserve"> </w:t>
      </w:r>
      <w:r>
        <w:t xml:space="preserve">– web and mobile apps built with a reactive framework (e.g., React Native). Clients render modules, collect answers, display AI interpretations, and provide accessibility features.</w:t>
      </w:r>
    </w:p>
    <w:p>
      <w:pPr>
        <w:pStyle w:val="Compact"/>
        <w:numPr>
          <w:ilvl w:val="0"/>
          <w:numId w:val="1003"/>
        </w:numPr>
      </w:pPr>
      <w:r>
        <w:rPr>
          <w:b/>
          <w:bCs/>
        </w:rPr>
        <w:t xml:space="preserve">API Gateway</w:t>
      </w:r>
      <w:r>
        <w:t xml:space="preserve"> </w:t>
      </w:r>
      <w:r>
        <w:t xml:space="preserve">– single entry point that performs authentication/authorization, throttling, request routing and schema validation. It exposes both REST and GraphQL endpoints for clients and enforces CORS.</w:t>
      </w:r>
    </w:p>
    <w:p>
      <w:pPr>
        <w:pStyle w:val="Compact"/>
        <w:numPr>
          <w:ilvl w:val="0"/>
          <w:numId w:val="1003"/>
        </w:numPr>
      </w:pPr>
      <w:r>
        <w:rPr>
          <w:b/>
          <w:bCs/>
        </w:rPr>
        <w:t xml:space="preserve">Auth Service</w:t>
      </w:r>
      <w:r>
        <w:t xml:space="preserve"> </w:t>
      </w:r>
      <w:r>
        <w:t xml:space="preserve">– handles user registration, login, multi‑factor authentication and session management. Supports OAuth/OIDC and stores hashed credentials.</w:t>
      </w:r>
    </w:p>
    <w:p>
      <w:pPr>
        <w:pStyle w:val="Compact"/>
        <w:numPr>
          <w:ilvl w:val="0"/>
          <w:numId w:val="1003"/>
        </w:numPr>
      </w:pPr>
      <w:r>
        <w:rPr>
          <w:b/>
          <w:bCs/>
        </w:rPr>
        <w:t xml:space="preserve">Consent Service</w:t>
      </w:r>
      <w:r>
        <w:t xml:space="preserve"> </w:t>
      </w:r>
      <w:r>
        <w:t xml:space="preserve">– stores consent records (timestamps, scopes, jurisdictions). All memory writes, reads and AI retrieval calls check the consent service to verify scope.</w:t>
      </w:r>
    </w:p>
    <w:p>
      <w:pPr>
        <w:pStyle w:val="Compact"/>
        <w:numPr>
          <w:ilvl w:val="0"/>
          <w:numId w:val="1003"/>
        </w:numPr>
      </w:pPr>
      <w:r>
        <w:rPr>
          <w:b/>
          <w:bCs/>
        </w:rPr>
        <w:t xml:space="preserve">Module Engine</w:t>
      </w:r>
      <w:r>
        <w:t xml:space="preserve"> </w:t>
      </w:r>
      <w:r>
        <w:t xml:space="preserve">– orchestrates the seven modules. It retrieves module definitions from the database, sequences question sets and persists user progress.</w:t>
      </w:r>
    </w:p>
    <w:p>
      <w:pPr>
        <w:pStyle w:val="Compact"/>
        <w:numPr>
          <w:ilvl w:val="0"/>
          <w:numId w:val="1003"/>
        </w:numPr>
      </w:pPr>
      <w:r>
        <w:rPr>
          <w:b/>
          <w:bCs/>
        </w:rPr>
        <w:t xml:space="preserve">Question Engine</w:t>
      </w:r>
      <w:r>
        <w:t xml:space="preserve"> </w:t>
      </w:r>
      <w:r>
        <w:t xml:space="preserve">– manages question banks, question logic and scoring. It queries the Module Engine to know which questions to present next and sends answer data to the AI interpreter.</w:t>
      </w:r>
    </w:p>
    <w:p>
      <w:pPr>
        <w:pStyle w:val="Compact"/>
        <w:numPr>
          <w:ilvl w:val="0"/>
          <w:numId w:val="1003"/>
        </w:numPr>
      </w:pPr>
      <w:r>
        <w:rPr>
          <w:b/>
          <w:bCs/>
        </w:rPr>
        <w:t xml:space="preserve">AI Interpretation Service</w:t>
      </w:r>
      <w:r>
        <w:t xml:space="preserve"> </w:t>
      </w:r>
      <w:r>
        <w:t xml:space="preserve">– packages user answers and context, calls the external LLM via the AI Orchestrator, validates the response schema and returns draft interpretations. It ensures outputs comply with the non‑clinical scope (no therapy, diagnosis or legal/financial advice).</w:t>
      </w:r>
    </w:p>
    <w:p>
      <w:pPr>
        <w:pStyle w:val="Compact"/>
        <w:numPr>
          <w:ilvl w:val="0"/>
          <w:numId w:val="1003"/>
        </w:numPr>
      </w:pPr>
      <w:r>
        <w:rPr>
          <w:b/>
          <w:bCs/>
        </w:rPr>
        <w:t xml:space="preserve">Memory Service</w:t>
      </w:r>
      <w:r>
        <w:t xml:space="preserve"> </w:t>
      </w:r>
      <w:r>
        <w:t xml:space="preserve">– persists long‑term memory entries (summaries, interpretations, user notes) and ensures separation between temporary context and long‑term memory. It tags entries with provenance and expiration metadata and validates content before storage, reflecting best practices to treat memory as infrastructure with validation and expiration policies</w:t>
      </w:r>
      <w:hyperlink r:id="rId26">
        <w:r>
          <w:rPr>
            <w:rStyle w:val="Hyperlink"/>
          </w:rPr>
          <w:t xml:space="preserve">[2]</w:t>
        </w:r>
      </w:hyperlink>
      <w:r>
        <w:t xml:space="preserve">.</w:t>
      </w:r>
    </w:p>
    <w:p>
      <w:pPr>
        <w:pStyle w:val="Compact"/>
        <w:numPr>
          <w:ilvl w:val="0"/>
          <w:numId w:val="1003"/>
        </w:numPr>
      </w:pPr>
      <w:r>
        <w:rPr>
          <w:b/>
          <w:bCs/>
        </w:rPr>
        <w:t xml:space="preserve">Vector/Embedding Service</w:t>
      </w:r>
      <w:r>
        <w:t xml:space="preserve"> </w:t>
      </w:r>
      <w:r>
        <w:t xml:space="preserve">– creates embeddings for approved memory entries using an embedding model and stores them in a vector database. It manages namespaces per user and ensures that deleted or rejected memories are removed from embeddings and indexes.</w:t>
      </w:r>
    </w:p>
    <w:p>
      <w:pPr>
        <w:pStyle w:val="Compact"/>
        <w:numPr>
          <w:ilvl w:val="0"/>
          <w:numId w:val="1003"/>
        </w:numPr>
      </w:pPr>
      <w:r>
        <w:rPr>
          <w:b/>
          <w:bCs/>
        </w:rPr>
        <w:t xml:space="preserve">Today Directive Engine</w:t>
      </w:r>
      <w:r>
        <w:t xml:space="preserve"> </w:t>
      </w:r>
      <w:r>
        <w:t xml:space="preserve">– runs scheduled jobs that generate daily directives based on memory retrieval and calendar alignment. It uses only confirmed, non‑deleted memory and tags directives with sources.</w:t>
      </w:r>
    </w:p>
    <w:p>
      <w:pPr>
        <w:pStyle w:val="Compact"/>
        <w:numPr>
          <w:ilvl w:val="0"/>
          <w:numId w:val="1003"/>
        </w:numPr>
      </w:pPr>
      <w:r>
        <w:rPr>
          <w:b/>
          <w:bCs/>
        </w:rPr>
        <w:t xml:space="preserve">Ask AI Engine</w:t>
      </w:r>
      <w:r>
        <w:t xml:space="preserve"> </w:t>
      </w:r>
      <w:r>
        <w:t xml:space="preserve">– interactive decision advisor. It receives user queries, retrieves relevant memory via the vector service, calls the AI Orchestrator, and returns schema‑validated advice. It flags queries requiring safety review and uses content warnings when necessary.</w:t>
      </w:r>
    </w:p>
    <w:p>
      <w:pPr>
        <w:pStyle w:val="Compact"/>
        <w:numPr>
          <w:ilvl w:val="0"/>
          <w:numId w:val="1003"/>
        </w:numPr>
      </w:pPr>
      <w:r>
        <w:rPr>
          <w:b/>
          <w:bCs/>
        </w:rPr>
        <w:t xml:space="preserve">Calendar Alignment Module</w:t>
      </w:r>
      <w:r>
        <w:t xml:space="preserve"> </w:t>
      </w:r>
      <w:r>
        <w:t xml:space="preserve">– integrates with user calendars (read‑only) and suggests alignments. It never writes back automatically and always requests confirmation.</w:t>
      </w:r>
    </w:p>
    <w:p>
      <w:pPr>
        <w:pStyle w:val="Compact"/>
        <w:numPr>
          <w:ilvl w:val="0"/>
          <w:numId w:val="1003"/>
        </w:numPr>
      </w:pPr>
      <w:r>
        <w:rPr>
          <w:b/>
          <w:bCs/>
        </w:rPr>
        <w:t xml:space="preserve">Review Module</w:t>
      </w:r>
      <w:r>
        <w:t xml:space="preserve"> </w:t>
      </w:r>
      <w:r>
        <w:t xml:space="preserve">– schedules periodic review sessions (e.g., weekly) to assess past activities, memory entries and directives. It surfaces suggested improvements and collects user feedback.</w:t>
      </w:r>
    </w:p>
    <w:p>
      <w:pPr>
        <w:pStyle w:val="Compact"/>
        <w:numPr>
          <w:ilvl w:val="0"/>
          <w:numId w:val="1003"/>
        </w:numPr>
      </w:pPr>
      <w:r>
        <w:rPr>
          <w:b/>
          <w:bCs/>
        </w:rPr>
        <w:t xml:space="preserve">Safety Service</w:t>
      </w:r>
      <w:r>
        <w:t xml:space="preserve"> </w:t>
      </w:r>
      <w:r>
        <w:t xml:space="preserve">– performs content safety classification and prompt checking before calls to the LLM and before storage. It uses a layered safety architecture combining domain‑aligned model training with an independent classifier to detect suicidality/self‑harm/unsafe content, reflecting recommendations that layered safety (model plus independent classifier) reduces false negatives</w:t>
      </w:r>
      <w:hyperlink r:id="rId27">
        <w:r>
          <w:rPr>
            <w:rStyle w:val="Hyperlink"/>
          </w:rPr>
          <w:t xml:space="preserve">[3]</w:t>
        </w:r>
      </w:hyperlink>
      <w:r>
        <w:t xml:space="preserve">. It triggers crisis protocols when necessary and surfaces de‑escalation messages.</w:t>
      </w:r>
    </w:p>
    <w:p>
      <w:pPr>
        <w:pStyle w:val="Compact"/>
        <w:numPr>
          <w:ilvl w:val="0"/>
          <w:numId w:val="1003"/>
        </w:numPr>
      </w:pPr>
      <w:r>
        <w:rPr>
          <w:b/>
          <w:bCs/>
        </w:rPr>
        <w:t xml:space="preserve">Export/Deletion Service</w:t>
      </w:r>
      <w:r>
        <w:t xml:space="preserve"> </w:t>
      </w:r>
      <w:r>
        <w:t xml:space="preserve">– implements data retention rules. It maps all locations of a user’s data (relational DB, object store, vector store, logs) and securely deletes upon request. It also provides export packages in structured formats.</w:t>
      </w:r>
    </w:p>
    <w:p>
      <w:pPr>
        <w:pStyle w:val="Compact"/>
        <w:numPr>
          <w:ilvl w:val="0"/>
          <w:numId w:val="1003"/>
        </w:numPr>
      </w:pPr>
      <w:r>
        <w:rPr>
          <w:b/>
          <w:bCs/>
        </w:rPr>
        <w:t xml:space="preserve">Audit Logging Service</w:t>
      </w:r>
      <w:r>
        <w:t xml:space="preserve"> </w:t>
      </w:r>
      <w:r>
        <w:t xml:space="preserve">– captures a tamper‑evident, chronological ledger of events (who accessed what, changes to data, AI calls, safety classifier results). The design follows the audit‑trail architecture: lightweight emitters emit events, append‑only storage ensures immutability, and an auditor interface enables querying</w:t>
      </w:r>
      <w:hyperlink r:id="rId28">
        <w:r>
          <w:rPr>
            <w:rStyle w:val="Hyperlink"/>
          </w:rPr>
          <w:t xml:space="preserve">[4]</w:t>
        </w:r>
      </w:hyperlink>
      <w:r>
        <w:t xml:space="preserve">. Each event is linked to governance metadata (e.g., consent, approvals).</w:t>
      </w:r>
    </w:p>
    <w:p>
      <w:pPr>
        <w:pStyle w:val="Compact"/>
        <w:numPr>
          <w:ilvl w:val="0"/>
          <w:numId w:val="1003"/>
        </w:numPr>
      </w:pPr>
      <w:r>
        <w:rPr>
          <w:b/>
          <w:bCs/>
        </w:rPr>
        <w:t xml:space="preserve">Monitoring &amp; Observability Stack</w:t>
      </w:r>
      <w:r>
        <w:t xml:space="preserve"> </w:t>
      </w:r>
      <w:r>
        <w:t xml:space="preserve">– collects metrics, logs and traces from all services. It adds AI‑specific observability instrumentation (e.g., memory retrieval events, prompt and response statistics, model latency) to support troubleshooting and evaluation. Observability ensures separation between AI behavior and infrastructure issues and may implement vertical‑slice captures for user‑reported incidents (capture client, network, server and LLM state simultaneously).</w:t>
      </w:r>
    </w:p>
    <w:p>
      <w:pPr>
        <w:pStyle w:val="Compact"/>
        <w:numPr>
          <w:ilvl w:val="0"/>
          <w:numId w:val="1003"/>
        </w:numPr>
      </w:pPr>
      <w:r>
        <w:rPr>
          <w:b/>
          <w:bCs/>
        </w:rPr>
        <w:t xml:space="preserve">Admin/Support Tools</w:t>
      </w:r>
      <w:r>
        <w:t xml:space="preserve"> </w:t>
      </w:r>
      <w:r>
        <w:t xml:space="preserve">– internal dashboards for support agents and administrators. They allow viewing user progress (subject to consent), resetting accounts, managing content moderation flags, and reviewing audit logs.</w:t>
      </w:r>
    </w:p>
    <w:p>
      <w:pPr>
        <w:pStyle w:val="Compact"/>
        <w:numPr>
          <w:ilvl w:val="0"/>
          <w:numId w:val="1003"/>
        </w:numPr>
      </w:pPr>
      <w:r>
        <w:rPr>
          <w:b/>
          <w:bCs/>
        </w:rPr>
        <w:t xml:space="preserve">CI/CD Pipeline</w:t>
      </w:r>
      <w:r>
        <w:t xml:space="preserve"> </w:t>
      </w:r>
      <w:r>
        <w:t xml:space="preserve">– automated pipeline for building, testing, evaluating and deploying services. It enforces code review, static analysis, dependency scanning, AI evaluation tests and canary deployments.</w:t>
      </w:r>
    </w:p>
    <w:p>
      <w:pPr>
        <w:pStyle w:val="Compact"/>
        <w:numPr>
          <w:ilvl w:val="0"/>
          <w:numId w:val="1003"/>
        </w:numPr>
      </w:pPr>
      <w:r>
        <w:rPr>
          <w:b/>
          <w:bCs/>
        </w:rPr>
        <w:t xml:space="preserve">Infrastructure Platform</w:t>
      </w:r>
      <w:r>
        <w:t xml:space="preserve"> </w:t>
      </w:r>
      <w:r>
        <w:t xml:space="preserve">– Kubernetes cluster with network segmentation (public, private, admin). Managed cloud services provide relational databases, object storage, vector databases and secret management.</w:t>
      </w:r>
    </w:p>
    <w:bookmarkEnd w:id="29"/>
    <w:bookmarkStart w:id="30" w:name="dataflow-diagram-description"/>
    <w:p>
      <w:pPr>
        <w:pStyle w:val="Heading2"/>
      </w:pPr>
      <w:r>
        <w:t xml:space="preserve">Data‑Flow Diagram Description</w:t>
      </w:r>
    </w:p>
    <w:p>
      <w:pPr>
        <w:pStyle w:val="FirstParagraph"/>
      </w:pPr>
      <w:r>
        <w:t xml:space="preserve">A narrative description of the data flow across the architecture (numbers correspond to the components above):</w:t>
      </w:r>
    </w:p>
    <w:p>
      <w:pPr>
        <w:pStyle w:val="Compact"/>
        <w:numPr>
          <w:ilvl w:val="0"/>
          <w:numId w:val="1004"/>
        </w:numPr>
      </w:pPr>
      <w:r>
        <w:rPr>
          <w:b/>
          <w:bCs/>
        </w:rPr>
        <w:t xml:space="preserve">User Interaction</w:t>
      </w:r>
      <w:r>
        <w:t xml:space="preserve"> </w:t>
      </w:r>
      <w:r>
        <w:t xml:space="preserve">– A user logs in (1) via the client app. The API Gateway (2) authenticates via the Auth service (3) and obtains a token containing the user ID and scopes. The client fetches module definitions from the Module Engine (5) and renders the UI.</w:t>
      </w:r>
    </w:p>
    <w:p>
      <w:pPr>
        <w:pStyle w:val="Compact"/>
        <w:numPr>
          <w:ilvl w:val="0"/>
          <w:numId w:val="1004"/>
        </w:numPr>
      </w:pPr>
      <w:r>
        <w:rPr>
          <w:b/>
          <w:bCs/>
        </w:rPr>
        <w:t xml:space="preserve">Answer Submission</w:t>
      </w:r>
      <w:r>
        <w:t xml:space="preserve"> </w:t>
      </w:r>
      <w:r>
        <w:t xml:space="preserve">– When the user answers a question, the client sends the answer to the Question Engine (6) via the API Gateway. The Question Engine stores the answer in the relational DB and publishes an event to the AI Interpretation Service (7).</w:t>
      </w:r>
    </w:p>
    <w:p>
      <w:pPr>
        <w:pStyle w:val="Compact"/>
        <w:numPr>
          <w:ilvl w:val="0"/>
          <w:numId w:val="1004"/>
        </w:numPr>
      </w:pPr>
      <w:r>
        <w:rPr>
          <w:b/>
          <w:bCs/>
        </w:rPr>
        <w:t xml:space="preserve">AI Interpretation</w:t>
      </w:r>
      <w:r>
        <w:t xml:space="preserve"> </w:t>
      </w:r>
      <w:r>
        <w:t xml:space="preserve">– The AI Interpretation Service assembles the context (question text, answer, relevant memory references) and calls the AI Orchestrator. The Safety Service (14) first inspects the input and ensures no harmful or crisis content. If safe, the AI Orchestrator calls the external LLM. The Safety Service again inspects the model’s output and, if safe and within scope, returns the draft interpretation to the client. If unsafe, the service returns a refusal or appropriate crisis escalation information.</w:t>
      </w:r>
    </w:p>
    <w:p>
      <w:pPr>
        <w:pStyle w:val="Compact"/>
        <w:numPr>
          <w:ilvl w:val="0"/>
          <w:numId w:val="1004"/>
        </w:numPr>
      </w:pPr>
      <w:r>
        <w:rPr>
          <w:b/>
          <w:bCs/>
        </w:rPr>
        <w:t xml:space="preserve">Memory Updates</w:t>
      </w:r>
      <w:r>
        <w:t xml:space="preserve"> </w:t>
      </w:r>
      <w:r>
        <w:t xml:space="preserve">– After user confirmation, the Memory Service (8) stores the interpretation and any user edits in the relational DB. The Vector/Embedding Service (9) generates embeddings for new entries and stores them in the vector database. The entry is tagged with expiry metadata and provenance. Deleted or rejected entries are not embedded and are recorded as rejected.</w:t>
      </w:r>
    </w:p>
    <w:p>
      <w:pPr>
        <w:pStyle w:val="Compact"/>
        <w:numPr>
          <w:ilvl w:val="0"/>
          <w:numId w:val="1004"/>
        </w:numPr>
      </w:pPr>
      <w:r>
        <w:rPr>
          <w:b/>
          <w:bCs/>
        </w:rPr>
        <w:t xml:space="preserve">Today Directive Generation</w:t>
      </w:r>
      <w:r>
        <w:t xml:space="preserve"> </w:t>
      </w:r>
      <w:r>
        <w:t xml:space="preserve">– The Today Directive Engine (10) periodically retrieves confirmed memory entries via the Memory and Vector services. It constructs prompts and uses the AI Orchestrator to draft daily directives. The Safety Service validates outputs. Directives are stored and delivered to the user at the scheduled time.</w:t>
      </w:r>
    </w:p>
    <w:p>
      <w:pPr>
        <w:pStyle w:val="Compact"/>
        <w:numPr>
          <w:ilvl w:val="0"/>
          <w:numId w:val="1004"/>
        </w:numPr>
      </w:pPr>
      <w:r>
        <w:rPr>
          <w:b/>
          <w:bCs/>
        </w:rPr>
        <w:t xml:space="preserve">Ask AI Queries</w:t>
      </w:r>
      <w:r>
        <w:t xml:space="preserve"> </w:t>
      </w:r>
      <w:r>
        <w:t xml:space="preserve">– When the user asks the AI, the Ask AI Engine (11) retrieves relevant memory via the Vector service, assembles the prompt, and calls the AI Orchestrator. Safety checks are performed before and after the call. The user receives schema‑validated advice.</w:t>
      </w:r>
    </w:p>
    <w:p>
      <w:pPr>
        <w:pStyle w:val="Compact"/>
        <w:numPr>
          <w:ilvl w:val="0"/>
          <w:numId w:val="1004"/>
        </w:numPr>
      </w:pPr>
      <w:r>
        <w:rPr>
          <w:b/>
          <w:bCs/>
        </w:rPr>
        <w:t xml:space="preserve">Calendar Alignment</w:t>
      </w:r>
      <w:r>
        <w:t xml:space="preserve"> </w:t>
      </w:r>
      <w:r>
        <w:t xml:space="preserve">– The Calendar Alignment Module (12) reads events from the user’s calendar (with the user’s consent). It uses memory retrieval and AI calls to suggest alignments between life commitments and personal goals. Suggestions are delivered via the client, and no write‑back occurs unless the user explicitly confirms.</w:t>
      </w:r>
    </w:p>
    <w:p>
      <w:pPr>
        <w:pStyle w:val="Compact"/>
        <w:numPr>
          <w:ilvl w:val="0"/>
          <w:numId w:val="1004"/>
        </w:numPr>
      </w:pPr>
      <w:r>
        <w:rPr>
          <w:b/>
          <w:bCs/>
        </w:rPr>
        <w:t xml:space="preserve">Review Sessions</w:t>
      </w:r>
      <w:r>
        <w:t xml:space="preserve"> </w:t>
      </w:r>
      <w:r>
        <w:t xml:space="preserve">– The Review Module (13) schedules reviews. It aggregates memory entries, directives and tasks and uses the AI Orchestrator to generate review summaries. The user can accept or edit summaries. Updated data flows back to the Memory Service and Vector Service as above.</w:t>
      </w:r>
    </w:p>
    <w:p>
      <w:pPr>
        <w:pStyle w:val="Compact"/>
        <w:numPr>
          <w:ilvl w:val="0"/>
          <w:numId w:val="1004"/>
        </w:numPr>
      </w:pPr>
      <w:r>
        <w:rPr>
          <w:b/>
          <w:bCs/>
        </w:rPr>
        <w:t xml:space="preserve">Safety and Crisis Flow</w:t>
      </w:r>
      <w:r>
        <w:t xml:space="preserve"> </w:t>
      </w:r>
      <w:r>
        <w:t xml:space="preserve">– If the Safety Service detects self‑harm or crisis content, it triggers a crisis escalation flow. The AI output includes crisis resources for the user’s jurisdiction, and the session is logged for further review. The Safety Service uses a layered safety classifier architecture so that the conversational model’s domain‑aligned training is complemented by an independent classifier</w:t>
      </w:r>
      <w:hyperlink r:id="rId27">
        <w:r>
          <w:rPr>
            <w:rStyle w:val="Hyperlink"/>
          </w:rPr>
          <w:t xml:space="preserve">[3]</w:t>
        </w:r>
      </w:hyperlink>
      <w:r>
        <w:t xml:space="preserve">.</w:t>
      </w:r>
    </w:p>
    <w:p>
      <w:pPr>
        <w:pStyle w:val="Compact"/>
        <w:numPr>
          <w:ilvl w:val="0"/>
          <w:numId w:val="1004"/>
        </w:numPr>
      </w:pPr>
      <w:r>
        <w:rPr>
          <w:b/>
          <w:bCs/>
        </w:rPr>
        <w:t xml:space="preserve">Export &amp; Deletion Requests</w:t>
      </w:r>
      <w:r>
        <w:t xml:space="preserve"> </w:t>
      </w:r>
      <w:r>
        <w:t xml:space="preserve">– When the user requests export or deletion, the client sends the request to the Export/Deletion Service (15). The service looks up all resources for the user across databases and the vector store, packages them for export, or issues deletion commands. Deleted memory is removed from all stores and cannot be retrieved by the AI.</w:t>
      </w:r>
    </w:p>
    <w:p>
      <w:pPr>
        <w:pStyle w:val="Compact"/>
        <w:numPr>
          <w:ilvl w:val="0"/>
          <w:numId w:val="1004"/>
        </w:numPr>
      </w:pPr>
      <w:r>
        <w:rPr>
          <w:b/>
          <w:bCs/>
        </w:rPr>
        <w:t xml:space="preserve">Audit Logging and Monitoring</w:t>
      </w:r>
      <w:r>
        <w:t xml:space="preserve"> </w:t>
      </w:r>
      <w:r>
        <w:t xml:space="preserve">– All significant events (auth events, consent updates, memory writes, AI calls, safety classifier decisions) emit logs to the Audit Logging Service (16) and Monitoring Stack (17). Audit logs are stored as an append‑only ledger with tamper‑evidence and context metadata, enabling later reconstruction</w:t>
      </w:r>
      <w:hyperlink r:id="rId28">
        <w:r>
          <w:rPr>
            <w:rStyle w:val="Hyperlink"/>
          </w:rPr>
          <w:t xml:space="preserve">[4]</w:t>
        </w:r>
      </w:hyperlink>
      <w:r>
        <w:t xml:space="preserve">. Monitoring collects metrics, logs and traces for operations and performance dashboards.</w:t>
      </w:r>
    </w:p>
    <w:bookmarkEnd w:id="30"/>
    <w:bookmarkStart w:id="31" w:name="frontend-architecture"/>
    <w:p>
      <w:pPr>
        <w:pStyle w:val="Heading2"/>
      </w:pPr>
      <w:r>
        <w:t xml:space="preserve">Frontend Architecture</w:t>
      </w:r>
    </w:p>
    <w:p>
      <w:pPr>
        <w:pStyle w:val="Compact"/>
        <w:numPr>
          <w:ilvl w:val="0"/>
          <w:numId w:val="1005"/>
        </w:numPr>
      </w:pPr>
      <w:r>
        <w:rPr>
          <w:b/>
          <w:bCs/>
        </w:rPr>
        <w:t xml:space="preserve">Framework and Design</w:t>
      </w:r>
      <w:r>
        <w:t xml:space="preserve">: The client uses a modern, cross‑platform framework (e.g., React Native or Flutter) to provide consistent Web and mobile experiences. The UI implements a clear design system with accessible color contrast, keyboard navigation and ARIA labels to meet WCAG 2.1 AA requirements. The codebase is internationalized and supports multiple languages.</w:t>
      </w:r>
    </w:p>
    <w:p>
      <w:pPr>
        <w:pStyle w:val="Compact"/>
        <w:numPr>
          <w:ilvl w:val="0"/>
          <w:numId w:val="1005"/>
        </w:numPr>
      </w:pPr>
      <w:r>
        <w:rPr>
          <w:b/>
          <w:bCs/>
        </w:rPr>
        <w:t xml:space="preserve">State Management</w:t>
      </w:r>
      <w:r>
        <w:t xml:space="preserve">: Local state is managed using a reactive store (e.g., Redux or Zustand). Sensitive data (e.g., memory entries) is not persisted in local storage; tokens are stored securely in encrypted storage.</w:t>
      </w:r>
    </w:p>
    <w:p>
      <w:pPr>
        <w:pStyle w:val="Compact"/>
        <w:numPr>
          <w:ilvl w:val="0"/>
          <w:numId w:val="1005"/>
        </w:numPr>
      </w:pPr>
      <w:r>
        <w:rPr>
          <w:b/>
          <w:bCs/>
        </w:rPr>
        <w:t xml:space="preserve">Network Layer</w:t>
      </w:r>
      <w:r>
        <w:t xml:space="preserve">: API calls are wrapped in typed services that perform optimistic updates and handle error states gracefully. The client uses websockets or server‑sent events for real‑time notifications (e.g., when Today Directive is ready).</w:t>
      </w:r>
    </w:p>
    <w:p>
      <w:pPr>
        <w:pStyle w:val="Compact"/>
        <w:numPr>
          <w:ilvl w:val="0"/>
          <w:numId w:val="1005"/>
        </w:numPr>
      </w:pPr>
      <w:r>
        <w:rPr>
          <w:b/>
          <w:bCs/>
        </w:rPr>
        <w:t xml:space="preserve">Accessibility</w:t>
      </w:r>
      <w:r>
        <w:t xml:space="preserve">: Font sizes are adjustable, voice narration is supported via screen‑reader integration, and the UI uses high‑contrast themes. The architecture anticipates integration with assistive devices (e.g., switch controls) once accessibility requirements are defined.</w:t>
      </w:r>
    </w:p>
    <w:bookmarkEnd w:id="31"/>
    <w:bookmarkStart w:id="32" w:name="backend-architecture"/>
    <w:p>
      <w:pPr>
        <w:pStyle w:val="Heading2"/>
      </w:pPr>
      <w:r>
        <w:t xml:space="preserve">Backend Architecture</w:t>
      </w:r>
    </w:p>
    <w:p>
      <w:pPr>
        <w:pStyle w:val="Compact"/>
        <w:numPr>
          <w:ilvl w:val="0"/>
          <w:numId w:val="1006"/>
        </w:numPr>
      </w:pPr>
      <w:r>
        <w:rPr>
          <w:b/>
          <w:bCs/>
        </w:rPr>
        <w:t xml:space="preserve">Microservices</w:t>
      </w:r>
      <w:r>
        <w:t xml:space="preserve">: Each component described above runs as its own containerized service. Services communicate via secure gRPC or REST over mTLS. Asynchronous communication for events (e.g., question answered, interpretation ready) uses a message bus (e.g., Kafka or RabbitMQ).</w:t>
      </w:r>
    </w:p>
    <w:p>
      <w:pPr>
        <w:pStyle w:val="Compact"/>
        <w:numPr>
          <w:ilvl w:val="0"/>
          <w:numId w:val="1006"/>
        </w:numPr>
      </w:pPr>
      <w:r>
        <w:rPr>
          <w:b/>
          <w:bCs/>
        </w:rPr>
        <w:t xml:space="preserve">API Gateway</w:t>
      </w:r>
      <w:r>
        <w:t xml:space="preserve">: The gateway terminates TLS, performs rate limiting, authentication and authorization, and routes to the correct service. It caches non‑personalized responses (e.g., static module definitions) and enforces JSON schema validation.</w:t>
      </w:r>
    </w:p>
    <w:p>
      <w:pPr>
        <w:pStyle w:val="Compact"/>
        <w:numPr>
          <w:ilvl w:val="0"/>
          <w:numId w:val="1006"/>
        </w:numPr>
      </w:pPr>
      <w:r>
        <w:rPr>
          <w:b/>
          <w:bCs/>
        </w:rPr>
        <w:t xml:space="preserve">Auth and Consent</w:t>
      </w:r>
      <w:r>
        <w:t xml:space="preserve">: A dedicated identity provider (e.g., Auth0, Cognito) provides OAuth/OIDC. The Consent service maintains a consent ledger per user; it is referenced via middleware so that no service can read or write user data without verifying consent. This ensures that the application cannot use any user memory without active confirmation, satisfying the requirement that there is no active memory without user confirmation.</w:t>
      </w:r>
    </w:p>
    <w:p>
      <w:pPr>
        <w:pStyle w:val="Compact"/>
        <w:numPr>
          <w:ilvl w:val="0"/>
          <w:numId w:val="1006"/>
        </w:numPr>
      </w:pPr>
      <w:r>
        <w:rPr>
          <w:b/>
          <w:bCs/>
        </w:rPr>
        <w:t xml:space="preserve">Service Orchestration</w:t>
      </w:r>
      <w:r>
        <w:t xml:space="preserve">: An</w:t>
      </w:r>
      <w:r>
        <w:t xml:space="preserve"> </w:t>
      </w:r>
      <w:r>
        <w:rPr>
          <w:b/>
          <w:bCs/>
        </w:rPr>
        <w:t xml:space="preserve">AI Orchestrator</w:t>
      </w:r>
      <w:r>
        <w:t xml:space="preserve"> </w:t>
      </w:r>
      <w:r>
        <w:t xml:space="preserve">service handles tool‑calling loops with the external LLM. It manages prompts, monitors tokens, enforces stop‑criteria, performs schema validation, and integrates the Safety Service for pre‑ and post‑call checks. The orchestrator ensures that retrieval content is treated as untrusted and is sanitized.</w:t>
      </w:r>
    </w:p>
    <w:p>
      <w:pPr>
        <w:pStyle w:val="Compact"/>
        <w:numPr>
          <w:ilvl w:val="0"/>
          <w:numId w:val="1006"/>
        </w:numPr>
      </w:pPr>
      <w:r>
        <w:rPr>
          <w:b/>
          <w:bCs/>
        </w:rPr>
        <w:t xml:space="preserve">Databases</w:t>
      </w:r>
      <w:r>
        <w:t xml:space="preserve">: A relational DB (PostgreSQL) stores user accounts, module progress, question and answer data, consent records, and metadata. A document store (e.g., DynamoDB or MongoDB) holds larger, unstructured AI outputs. Object storage holds audio or attachments. All data stores use encryption at rest and in transit. Role‑based access control restricts service access to only needed data.</w:t>
      </w:r>
    </w:p>
    <w:bookmarkEnd w:id="32"/>
    <w:bookmarkStart w:id="33" w:name="databasestorage-architecture"/>
    <w:p>
      <w:pPr>
        <w:pStyle w:val="Heading2"/>
      </w:pPr>
      <w:r>
        <w:t xml:space="preserve">Database/Storage Architecture</w:t>
      </w:r>
    </w:p>
    <w:p>
      <w:pPr>
        <w:pStyle w:val="Compact"/>
        <w:numPr>
          <w:ilvl w:val="0"/>
          <w:numId w:val="1007"/>
        </w:numPr>
      </w:pPr>
      <w:r>
        <w:rPr>
          <w:b/>
          <w:bCs/>
        </w:rPr>
        <w:t xml:space="preserve">Relational Database</w:t>
      </w:r>
      <w:r>
        <w:t xml:space="preserve">: The schema includes tables for Users, Modules, Questions, Answers, Interpretations, MemoryEntries, ConsentRecords, AuditEvents and Settings. Each entry uses a UUID. AuditEvents reference the user, event type, timestamp and metadata. Row‑level security restricts queries to the authenticated user.</w:t>
      </w:r>
    </w:p>
    <w:p>
      <w:pPr>
        <w:pStyle w:val="Compact"/>
        <w:numPr>
          <w:ilvl w:val="0"/>
          <w:numId w:val="1007"/>
        </w:numPr>
      </w:pPr>
      <w:r>
        <w:rPr>
          <w:b/>
          <w:bCs/>
        </w:rPr>
        <w:t xml:space="preserve">Vector Store</w:t>
      </w:r>
      <w:r>
        <w:t xml:space="preserve">: Memory entries with user‑confirmed content are embedded into high‑dimensional vectors. Each embedding record stores the user ID, memory ID, vector, metadata (tags, timestamps, expiry, sensitivity) and deletion flag. The vector DB supports namespace separation; embeddings for a user are isolated. When an entry is deleted or rejected, the vector entry is removed to honour “no rejected/deleted memory in prompts or retrieval” (hard constraints).</w:t>
      </w:r>
    </w:p>
    <w:p>
      <w:pPr>
        <w:pStyle w:val="Compact"/>
        <w:numPr>
          <w:ilvl w:val="0"/>
          <w:numId w:val="1007"/>
        </w:numPr>
      </w:pPr>
      <w:r>
        <w:rPr>
          <w:b/>
          <w:bCs/>
        </w:rPr>
        <w:t xml:space="preserve">Time‑Series &amp; Logs</w:t>
      </w:r>
      <w:r>
        <w:t xml:space="preserve">: A time‑series database (e.g., Prometheus) stores metrics. Logs are written to a central log store (e.g., Elasticsearch or Splunk) with index lifecycle management.</w:t>
      </w:r>
    </w:p>
    <w:p>
      <w:pPr>
        <w:pStyle w:val="Compact"/>
        <w:numPr>
          <w:ilvl w:val="0"/>
          <w:numId w:val="1007"/>
        </w:numPr>
      </w:pPr>
      <w:r>
        <w:rPr>
          <w:b/>
          <w:bCs/>
        </w:rPr>
        <w:t xml:space="preserve">Backups</w:t>
      </w:r>
      <w:r>
        <w:t xml:space="preserve">: Automated backups for relational and vector databases run daily, with encryption and retention for a limited period (e.g., 30 days). Backups are stored in a separate account. Soft‑delete mechanisms ensure accidental deletion can be recovered within a retention window.</w:t>
      </w:r>
    </w:p>
    <w:bookmarkEnd w:id="33"/>
    <w:bookmarkStart w:id="34" w:name="vectorembedding-architecture"/>
    <w:p>
      <w:pPr>
        <w:pStyle w:val="Heading2"/>
      </w:pPr>
      <w:r>
        <w:t xml:space="preserve">Vector/Embedding Architecture</w:t>
      </w:r>
    </w:p>
    <w:p>
      <w:pPr>
        <w:pStyle w:val="Compact"/>
        <w:numPr>
          <w:ilvl w:val="0"/>
          <w:numId w:val="1008"/>
        </w:numPr>
      </w:pPr>
      <w:r>
        <w:rPr>
          <w:b/>
          <w:bCs/>
        </w:rPr>
        <w:t xml:space="preserve">Embedding Generation</w:t>
      </w:r>
      <w:r>
        <w:t xml:space="preserve">: When a MemoryEntry is confirmed, the Vector/Embedding service calls the embedding API of a model (e.g., OpenAI embedding). It chunkifies long entries, tags each chunk with origin and sensitivity metadata, and writes it into the vector store.</w:t>
      </w:r>
    </w:p>
    <w:p>
      <w:pPr>
        <w:pStyle w:val="Compact"/>
        <w:numPr>
          <w:ilvl w:val="0"/>
          <w:numId w:val="1008"/>
        </w:numPr>
      </w:pPr>
      <w:r>
        <w:rPr>
          <w:b/>
          <w:bCs/>
        </w:rPr>
        <w:t xml:space="preserve">Retrieval</w:t>
      </w:r>
      <w:r>
        <w:t xml:space="preserve">: Query services (Today Directive, Ask AI) request similarity search from the vector store. Results are filtered by consent scopes and deletion flags; untrusted retrieval content is passed through the Safety Service before inclusion in prompts.</w:t>
      </w:r>
    </w:p>
    <w:p>
      <w:pPr>
        <w:pStyle w:val="Compact"/>
        <w:numPr>
          <w:ilvl w:val="0"/>
          <w:numId w:val="1008"/>
        </w:numPr>
      </w:pPr>
      <w:r>
        <w:rPr>
          <w:b/>
          <w:bCs/>
        </w:rPr>
        <w:t xml:space="preserve">Expiry &amp; Validation</w:t>
      </w:r>
      <w:r>
        <w:t xml:space="preserve">: Each embedding record has an expiry timestamp. A scheduled job purges expired embeddings. Validation ensures that the content does not include raw sensitive narratives and that memory poisoning is mitigated by scanning for malicious instructions and harmful content before embedding, aligning with guidelines to validate persistent memories and enforce expiration</w:t>
      </w:r>
      <w:hyperlink r:id="rId26">
        <w:r>
          <w:rPr>
            <w:rStyle w:val="Hyperlink"/>
          </w:rPr>
          <w:t xml:space="preserve">[2]</w:t>
        </w:r>
      </w:hyperlink>
      <w:r>
        <w:t xml:space="preserve">.</w:t>
      </w:r>
    </w:p>
    <w:bookmarkEnd w:id="34"/>
    <w:bookmarkStart w:id="35" w:name="ai-orchestration-architecture"/>
    <w:p>
      <w:pPr>
        <w:pStyle w:val="Heading2"/>
      </w:pPr>
      <w:r>
        <w:t xml:space="preserve">AI Orchestration Architecture</w:t>
      </w:r>
    </w:p>
    <w:p>
      <w:pPr>
        <w:pStyle w:val="Compact"/>
        <w:numPr>
          <w:ilvl w:val="0"/>
          <w:numId w:val="1009"/>
        </w:numPr>
      </w:pPr>
      <w:r>
        <w:rPr>
          <w:b/>
          <w:bCs/>
        </w:rPr>
        <w:t xml:space="preserve">Prompts &amp; Tools</w:t>
      </w:r>
      <w:r>
        <w:t xml:space="preserve">: The orchestrator assembles prompts using system instructions that forbid therapy, diagnosis, legal or financial advice (hard constraints). It includes only confirmed memory and current context. It uses function‑calling to instruct the model to output JSON conforming to internal schemas; outputs are validated before use.</w:t>
      </w:r>
    </w:p>
    <w:p>
      <w:pPr>
        <w:pStyle w:val="Compact"/>
        <w:numPr>
          <w:ilvl w:val="0"/>
          <w:numId w:val="1009"/>
        </w:numPr>
      </w:pPr>
      <w:r>
        <w:rPr>
          <w:b/>
          <w:bCs/>
        </w:rPr>
        <w:t xml:space="preserve">Tool Loop</w:t>
      </w:r>
      <w:r>
        <w:t xml:space="preserve">: For complex tasks (e.g., Ask AI), the orchestrator enters an agent loop: call model → parse output → call relevant tool (e.g., vector search, calendar read) → assemble new prompt → repeat until completion or maximum iterations. The orchestrator ensures each iteration is logged.</w:t>
      </w:r>
    </w:p>
    <w:p>
      <w:pPr>
        <w:pStyle w:val="Compact"/>
        <w:numPr>
          <w:ilvl w:val="0"/>
          <w:numId w:val="1009"/>
        </w:numPr>
      </w:pPr>
      <w:r>
        <w:rPr>
          <w:b/>
          <w:bCs/>
        </w:rPr>
        <w:t xml:space="preserve">Safety Integration</w:t>
      </w:r>
      <w:r>
        <w:t xml:space="preserve">: Before sending prompts or returning outputs, the orchestrator consults the Safety Service to filter harmful input and output. It uses layered safety architecture with an independent classifier to detect crisis content and triggers escalation when necessary</w:t>
      </w:r>
      <w:hyperlink r:id="rId27">
        <w:r>
          <w:rPr>
            <w:rStyle w:val="Hyperlink"/>
          </w:rPr>
          <w:t xml:space="preserve">[3]</w:t>
        </w:r>
      </w:hyperlink>
      <w:r>
        <w:t xml:space="preserve">.</w:t>
      </w:r>
    </w:p>
    <w:p>
      <w:pPr>
        <w:pStyle w:val="Compact"/>
        <w:numPr>
          <w:ilvl w:val="0"/>
          <w:numId w:val="1009"/>
        </w:numPr>
      </w:pPr>
      <w:r>
        <w:rPr>
          <w:b/>
          <w:bCs/>
        </w:rPr>
        <w:t xml:space="preserve">Evaluation Hooks</w:t>
      </w:r>
      <w:r>
        <w:t xml:space="preserve">: The orchestrator logs prompts and responses (with redaction of personal data) for offline evaluation. It integrates evaluation metrics defined in the AI evaluation plan.</w:t>
      </w:r>
    </w:p>
    <w:bookmarkEnd w:id="35"/>
    <w:bookmarkStart w:id="36" w:name="safety-classifier-architecture"/>
    <w:p>
      <w:pPr>
        <w:pStyle w:val="Heading2"/>
      </w:pPr>
      <w:r>
        <w:t xml:space="preserve">Safety Classifier Architecture</w:t>
      </w:r>
    </w:p>
    <w:p>
      <w:pPr>
        <w:pStyle w:val="Compact"/>
        <w:numPr>
          <w:ilvl w:val="0"/>
          <w:numId w:val="1010"/>
        </w:numPr>
      </w:pPr>
      <w:r>
        <w:rPr>
          <w:b/>
          <w:bCs/>
        </w:rPr>
        <w:t xml:space="preserve">Layered Safety</w:t>
      </w:r>
      <w:r>
        <w:t xml:space="preserve">: Based on research showing that combining a domain‑aligned conversational model with an independent self‑harm classifier reduces false negatives</w:t>
      </w:r>
      <w:hyperlink r:id="rId27">
        <w:r>
          <w:rPr>
            <w:rStyle w:val="Hyperlink"/>
          </w:rPr>
          <w:t xml:space="preserve">[3]</w:t>
        </w:r>
      </w:hyperlink>
      <w:r>
        <w:t xml:space="preserve">, the Safety Service uses a two‑layer approach:</w:t>
      </w:r>
    </w:p>
    <w:p>
      <w:pPr>
        <w:pStyle w:val="Compact"/>
        <w:numPr>
          <w:ilvl w:val="0"/>
          <w:numId w:val="1010"/>
        </w:numPr>
      </w:pPr>
      <w:r>
        <w:rPr>
          <w:b/>
          <w:bCs/>
        </w:rPr>
        <w:t xml:space="preserve">Domain‑aligned LLM</w:t>
      </w:r>
      <w:r>
        <w:t xml:space="preserve">: The base model is fine‑tuned on curated, non‑clinical educational data to avoid unsafe content and is configured with conservative parameters (temperature, penalty). It is prompt‑engineered to avoid therapy/diagnosis and to provide empathetic, non‑directive language.</w:t>
      </w:r>
    </w:p>
    <w:p>
      <w:pPr>
        <w:numPr>
          <w:ilvl w:val="0"/>
          <w:numId w:val="1010"/>
        </w:numPr>
      </w:pPr>
      <w:r>
        <w:rPr>
          <w:b/>
          <w:bCs/>
        </w:rPr>
        <w:t xml:space="preserve">Independent Classifier</w:t>
      </w:r>
      <w:r>
        <w:t xml:space="preserve">: A separate classifier (e.g., logistic regression or small LLM) detects suicide/self‑harm, substance use, child safety or other prohibited content. It runs on all user prompts and model outputs. The classifier is tuned for high recall; flagged content triggers crisis protocols and human review.</w:t>
      </w:r>
    </w:p>
    <w:p>
      <w:pPr>
        <w:numPr>
          <w:ilvl w:val="0"/>
          <w:numId w:val="1010"/>
        </w:numPr>
      </w:pPr>
      <w:r>
        <w:rPr>
          <w:b/>
          <w:bCs/>
        </w:rPr>
        <w:t xml:space="preserve">Crisis Escalation</w:t>
      </w:r>
      <w:r>
        <w:t xml:space="preserve">: When flagged, the system supplies appropriate crisis resources for the user’s locale and logs the event. It does not produce further AI advice. Crisis localisation is configured through a table mapping locales to helpline numbers.</w:t>
      </w:r>
    </w:p>
    <w:p>
      <w:pPr>
        <w:pStyle w:val="Compact"/>
        <w:numPr>
          <w:ilvl w:val="0"/>
          <w:numId w:val="1010"/>
        </w:numPr>
      </w:pPr>
      <w:r>
        <w:rPr>
          <w:b/>
          <w:bCs/>
        </w:rPr>
        <w:t xml:space="preserve">Prompt Injection Defence</w:t>
      </w:r>
      <w:r>
        <w:t xml:space="preserve">: The Safety Service also scans prompts for prompt injection patterns and uses rules to strip malicious instructions. It enforces that retrieval content is untrusted and sanitized.</w:t>
      </w:r>
    </w:p>
    <w:bookmarkEnd w:id="36"/>
    <w:bookmarkStart w:id="37" w:name="consent-enforcement-architecture"/>
    <w:p>
      <w:pPr>
        <w:pStyle w:val="Heading2"/>
      </w:pPr>
      <w:r>
        <w:t xml:space="preserve">Consent Enforcement Architecture</w:t>
      </w:r>
    </w:p>
    <w:p>
      <w:pPr>
        <w:pStyle w:val="Compact"/>
        <w:numPr>
          <w:ilvl w:val="0"/>
          <w:numId w:val="1011"/>
        </w:numPr>
      </w:pPr>
      <w:r>
        <w:rPr>
          <w:b/>
          <w:bCs/>
        </w:rPr>
        <w:t xml:space="preserve">Consent Ledger</w:t>
      </w:r>
      <w:r>
        <w:t xml:space="preserve">: Each user has a ledger of consent items: modules consented to, data types authorized (questions, answers, memory, calendar), and purposes (analysis, directive generation). The ledger records timestamp, jurisdiction and version.</w:t>
      </w:r>
    </w:p>
    <w:p>
      <w:pPr>
        <w:pStyle w:val="Compact"/>
        <w:numPr>
          <w:ilvl w:val="0"/>
          <w:numId w:val="1011"/>
        </w:numPr>
      </w:pPr>
      <w:r>
        <w:rPr>
          <w:b/>
          <w:bCs/>
        </w:rPr>
        <w:t xml:space="preserve">Access Enforcement</w:t>
      </w:r>
      <w:r>
        <w:t xml:space="preserve">: A middleware reads the consent ledger on every data access or AI call. If a requested scope is not consented, the request is refused. Memory retrieval checks a</w:t>
      </w:r>
      <w:r>
        <w:t xml:space="preserve"> </w:t>
      </w:r>
      <w:r>
        <w:rPr>
          <w:rStyle w:val="VerbatimChar"/>
        </w:rPr>
        <w:t xml:space="preserve">deleted</w:t>
      </w:r>
      <w:r>
        <w:t xml:space="preserve"> </w:t>
      </w:r>
      <w:r>
        <w:t xml:space="preserve">flag and excludes rejected or deleted memories from queries. Consent is required again if the user edits the memory or changes the scope. No data is used for training or evaluation unless explicitly consented.</w:t>
      </w:r>
    </w:p>
    <w:p>
      <w:pPr>
        <w:pStyle w:val="Compact"/>
        <w:numPr>
          <w:ilvl w:val="0"/>
          <w:numId w:val="1011"/>
        </w:numPr>
      </w:pPr>
      <w:r>
        <w:rPr>
          <w:b/>
          <w:bCs/>
        </w:rPr>
        <w:t xml:space="preserve">Versioned Terms</w:t>
      </w:r>
      <w:r>
        <w:t xml:space="preserve">: When terms change, users must re‑consent. Past data continues under old terms until deletion or expiry.</w:t>
      </w:r>
    </w:p>
    <w:bookmarkEnd w:id="37"/>
    <w:bookmarkStart w:id="39" w:name="deletionexport-architecture"/>
    <w:p>
      <w:pPr>
        <w:pStyle w:val="Heading2"/>
      </w:pPr>
      <w:r>
        <w:t xml:space="preserve">Deletion/Export Architecture</w:t>
      </w:r>
    </w:p>
    <w:p>
      <w:pPr>
        <w:pStyle w:val="Compact"/>
        <w:numPr>
          <w:ilvl w:val="0"/>
          <w:numId w:val="1012"/>
        </w:numPr>
      </w:pPr>
      <w:r>
        <w:rPr>
          <w:b/>
          <w:bCs/>
        </w:rPr>
        <w:t xml:space="preserve">Data Mapping</w:t>
      </w:r>
      <w:r>
        <w:t xml:space="preserve">: The Export/Deletion service maintains a map of all tables and stores containing user data. On deletion, it issues transactions to remove rows (or mark as deleted with tombstones) in relational and document databases, remove vectors from the vector store, delete files from object storage and remove any cache entries. For audit‑log integrity, deletion logs a tombstone rather than removing events.</w:t>
      </w:r>
    </w:p>
    <w:p>
      <w:pPr>
        <w:pStyle w:val="Compact"/>
        <w:numPr>
          <w:ilvl w:val="0"/>
          <w:numId w:val="1012"/>
        </w:numPr>
      </w:pPr>
      <w:r>
        <w:rPr>
          <w:b/>
          <w:bCs/>
        </w:rPr>
        <w:t xml:space="preserve">Retention Policies</w:t>
      </w:r>
      <w:r>
        <w:t xml:space="preserve">: Deletion is governed by retention policies informed by AI data retention guidelines</w:t>
      </w:r>
      <w:r>
        <w:t xml:space="preserve"> </w:t>
      </w:r>
      <w:hyperlink r:id="rId38">
        <w:r>
          <w:rPr>
            <w:rStyle w:val="Hyperlink"/>
          </w:rPr>
          <w:t xml:space="preserve">[5]</w:t>
        </w:r>
      </w:hyperlink>
      <w:r>
        <w:t xml:space="preserve">. For example, temporary logs may be kept for 30 days for troubleshooting, but memory content can be deleted immediately at user request. Deletion triggers downstream deletion in backups through retention configurations.</w:t>
      </w:r>
    </w:p>
    <w:p>
      <w:pPr>
        <w:pStyle w:val="Compact"/>
        <w:numPr>
          <w:ilvl w:val="0"/>
          <w:numId w:val="1012"/>
        </w:numPr>
      </w:pPr>
      <w:r>
        <w:rPr>
          <w:b/>
          <w:bCs/>
        </w:rPr>
        <w:t xml:space="preserve">Export</w:t>
      </w:r>
      <w:r>
        <w:t xml:space="preserve">: When exporting, the service compiles user data into a machine‑readable bundle (e.g., JSON/CSV) with descriptions. Sensitive fields are encrypted. The service ensures not to export AI system prompts or hidden system messages.</w:t>
      </w:r>
    </w:p>
    <w:bookmarkEnd w:id="39"/>
    <w:bookmarkStart w:id="40" w:name="audit-logging-architecture"/>
    <w:p>
      <w:pPr>
        <w:pStyle w:val="Heading2"/>
      </w:pPr>
      <w:r>
        <w:t xml:space="preserve">Audit Logging Architecture</w:t>
      </w:r>
    </w:p>
    <w:p>
      <w:pPr>
        <w:pStyle w:val="Compact"/>
        <w:numPr>
          <w:ilvl w:val="0"/>
          <w:numId w:val="1013"/>
        </w:numPr>
      </w:pPr>
      <w:r>
        <w:rPr>
          <w:b/>
          <w:bCs/>
        </w:rPr>
        <w:t xml:space="preserve">Emitter Layer</w:t>
      </w:r>
      <w:r>
        <w:t xml:space="preserve">: Each microservice emits structured events (e.g.,</w:t>
      </w:r>
      <w:r>
        <w:t xml:space="preserve"> </w:t>
      </w:r>
      <w:r>
        <w:rPr>
          <w:rStyle w:val="VerbatimChar"/>
        </w:rPr>
        <w:t xml:space="preserve">UserLogin</w:t>
      </w:r>
      <w:r>
        <w:t xml:space="preserve">,</w:t>
      </w:r>
      <w:r>
        <w:t xml:space="preserve"> </w:t>
      </w:r>
      <w:r>
        <w:rPr>
          <w:rStyle w:val="VerbatimChar"/>
        </w:rPr>
        <w:t xml:space="preserve">AnswerSubmitted</w:t>
      </w:r>
      <w:r>
        <w:t xml:space="preserve">,</w:t>
      </w:r>
      <w:r>
        <w:t xml:space="preserve"> </w:t>
      </w:r>
      <w:r>
        <w:rPr>
          <w:rStyle w:val="VerbatimChar"/>
        </w:rPr>
        <w:t xml:space="preserve">ModelCall</w:t>
      </w:r>
      <w:r>
        <w:t xml:space="preserve">,</w:t>
      </w:r>
      <w:r>
        <w:t xml:space="preserve"> </w:t>
      </w:r>
      <w:r>
        <w:rPr>
          <w:rStyle w:val="VerbatimChar"/>
        </w:rPr>
        <w:t xml:space="preserve">SafetyFlagged</w:t>
      </w:r>
      <w:r>
        <w:t xml:space="preserve">,</w:t>
      </w:r>
      <w:r>
        <w:t xml:space="preserve"> </w:t>
      </w:r>
      <w:r>
        <w:rPr>
          <w:rStyle w:val="VerbatimChar"/>
        </w:rPr>
        <w:t xml:space="preserve">MemoryDeleted</w:t>
      </w:r>
      <w:r>
        <w:t xml:space="preserve">) with metadata (user ID, timestamp, consent ID, service name).</w:t>
      </w:r>
    </w:p>
    <w:p>
      <w:pPr>
        <w:pStyle w:val="Compact"/>
        <w:numPr>
          <w:ilvl w:val="0"/>
          <w:numId w:val="1013"/>
        </w:numPr>
      </w:pPr>
      <w:r>
        <w:rPr>
          <w:b/>
          <w:bCs/>
        </w:rPr>
        <w:t xml:space="preserve">Store Layer</w:t>
      </w:r>
      <w:r>
        <w:t xml:space="preserve">: Events are appended to an immutable log store. Implementation options include a blockchain‑inspired append‑only database or a tamper‑evident log (e.g., AWS QLDB). Each record is hashed and chained to the previous to ensure integrity.</w:t>
      </w:r>
    </w:p>
    <w:p>
      <w:pPr>
        <w:pStyle w:val="Compact"/>
        <w:numPr>
          <w:ilvl w:val="0"/>
          <w:numId w:val="1013"/>
        </w:numPr>
      </w:pPr>
      <w:r>
        <w:rPr>
          <w:b/>
          <w:bCs/>
        </w:rPr>
        <w:t xml:space="preserve">Use Layer</w:t>
      </w:r>
      <w:r>
        <w:t xml:space="preserve">: An internal Audit UI allows authorized auditors to query events by user, timeframe, event type, or trace ID. The system can reconstruct the sequence of actions leading to a decision or bug. External auditors can receive filtered exports. Audit trail design follows the notion that an audit trail is a chronological, tamper‑evident, context‑rich ledger linking technical and governance events</w:t>
      </w:r>
      <w:hyperlink r:id="rId28">
        <w:r>
          <w:rPr>
            <w:rStyle w:val="Hyperlink"/>
          </w:rPr>
          <w:t xml:space="preserve">[4]</w:t>
        </w:r>
      </w:hyperlink>
      <w:r>
        <w:t xml:space="preserve">.</w:t>
      </w:r>
    </w:p>
    <w:bookmarkEnd w:id="40"/>
    <w:bookmarkStart w:id="41" w:name="security-architecture"/>
    <w:p>
      <w:pPr>
        <w:pStyle w:val="Heading2"/>
      </w:pPr>
      <w:r>
        <w:t xml:space="preserve">Security Architecture</w:t>
      </w:r>
    </w:p>
    <w:p>
      <w:pPr>
        <w:pStyle w:val="Compact"/>
        <w:numPr>
          <w:ilvl w:val="0"/>
          <w:numId w:val="1014"/>
        </w:numPr>
      </w:pPr>
      <w:r>
        <w:rPr>
          <w:b/>
          <w:bCs/>
        </w:rPr>
        <w:t xml:space="preserve">Zero‑trust Approach</w:t>
      </w:r>
      <w:r>
        <w:t xml:space="preserve">: Every service authenticates and authorizes each call using mutual TLS and short‑lived tokens. Network segmentation isolates user‑facing endpoints from internal services. Secrets are stored in a secret manager and rotated regularly.</w:t>
      </w:r>
    </w:p>
    <w:p>
      <w:pPr>
        <w:pStyle w:val="Compact"/>
        <w:numPr>
          <w:ilvl w:val="0"/>
          <w:numId w:val="1014"/>
        </w:numPr>
      </w:pPr>
      <w:r>
        <w:rPr>
          <w:b/>
          <w:bCs/>
        </w:rPr>
        <w:t xml:space="preserve">Encryption</w:t>
      </w:r>
      <w:r>
        <w:t xml:space="preserve">: Data at rest uses AES‑256 encryption; data in transit uses TLS 1.3. Keys are managed in a hardware security module (HSM).</w:t>
      </w:r>
    </w:p>
    <w:p>
      <w:pPr>
        <w:pStyle w:val="Compact"/>
        <w:numPr>
          <w:ilvl w:val="0"/>
          <w:numId w:val="1014"/>
        </w:numPr>
      </w:pPr>
      <w:r>
        <w:rPr>
          <w:b/>
          <w:bCs/>
        </w:rPr>
        <w:t xml:space="preserve">Input Sanitization</w:t>
      </w:r>
      <w:r>
        <w:t xml:space="preserve">: All user inputs and retrieved memory are sanitized; prompts are filtered for injection patterns. Output is schema‑validated and sanitized before display or persistence.</w:t>
      </w:r>
    </w:p>
    <w:p>
      <w:pPr>
        <w:pStyle w:val="Compact"/>
        <w:numPr>
          <w:ilvl w:val="0"/>
          <w:numId w:val="1014"/>
        </w:numPr>
      </w:pPr>
      <w:r>
        <w:rPr>
          <w:b/>
          <w:bCs/>
        </w:rPr>
        <w:t xml:space="preserve">Role‑based Access</w:t>
      </w:r>
      <w:r>
        <w:t xml:space="preserve">: Admin/support tools are restricted to staff with explicit roles. Fine‑grained access control ensures support cannot see memory content without user authorization.</w:t>
      </w:r>
    </w:p>
    <w:p>
      <w:pPr>
        <w:pStyle w:val="Compact"/>
        <w:numPr>
          <w:ilvl w:val="0"/>
          <w:numId w:val="1014"/>
        </w:numPr>
      </w:pPr>
      <w:r>
        <w:rPr>
          <w:b/>
          <w:bCs/>
        </w:rPr>
        <w:t xml:space="preserve">Vulnerability Management</w:t>
      </w:r>
      <w:r>
        <w:t xml:space="preserve">: The CI/CD pipeline includes static and dynamic analysis, dependency scanning, container vulnerability scanning and regular penetration testing. The architecture acknowledges that memory is the long‑term attack surface and includes measures such as validation before storing, strict access control, expiration policies and provenance tracking</w:t>
      </w:r>
      <w:hyperlink r:id="rId26">
        <w:r>
          <w:rPr>
            <w:rStyle w:val="Hyperlink"/>
          </w:rPr>
          <w:t xml:space="preserve">[2]</w:t>
        </w:r>
      </w:hyperlink>
      <w:r>
        <w:t xml:space="preserve">.</w:t>
      </w:r>
    </w:p>
    <w:bookmarkEnd w:id="41"/>
    <w:bookmarkStart w:id="42" w:name="monitoring-observability-architecture"/>
    <w:p>
      <w:pPr>
        <w:pStyle w:val="Heading2"/>
      </w:pPr>
      <w:r>
        <w:t xml:space="preserve">Monitoring &amp; Observability Architecture</w:t>
      </w:r>
    </w:p>
    <w:p>
      <w:pPr>
        <w:pStyle w:val="Compact"/>
        <w:numPr>
          <w:ilvl w:val="0"/>
          <w:numId w:val="1015"/>
        </w:numPr>
      </w:pPr>
      <w:r>
        <w:rPr>
          <w:b/>
          <w:bCs/>
        </w:rPr>
        <w:t xml:space="preserve">Metrics &amp; Traces</w:t>
      </w:r>
      <w:r>
        <w:t xml:space="preserve">: Services export metrics (latency, error rate, queue length) to Prometheus and traces to a tracing system (e.g., Jaeger). AI‑specific metrics include model response time, token usage, safety classifier hits and memory retrieval counts. The vertical‑slice concept may be used to capture client, network and server state when a user reports friction.</w:t>
      </w:r>
    </w:p>
    <w:p>
      <w:pPr>
        <w:pStyle w:val="Compact"/>
        <w:numPr>
          <w:ilvl w:val="0"/>
          <w:numId w:val="1015"/>
        </w:numPr>
      </w:pPr>
      <w:r>
        <w:rPr>
          <w:b/>
          <w:bCs/>
        </w:rPr>
        <w:t xml:space="preserve">Log Aggregation</w:t>
      </w:r>
      <w:r>
        <w:t xml:space="preserve">: Logs from each service are centralized and include request IDs to correlate with metrics and traces. Logs follow a consistent schema and contain anonymized context.</w:t>
      </w:r>
    </w:p>
    <w:p>
      <w:pPr>
        <w:pStyle w:val="Compact"/>
        <w:numPr>
          <w:ilvl w:val="0"/>
          <w:numId w:val="1015"/>
        </w:numPr>
      </w:pPr>
      <w:r>
        <w:rPr>
          <w:b/>
          <w:bCs/>
        </w:rPr>
        <w:t xml:space="preserve">Alerts &amp; Dashboards</w:t>
      </w:r>
      <w:r>
        <w:t xml:space="preserve">: Alerts trigger on anomalies (high error rate, safety classifier failure, long model latency). Dashboards visualise service health, AI evaluation metrics and consent compliance.</w:t>
      </w:r>
    </w:p>
    <w:p>
      <w:pPr>
        <w:pStyle w:val="Compact"/>
        <w:numPr>
          <w:ilvl w:val="0"/>
          <w:numId w:val="1015"/>
        </w:numPr>
      </w:pPr>
      <w:r>
        <w:rPr>
          <w:b/>
          <w:bCs/>
        </w:rPr>
        <w:t xml:space="preserve">Synthetic Monitoring</w:t>
      </w:r>
      <w:r>
        <w:t xml:space="preserve">: Periodic synthetic user journeys test endpoints and AI flows to detect regressions early.</w:t>
      </w:r>
    </w:p>
    <w:bookmarkEnd w:id="42"/>
    <w:bookmarkStart w:id="43" w:name="deployment-architecture"/>
    <w:p>
      <w:pPr>
        <w:pStyle w:val="Heading2"/>
      </w:pPr>
      <w:r>
        <w:t xml:space="preserve">Deployment Architecture</w:t>
      </w:r>
    </w:p>
    <w:p>
      <w:pPr>
        <w:pStyle w:val="Compact"/>
        <w:numPr>
          <w:ilvl w:val="0"/>
          <w:numId w:val="1016"/>
        </w:numPr>
      </w:pPr>
      <w:r>
        <w:rPr>
          <w:b/>
          <w:bCs/>
        </w:rPr>
        <w:t xml:space="preserve">Kubernetes</w:t>
      </w:r>
      <w:r>
        <w:t xml:space="preserve">: Services are deployed as containers in a Kubernetes cluster with namespaces for dev, staging and prod. Horizontal pod autoscaling ensures scalability. Services run in separate pods with resource limits.</w:t>
      </w:r>
    </w:p>
    <w:p>
      <w:pPr>
        <w:pStyle w:val="Compact"/>
        <w:numPr>
          <w:ilvl w:val="0"/>
          <w:numId w:val="1016"/>
        </w:numPr>
      </w:pPr>
      <w:r>
        <w:rPr>
          <w:b/>
          <w:bCs/>
        </w:rPr>
        <w:t xml:space="preserve">Environment Separation</w:t>
      </w:r>
      <w:r>
        <w:t xml:space="preserve">: Each environment uses separate databases, vector stores and object storage buckets. Secrets and configuration are environment‑specific. Access is strictly segregated so that staging cannot access prod data.</w:t>
      </w:r>
    </w:p>
    <w:p>
      <w:pPr>
        <w:pStyle w:val="Compact"/>
        <w:numPr>
          <w:ilvl w:val="0"/>
          <w:numId w:val="1016"/>
        </w:numPr>
      </w:pPr>
      <w:r>
        <w:rPr>
          <w:b/>
          <w:bCs/>
        </w:rPr>
        <w:t xml:space="preserve">Config Management</w:t>
      </w:r>
      <w:r>
        <w:t xml:space="preserve">: Configurations are stored in a git repository and loaded via a configuration management tool (e.g., Helm). Secret values are injected at runtime.</w:t>
      </w:r>
    </w:p>
    <w:p>
      <w:pPr>
        <w:pStyle w:val="Compact"/>
        <w:numPr>
          <w:ilvl w:val="0"/>
          <w:numId w:val="1016"/>
        </w:numPr>
      </w:pPr>
      <w:r>
        <w:rPr>
          <w:b/>
          <w:bCs/>
        </w:rPr>
        <w:t xml:space="preserve">CI/CD</w:t>
      </w:r>
      <w:r>
        <w:t xml:space="preserve">: Code merges trigger pipeline steps: build, test, lint, security scan, AI evaluation tests, container build, deployment to staging. After staging approval and evaluation metrics sign‑off, the pipeline promotes to prod using blue/green deployment or canary release. Rollbacks are automated if metrics degrade.</w:t>
      </w:r>
    </w:p>
    <w:bookmarkEnd w:id="43"/>
    <w:bookmarkStart w:id="44" w:name="environment-separation"/>
    <w:p>
      <w:pPr>
        <w:pStyle w:val="Heading2"/>
      </w:pPr>
      <w:r>
        <w:t xml:space="preserve">Environment Separation</w:t>
      </w:r>
    </w:p>
    <w:p>
      <w:pPr>
        <w:pStyle w:val="Compact"/>
        <w:numPr>
          <w:ilvl w:val="0"/>
          <w:numId w:val="1017"/>
        </w:numPr>
      </w:pPr>
      <w:r>
        <w:rPr>
          <w:b/>
          <w:bCs/>
        </w:rPr>
        <w:t xml:space="preserve">Development</w:t>
      </w:r>
      <w:r>
        <w:t xml:space="preserve">: Non‑production data with anonymized or synthetic memory entries. Lower quotas for AI calls. Developer access is limited to maintainers.</w:t>
      </w:r>
    </w:p>
    <w:p>
      <w:pPr>
        <w:pStyle w:val="Compact"/>
        <w:numPr>
          <w:ilvl w:val="0"/>
          <w:numId w:val="1017"/>
        </w:numPr>
      </w:pPr>
      <w:r>
        <w:rPr>
          <w:b/>
          <w:bCs/>
        </w:rPr>
        <w:t xml:space="preserve">Staging</w:t>
      </w:r>
      <w:r>
        <w:t xml:space="preserve">: Mirrors production configuration but uses separate resources. Integration tests and red‑team safety tests run here. Access is restricted.</w:t>
      </w:r>
    </w:p>
    <w:p>
      <w:pPr>
        <w:pStyle w:val="Compact"/>
        <w:numPr>
          <w:ilvl w:val="0"/>
          <w:numId w:val="1017"/>
        </w:numPr>
      </w:pPr>
      <w:r>
        <w:rPr>
          <w:b/>
          <w:bCs/>
        </w:rPr>
        <w:t xml:space="preserve">Production</w:t>
      </w:r>
      <w:r>
        <w:t xml:space="preserve">: Serves real users. Monitored continuously. Access is limited to operations staff. Only anonymized, aggregated metrics can be exported outside the environment.</w:t>
      </w:r>
    </w:p>
    <w:bookmarkEnd w:id="44"/>
    <w:bookmarkStart w:id="45" w:name="backuprestore-design"/>
    <w:p>
      <w:pPr>
        <w:pStyle w:val="Heading2"/>
      </w:pPr>
      <w:r>
        <w:t xml:space="preserve">Backup/Restore Design</w:t>
      </w:r>
    </w:p>
    <w:p>
      <w:pPr>
        <w:pStyle w:val="Compact"/>
        <w:numPr>
          <w:ilvl w:val="0"/>
          <w:numId w:val="1018"/>
        </w:numPr>
      </w:pPr>
      <w:r>
        <w:rPr>
          <w:b/>
          <w:bCs/>
        </w:rPr>
        <w:t xml:space="preserve">Full Backups</w:t>
      </w:r>
      <w:r>
        <w:t xml:space="preserve">: Daily backups of relational DBs, vector DBs and object storage. Backups are encrypted and stored in a separate region.</w:t>
      </w:r>
    </w:p>
    <w:p>
      <w:pPr>
        <w:pStyle w:val="Compact"/>
        <w:numPr>
          <w:ilvl w:val="0"/>
          <w:numId w:val="1018"/>
        </w:numPr>
      </w:pPr>
      <w:r>
        <w:rPr>
          <w:b/>
          <w:bCs/>
        </w:rPr>
        <w:t xml:space="preserve">Incremental Backups</w:t>
      </w:r>
      <w:r>
        <w:t xml:space="preserve">: Hourly incremental backups for critical tables (MemoryEntries, ConsentRecords) to minimize data loss.</w:t>
      </w:r>
    </w:p>
    <w:p>
      <w:pPr>
        <w:pStyle w:val="Compact"/>
        <w:numPr>
          <w:ilvl w:val="0"/>
          <w:numId w:val="1018"/>
        </w:numPr>
      </w:pPr>
      <w:r>
        <w:rPr>
          <w:b/>
          <w:bCs/>
        </w:rPr>
        <w:t xml:space="preserve">Restore Procedure</w:t>
      </w:r>
      <w:r>
        <w:t xml:space="preserve">: Restoration requires multi‑factor authentication and approval from two administrators. Restores are tested quarterly. After restoration, vector indexes are rebuilt to ensure consistency.</w:t>
      </w:r>
    </w:p>
    <w:p>
      <w:pPr>
        <w:pStyle w:val="Compact"/>
        <w:numPr>
          <w:ilvl w:val="0"/>
          <w:numId w:val="1018"/>
        </w:numPr>
      </w:pPr>
      <w:r>
        <w:rPr>
          <w:b/>
          <w:bCs/>
        </w:rPr>
        <w:t xml:space="preserve">Disaster Recovery</w:t>
      </w:r>
      <w:r>
        <w:t xml:space="preserve">: The architecture can failover to a standby region using infrastructure‑as‑code templates. DNS cutover is automated.</w:t>
      </w:r>
    </w:p>
    <w:bookmarkEnd w:id="45"/>
    <w:bookmarkStart w:id="46" w:name="failure-modes"/>
    <w:p>
      <w:pPr>
        <w:pStyle w:val="Heading2"/>
      </w:pPr>
      <w:r>
        <w:t xml:space="preserve">Failure Modes</w:t>
      </w:r>
    </w:p>
    <w:p>
      <w:pPr>
        <w:pStyle w:val="Compact"/>
        <w:numPr>
          <w:ilvl w:val="0"/>
          <w:numId w:val="1019"/>
        </w:numPr>
      </w:pPr>
      <w:r>
        <w:rPr>
          <w:b/>
          <w:bCs/>
        </w:rPr>
        <w:t xml:space="preserve">LLM Unavailability</w:t>
      </w:r>
      <w:r>
        <w:t xml:space="preserve">: If the external LLM API is down or slow, the AI Orchestrator returns a graceful error and falls back to cached template responses or re‑tries with exponential backoff.</w:t>
      </w:r>
    </w:p>
    <w:p>
      <w:pPr>
        <w:pStyle w:val="Compact"/>
        <w:numPr>
          <w:ilvl w:val="0"/>
          <w:numId w:val="1019"/>
        </w:numPr>
      </w:pPr>
      <w:r>
        <w:rPr>
          <w:b/>
          <w:bCs/>
        </w:rPr>
        <w:t xml:space="preserve">Safety Classifier False Negative</w:t>
      </w:r>
      <w:r>
        <w:t xml:space="preserve">: A crisis message is missed; the layered architecture reduces this risk but cannot eliminate it. The system logs all flagged and unflagged outputs for periodic human review.</w:t>
      </w:r>
    </w:p>
    <w:p>
      <w:pPr>
        <w:pStyle w:val="Compact"/>
        <w:numPr>
          <w:ilvl w:val="0"/>
          <w:numId w:val="1019"/>
        </w:numPr>
      </w:pPr>
      <w:r>
        <w:rPr>
          <w:b/>
          <w:bCs/>
        </w:rPr>
        <w:t xml:space="preserve">Memory Corruption</w:t>
      </w:r>
      <w:r>
        <w:t xml:space="preserve">: A bug writes incorrect or malicious content to memory. Versioning and provenance metadata allow rolling back to a previous version. The Safety Service validates before storage.</w:t>
      </w:r>
    </w:p>
    <w:p>
      <w:pPr>
        <w:pStyle w:val="Compact"/>
        <w:numPr>
          <w:ilvl w:val="0"/>
          <w:numId w:val="1019"/>
        </w:numPr>
      </w:pPr>
      <w:r>
        <w:rPr>
          <w:b/>
          <w:bCs/>
        </w:rPr>
        <w:t xml:space="preserve">Prompt Injection</w:t>
      </w:r>
      <w:r>
        <w:t xml:space="preserve">: Malicious user input tries to override system prompts. The orchestrator sanitizes input and filters injection patterns. Retrieval content is treated as untrusted and sanitized.</w:t>
      </w:r>
    </w:p>
    <w:p>
      <w:pPr>
        <w:pStyle w:val="Compact"/>
        <w:numPr>
          <w:ilvl w:val="0"/>
          <w:numId w:val="1019"/>
        </w:numPr>
      </w:pPr>
      <w:r>
        <w:rPr>
          <w:b/>
          <w:bCs/>
        </w:rPr>
        <w:t xml:space="preserve">Data Breach</w:t>
      </w:r>
      <w:r>
        <w:t xml:space="preserve">: Compromise of a service or database. Network segmentation, encryption, least‑privilege access and regular penetration testing reduce risk. Audit logs and monitoring enable detection and incident response.</w:t>
      </w:r>
    </w:p>
    <w:p>
      <w:pPr>
        <w:pStyle w:val="Compact"/>
        <w:numPr>
          <w:ilvl w:val="0"/>
          <w:numId w:val="1019"/>
        </w:numPr>
      </w:pPr>
      <w:r>
        <w:rPr>
          <w:b/>
          <w:bCs/>
        </w:rPr>
        <w:t xml:space="preserve">Deleted Data Retrieval</w:t>
      </w:r>
      <w:r>
        <w:t xml:space="preserve">: A bug might query deleted memory. The Consent service and Memory service enforce deletion flags; vector indexes remove deleted entries; retrieval functions filter them out.</w:t>
      </w:r>
    </w:p>
    <w:bookmarkEnd w:id="46"/>
    <w:bookmarkStart w:id="47" w:name="implementation-sequence"/>
    <w:p>
      <w:pPr>
        <w:pStyle w:val="Heading2"/>
      </w:pPr>
      <w:r>
        <w:t xml:space="preserve">Implementation Sequence</w:t>
      </w:r>
    </w:p>
    <w:p>
      <w:pPr>
        <w:pStyle w:val="Compact"/>
        <w:numPr>
          <w:ilvl w:val="0"/>
          <w:numId w:val="1020"/>
        </w:numPr>
      </w:pPr>
      <w:r>
        <w:rPr>
          <w:b/>
          <w:bCs/>
        </w:rPr>
        <w:t xml:space="preserve">Planning &amp; Requirements</w:t>
      </w:r>
      <w:r>
        <w:t xml:space="preserve">: Obtain missing inputs (user research, PRD, NFRs, threat model, etc.) and finalize acceptance criteria.</w:t>
      </w:r>
    </w:p>
    <w:p>
      <w:pPr>
        <w:pStyle w:val="Compact"/>
        <w:numPr>
          <w:ilvl w:val="0"/>
          <w:numId w:val="1020"/>
        </w:numPr>
      </w:pPr>
      <w:r>
        <w:rPr>
          <w:b/>
          <w:bCs/>
        </w:rPr>
        <w:t xml:space="preserve">Canonical Data Model</w:t>
      </w:r>
      <w:r>
        <w:t xml:space="preserve">: Design the data schema (ERD) and consent ledger. Define domain events and metadata.</w:t>
      </w:r>
    </w:p>
    <w:p>
      <w:pPr>
        <w:pStyle w:val="Compact"/>
        <w:numPr>
          <w:ilvl w:val="0"/>
          <w:numId w:val="1020"/>
        </w:numPr>
      </w:pPr>
      <w:r>
        <w:rPr>
          <w:b/>
          <w:bCs/>
        </w:rPr>
        <w:t xml:space="preserve">Foundation Services</w:t>
      </w:r>
      <w:r>
        <w:t xml:space="preserve">: Implement Auth, Consent and Audit Logging services, including the API Gateway.</w:t>
      </w:r>
    </w:p>
    <w:p>
      <w:pPr>
        <w:pStyle w:val="Compact"/>
        <w:numPr>
          <w:ilvl w:val="0"/>
          <w:numId w:val="1020"/>
        </w:numPr>
      </w:pPr>
      <w:r>
        <w:rPr>
          <w:b/>
          <w:bCs/>
        </w:rPr>
        <w:t xml:space="preserve">Module &amp; Question Engines</w:t>
      </w:r>
      <w:r>
        <w:t xml:space="preserve">: Build Module Engine and Question Engine with basic question flow. Integrate the relational DB.</w:t>
      </w:r>
    </w:p>
    <w:p>
      <w:pPr>
        <w:pStyle w:val="Compact"/>
        <w:numPr>
          <w:ilvl w:val="0"/>
          <w:numId w:val="1020"/>
        </w:numPr>
      </w:pPr>
      <w:r>
        <w:rPr>
          <w:b/>
          <w:bCs/>
        </w:rPr>
        <w:t xml:space="preserve">AI Orchestrator &amp; Safety Service</w:t>
      </w:r>
      <w:r>
        <w:t xml:space="preserve">: Develop the orchestrator, integrate with external LLM provider and implement layered safety classifier. Define prompts, schema, and evaluation tests.</w:t>
      </w:r>
    </w:p>
    <w:p>
      <w:pPr>
        <w:pStyle w:val="Compact"/>
        <w:numPr>
          <w:ilvl w:val="0"/>
          <w:numId w:val="1020"/>
        </w:numPr>
      </w:pPr>
      <w:r>
        <w:rPr>
          <w:b/>
          <w:bCs/>
        </w:rPr>
        <w:t xml:space="preserve">Memory &amp; Vector Services</w:t>
      </w:r>
      <w:r>
        <w:t xml:space="preserve">: Implement memory persistence, embedding generation and vector retrieval. Ensure separation of temporary context and long‑term memory with validation and expiry.</w:t>
      </w:r>
    </w:p>
    <w:p>
      <w:pPr>
        <w:pStyle w:val="Compact"/>
        <w:numPr>
          <w:ilvl w:val="0"/>
          <w:numId w:val="1020"/>
        </w:numPr>
      </w:pPr>
      <w:r>
        <w:rPr>
          <w:b/>
          <w:bCs/>
        </w:rPr>
        <w:t xml:space="preserve">Ask AI &amp; Directive Engines</w:t>
      </w:r>
      <w:r>
        <w:t xml:space="preserve">: Build Ask AI engine, Today Directive engine and Calendar Alignment module. Integrate with orchestrator and safety service.</w:t>
      </w:r>
    </w:p>
    <w:p>
      <w:pPr>
        <w:pStyle w:val="Compact"/>
        <w:numPr>
          <w:ilvl w:val="0"/>
          <w:numId w:val="1020"/>
        </w:numPr>
      </w:pPr>
      <w:r>
        <w:rPr>
          <w:b/>
          <w:bCs/>
        </w:rPr>
        <w:t xml:space="preserve">Review Module &amp; Consent UX</w:t>
      </w:r>
      <w:r>
        <w:t xml:space="preserve">: Create review module and refine user interface for consent management, memory editing and export/deletion.</w:t>
      </w:r>
    </w:p>
    <w:p>
      <w:pPr>
        <w:pStyle w:val="Compact"/>
        <w:numPr>
          <w:ilvl w:val="0"/>
          <w:numId w:val="1020"/>
        </w:numPr>
      </w:pPr>
      <w:r>
        <w:rPr>
          <w:b/>
          <w:bCs/>
        </w:rPr>
        <w:t xml:space="preserve">Observability &amp; Monitoring</w:t>
      </w:r>
      <w:r>
        <w:t xml:space="preserve">: Configure logging, metrics, tracing and synthetic monitoring. Build admin dashboards and alerting.</w:t>
      </w:r>
    </w:p>
    <w:p>
      <w:pPr>
        <w:pStyle w:val="Compact"/>
        <w:numPr>
          <w:ilvl w:val="0"/>
          <w:numId w:val="1020"/>
        </w:numPr>
      </w:pPr>
      <w:r>
        <w:rPr>
          <w:b/>
          <w:bCs/>
        </w:rPr>
        <w:t xml:space="preserve">CI/CD &amp; Deployment</w:t>
      </w:r>
      <w:r>
        <w:t xml:space="preserve">: Set up pipelines, Kubernetes cluster and environment separation. Deploy to dev, staging and production.</w:t>
      </w:r>
    </w:p>
    <w:p>
      <w:pPr>
        <w:pStyle w:val="Compact"/>
        <w:numPr>
          <w:ilvl w:val="0"/>
          <w:numId w:val="1020"/>
        </w:numPr>
      </w:pPr>
      <w:r>
        <w:rPr>
          <w:b/>
          <w:bCs/>
        </w:rPr>
        <w:t xml:space="preserve">Testing &amp; Evaluation</w:t>
      </w:r>
      <w:r>
        <w:t xml:space="preserve">: Conduct security testing, red‑team prompt injection testing, load testing, AI evaluation, and user acceptance testing.</w:t>
      </w:r>
    </w:p>
    <w:p>
      <w:pPr>
        <w:pStyle w:val="Compact"/>
        <w:numPr>
          <w:ilvl w:val="0"/>
          <w:numId w:val="1020"/>
        </w:numPr>
      </w:pPr>
      <w:r>
        <w:rPr>
          <w:b/>
          <w:bCs/>
        </w:rPr>
        <w:t xml:space="preserve">Go‑live &amp; Iteration</w:t>
      </w:r>
      <w:r>
        <w:t xml:space="preserve">: Launch MVP to a limited audience. Monitor logs and metrics, collect feedback, and iterate.</w:t>
      </w:r>
    </w:p>
    <w:bookmarkEnd w:id="47"/>
    <w:bookmarkStart w:id="48" w:name="technical-risks"/>
    <w:p>
      <w:pPr>
        <w:pStyle w:val="Heading2"/>
      </w:pPr>
      <w:r>
        <w:t xml:space="preserve">Technical Risks</w:t>
      </w:r>
    </w:p>
    <w:p>
      <w:pPr>
        <w:pStyle w:val="Compact"/>
        <w:numPr>
          <w:ilvl w:val="0"/>
          <w:numId w:val="1021"/>
        </w:numPr>
      </w:pPr>
      <w:r>
        <w:rPr>
          <w:b/>
          <w:bCs/>
        </w:rPr>
        <w:t xml:space="preserve">Safety &amp; Crisis Response</w:t>
      </w:r>
      <w:r>
        <w:t xml:space="preserve">: The layered safety classifier might still miss edge cases or misclassify non‑clinical content. Ongoing evaluation and human review are required.</w:t>
      </w:r>
    </w:p>
    <w:p>
      <w:pPr>
        <w:pStyle w:val="Compact"/>
        <w:numPr>
          <w:ilvl w:val="0"/>
          <w:numId w:val="1021"/>
        </w:numPr>
      </w:pPr>
      <w:r>
        <w:rPr>
          <w:b/>
          <w:bCs/>
        </w:rPr>
        <w:t xml:space="preserve">Privacy Compliance</w:t>
      </w:r>
      <w:r>
        <w:t xml:space="preserve">: Without legal guidance, retention and deletion policies may violate jurisdictional laws. The design must adapt once a privacy/legal review is completed.</w:t>
      </w:r>
    </w:p>
    <w:p>
      <w:pPr>
        <w:pStyle w:val="Compact"/>
        <w:numPr>
          <w:ilvl w:val="0"/>
          <w:numId w:val="1021"/>
        </w:numPr>
      </w:pPr>
      <w:r>
        <w:rPr>
          <w:b/>
          <w:bCs/>
        </w:rPr>
        <w:t xml:space="preserve">Prompt Injection &amp; Memory Poisoning</w:t>
      </w:r>
      <w:r>
        <w:t xml:space="preserve">: Attackers may embed malicious instructions in memory. Filters and validation reduce but do not eliminate risk.</w:t>
      </w:r>
    </w:p>
    <w:p>
      <w:pPr>
        <w:pStyle w:val="Compact"/>
        <w:numPr>
          <w:ilvl w:val="0"/>
          <w:numId w:val="1021"/>
        </w:numPr>
      </w:pPr>
      <w:r>
        <w:rPr>
          <w:b/>
          <w:bCs/>
        </w:rPr>
        <w:t xml:space="preserve">Model Bias &amp; Hallucination</w:t>
      </w:r>
      <w:r>
        <w:t xml:space="preserve">: The LLM may produce biased or hallucinated interpretations. Evaluation and possible use of multiple models/human review may be necessary.</w:t>
      </w:r>
    </w:p>
    <w:p>
      <w:pPr>
        <w:pStyle w:val="Compact"/>
        <w:numPr>
          <w:ilvl w:val="0"/>
          <w:numId w:val="1021"/>
        </w:numPr>
      </w:pPr>
      <w:r>
        <w:rPr>
          <w:b/>
          <w:bCs/>
        </w:rPr>
        <w:t xml:space="preserve">Scalability &amp; Cost</w:t>
      </w:r>
      <w:r>
        <w:t xml:space="preserve">: LLM calls and vector storage can be expensive. Usage patterns may require optimization (caching, summarization) to manage cost and latency.</w:t>
      </w:r>
    </w:p>
    <w:p>
      <w:pPr>
        <w:pStyle w:val="Compact"/>
        <w:numPr>
          <w:ilvl w:val="0"/>
          <w:numId w:val="1021"/>
        </w:numPr>
      </w:pPr>
      <w:r>
        <w:rPr>
          <w:b/>
          <w:bCs/>
        </w:rPr>
        <w:t xml:space="preserve">Complexity</w:t>
      </w:r>
      <w:r>
        <w:t xml:space="preserve">: Microservices add operational complexity. Team experience with Kubernetes, observability and AI pipelines is necessary to avoid outages.</w:t>
      </w:r>
    </w:p>
    <w:bookmarkEnd w:id="48"/>
    <w:bookmarkStart w:id="49" w:name="open-decisions"/>
    <w:p>
      <w:pPr>
        <w:pStyle w:val="Heading2"/>
      </w:pPr>
      <w:r>
        <w:t xml:space="preserve">Open Decisions</w:t>
      </w:r>
    </w:p>
    <w:p>
      <w:pPr>
        <w:pStyle w:val="Compact"/>
        <w:numPr>
          <w:ilvl w:val="0"/>
          <w:numId w:val="1022"/>
        </w:numPr>
      </w:pPr>
      <w:r>
        <w:rPr>
          <w:b/>
          <w:bCs/>
        </w:rPr>
        <w:t xml:space="preserve">Choice of LLM and Embedding Models</w:t>
      </w:r>
      <w:r>
        <w:t xml:space="preserve">: The final selection depends on evaluation results and cost/performance considerations. The company may use open‑source models locally for privacy but must assess capability.</w:t>
      </w:r>
    </w:p>
    <w:p>
      <w:pPr>
        <w:pStyle w:val="Compact"/>
        <w:numPr>
          <w:ilvl w:val="0"/>
          <w:numId w:val="1022"/>
        </w:numPr>
      </w:pPr>
      <w:r>
        <w:rPr>
          <w:b/>
          <w:bCs/>
        </w:rPr>
        <w:t xml:space="preserve">Vector Database Provider</w:t>
      </w:r>
      <w:r>
        <w:t xml:space="preserve">: Options include Pinecone, Qdrant, Weaviate, or a self‑hosted solution. The choice depends on features (namespace isolation, deletion support), cost and compliance.</w:t>
      </w:r>
    </w:p>
    <w:p>
      <w:pPr>
        <w:pStyle w:val="Compact"/>
        <w:numPr>
          <w:ilvl w:val="0"/>
          <w:numId w:val="1022"/>
        </w:numPr>
      </w:pPr>
      <w:r>
        <w:rPr>
          <w:b/>
          <w:bCs/>
        </w:rPr>
        <w:t xml:space="preserve">Safety Classifier Source</w:t>
      </w:r>
      <w:r>
        <w:t xml:space="preserve">: Use off‑the‑shelf content safety APIs (e.g., Azure AI Content Safety) or develop an in‑house classifier trained on mental health datasets.</w:t>
      </w:r>
    </w:p>
    <w:p>
      <w:pPr>
        <w:pStyle w:val="Compact"/>
        <w:numPr>
          <w:ilvl w:val="0"/>
          <w:numId w:val="1022"/>
        </w:numPr>
      </w:pPr>
      <w:r>
        <w:rPr>
          <w:b/>
          <w:bCs/>
        </w:rPr>
        <w:t xml:space="preserve">Crisis Response Protocol</w:t>
      </w:r>
      <w:r>
        <w:t xml:space="preserve">: Final escalation flows depend on crisis localisation requirements and legal obligations in each jurisdiction.</w:t>
      </w:r>
    </w:p>
    <w:p>
      <w:pPr>
        <w:pStyle w:val="Compact"/>
        <w:numPr>
          <w:ilvl w:val="0"/>
          <w:numId w:val="1022"/>
        </w:numPr>
      </w:pPr>
      <w:r>
        <w:rPr>
          <w:b/>
          <w:bCs/>
        </w:rPr>
        <w:t xml:space="preserve">Accessibility Implementation</w:t>
      </w:r>
      <w:r>
        <w:t xml:space="preserve">: Details of support for assistive technologies depend on the final accessibility requirements and user feedback.</w:t>
      </w:r>
    </w:p>
    <w:p>
      <w:pPr>
        <w:pStyle w:val="Compact"/>
        <w:numPr>
          <w:ilvl w:val="0"/>
          <w:numId w:val="1022"/>
        </w:numPr>
      </w:pPr>
      <w:r>
        <w:rPr>
          <w:b/>
          <w:bCs/>
        </w:rPr>
        <w:t xml:space="preserve">Data Residency</w:t>
      </w:r>
      <w:r>
        <w:t xml:space="preserve">: If the user population is global, data may need to be stored in multiple regions. Final legal advice is required.</w:t>
      </w:r>
    </w:p>
    <w:bookmarkEnd w:id="49"/>
    <w:bookmarkStart w:id="50" w:name="conclusion"/>
    <w:p>
      <w:pPr>
        <w:pStyle w:val="Heading2"/>
      </w:pPr>
      <w:r>
        <w:t xml:space="preserve">Conclusion</w:t>
      </w:r>
    </w:p>
    <w:p>
      <w:pPr>
        <w:pStyle w:val="FirstParagraph"/>
      </w:pPr>
      <w:r>
        <w:t xml:space="preserve">This provisional architecture blueprint provides an end‑to‑end view of the BecomingOS MVP. It emphasises modularity, consent enforcement, safety, deletion and auditability. It draws on industry best practices and research. However, it must be refined once the missing inputs are available. The architecture is intentionally designed to accommodate those future changes by decoupling components and isolating memory, enabling BecomingOS to evolve into a secure, trustworthy personal OS.</w:t>
      </w:r>
    </w:p>
    <w:bookmarkEnd w:id="50"/>
    <w:bookmarkEnd w:id="51"/>
    <w:bookmarkEnd w:id="52"/>
    <w:p>
      <w:r>
        <w:pict>
          <v:rect style="width:0;height:1.5pt" o:hralign="center" o:hrstd="t" o:hr="t"/>
        </w:pict>
      </w:r>
    </w:p>
    <w:bookmarkStart w:id="57" w:name="citations"/>
    <w:p>
      <w:pPr>
        <w:pStyle w:val="FirstParagraph"/>
      </w:pPr>
      <w:hyperlink r:id="rId24">
        <w:r>
          <w:rPr>
            <w:rStyle w:val="Hyperlink"/>
          </w:rPr>
          <w:t xml:space="preserve">[1]</w:t>
        </w:r>
      </w:hyperlink>
      <w:r>
        <w:t xml:space="preserve"> </w:t>
      </w:r>
      <w:r>
        <w:t xml:space="preserve">The Personal AI Architecture</w:t>
      </w:r>
    </w:p>
    <w:p>
      <w:pPr>
        <w:pStyle w:val="BodyText"/>
      </w:pPr>
      <w:hyperlink r:id="rId53">
        <w:r>
          <w:rPr>
            <w:rStyle w:val="Hyperlink"/>
          </w:rPr>
          <w:t xml:space="preserve">https://davewaring.com/the-personal-ai-architecture/</w:t>
        </w:r>
      </w:hyperlink>
    </w:p>
    <w:p>
      <w:pPr>
        <w:pStyle w:val="BodyText"/>
      </w:pPr>
      <w:hyperlink r:id="rId26">
        <w:r>
          <w:rPr>
            <w:rStyle w:val="Hyperlink"/>
          </w:rPr>
          <w:t xml:space="preserve">[2]</w:t>
        </w:r>
      </w:hyperlink>
      <w:r>
        <w:t xml:space="preserve"> </w:t>
      </w:r>
      <w:r>
        <w:t xml:space="preserve">Memory Design Crucial for Safe AI Agents | Arunima Sharma posted on the topic | LinkedIn</w:t>
      </w:r>
    </w:p>
    <w:p>
      <w:pPr>
        <w:pStyle w:val="BodyText"/>
      </w:pPr>
      <w:hyperlink r:id="rId26">
        <w:r>
          <w:rPr>
            <w:rStyle w:val="Hyperlink"/>
          </w:rPr>
          <w:t xml:space="preserve">https://www.linkedin.com/posts/arunimasharma_if-you-work-on-ai-systems-long-enough-a-activity-7437582494989697024-eN5v</w:t>
        </w:r>
      </w:hyperlink>
    </w:p>
    <w:p>
      <w:pPr>
        <w:pStyle w:val="BodyText"/>
      </w:pPr>
      <w:hyperlink r:id="rId27">
        <w:r>
          <w:rPr>
            <w:rStyle w:val="Hyperlink"/>
          </w:rPr>
          <w:t xml:space="preserve">[3]</w:t>
        </w:r>
      </w:hyperlink>
      <w:r>
        <w:t xml:space="preserve"> </w:t>
      </w:r>
      <w:r>
        <w:t xml:space="preserve"> </w:t>
      </w:r>
      <w:r>
        <w:t xml:space="preserve">Beyond Simulations: What 20,000 Real Conversations Reveal About Mental Health AI Safety - PMC</w:t>
      </w:r>
      <w:r>
        <w:t xml:space="preserve"> </w:t>
      </w:r>
    </w:p>
    <w:p>
      <w:pPr>
        <w:pStyle w:val="BodyText"/>
      </w:pPr>
      <w:hyperlink r:id="rId54">
        <w:r>
          <w:rPr>
            <w:rStyle w:val="Hyperlink"/>
          </w:rPr>
          <w:t xml:space="preserve">https://pmc.ncbi.nlm.nih.gov/articles/PMC12869570/</w:t>
        </w:r>
      </w:hyperlink>
    </w:p>
    <w:p>
      <w:pPr>
        <w:pStyle w:val="BodyText"/>
      </w:pPr>
      <w:hyperlink r:id="rId28">
        <w:r>
          <w:rPr>
            <w:rStyle w:val="Hyperlink"/>
          </w:rPr>
          <w:t xml:space="preserve">[4]</w:t>
        </w:r>
      </w:hyperlink>
      <w:r>
        <w:t xml:space="preserve"> </w:t>
      </w:r>
      <w:r>
        <w:t xml:space="preserve">Audit Trails for Accountability in Large Language Models</w:t>
      </w:r>
    </w:p>
    <w:p>
      <w:pPr>
        <w:pStyle w:val="BodyText"/>
      </w:pPr>
      <w:hyperlink r:id="rId55">
        <w:r>
          <w:rPr>
            <w:rStyle w:val="Hyperlink"/>
          </w:rPr>
          <w:t xml:space="preserve">https://arxiv.org/html/2601.20727v1</w:t>
        </w:r>
      </w:hyperlink>
    </w:p>
    <w:p>
      <w:pPr>
        <w:pStyle w:val="BodyText"/>
      </w:pPr>
      <w:hyperlink r:id="rId38">
        <w:r>
          <w:rPr>
            <w:rStyle w:val="Hyperlink"/>
          </w:rPr>
          <w:t xml:space="preserve">[5]</w:t>
        </w:r>
      </w:hyperlink>
      <w:r>
        <w:t xml:space="preserve"> </w:t>
      </w:r>
      <w:r>
        <w:t xml:space="preserve">AI data retention policy: rules, schedules and GDPR/EU AI Act requirements | AI Governance Lexicon | VerifyWise</w:t>
      </w:r>
    </w:p>
    <w:p>
      <w:pPr>
        <w:pStyle w:val="BodyText"/>
      </w:pPr>
      <w:hyperlink r:id="rId56">
        <w:r>
          <w:rPr>
            <w:rStyle w:val="Hyperlink"/>
          </w:rPr>
          <w:t xml:space="preserve">https://verifywise.ai/lexicon/data-retention-policies-for-ai</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arxiv.org/html/2601.20727v1" TargetMode="External" /><Relationship Type="http://schemas.openxmlformats.org/officeDocument/2006/relationships/hyperlink" Id="rId28" Target="https://arxiv.org/html/2601.20727v1#:~:text=in%20a%20durable%20and%20reviewable,when%2C%20and%20who%20authorized%20it" TargetMode="External" /><Relationship Type="http://schemas.openxmlformats.org/officeDocument/2006/relationships/hyperlink" Id="rId53" Target="https://davewaring.com/the-personal-ai-architecture/" TargetMode="External" /><Relationship Type="http://schemas.openxmlformats.org/officeDocument/2006/relationships/hyperlink" Id="rId24" Target="https://davewaring.com/the-personal-ai-architecture/#:~:text=Your%20Memory%20is%20the%20platform" TargetMode="External" /><Relationship Type="http://schemas.openxmlformats.org/officeDocument/2006/relationships/hyperlink" Id="rId54" Target="https://pmc.ncbi.nlm.nih.gov/articles/PMC12869570/" TargetMode="External" /><Relationship Type="http://schemas.openxmlformats.org/officeDocument/2006/relationships/hyperlink" Id="rId27" Target="https://pmc.ncbi.nlm.nih.gov/articles/PMC12869570/#:~:text=In%20real,licensure" TargetMode="External" /><Relationship Type="http://schemas.openxmlformats.org/officeDocument/2006/relationships/hyperlink" Id="rId56" Target="https://verifywise.ai/lexicon/data-retention-policies-for-ai" TargetMode="External" /><Relationship Type="http://schemas.openxmlformats.org/officeDocument/2006/relationships/hyperlink" Id="rId38" Target="https://verifywise.ai/lexicon/data-retention-policies-for-ai#:~:text=A%20well,define%20several%20things" TargetMode="External" /><Relationship Type="http://schemas.openxmlformats.org/officeDocument/2006/relationships/hyperlink" Id="rId26" Target="https://www.linkedin.com/posts/arunimasharma_if-you-work-on-ai-systems-long-enough-a-activity-7437582494989697024-eN5v" TargetMode="External" /></Relationships>
</file>

<file path=word/_rels/footnotes.xml.rels><?xml version="1.0" encoding="UTF-8"?><Relationships xmlns="http://schemas.openxmlformats.org/package/2006/relationships"><Relationship Type="http://schemas.openxmlformats.org/officeDocument/2006/relationships/hyperlink" Id="rId55" Target="https://arxiv.org/html/2601.20727v1" TargetMode="External" /><Relationship Type="http://schemas.openxmlformats.org/officeDocument/2006/relationships/hyperlink" Id="rId28" Target="https://arxiv.org/html/2601.20727v1#:~:text=in%20a%20durable%20and%20reviewable,when%2C%20and%20who%20authorized%20it" TargetMode="External" /><Relationship Type="http://schemas.openxmlformats.org/officeDocument/2006/relationships/hyperlink" Id="rId53" Target="https://davewaring.com/the-personal-ai-architecture/" TargetMode="External" /><Relationship Type="http://schemas.openxmlformats.org/officeDocument/2006/relationships/hyperlink" Id="rId24" Target="https://davewaring.com/the-personal-ai-architecture/#:~:text=Your%20Memory%20is%20the%20platform" TargetMode="External" /><Relationship Type="http://schemas.openxmlformats.org/officeDocument/2006/relationships/hyperlink" Id="rId54" Target="https://pmc.ncbi.nlm.nih.gov/articles/PMC12869570/" TargetMode="External" /><Relationship Type="http://schemas.openxmlformats.org/officeDocument/2006/relationships/hyperlink" Id="rId27" Target="https://pmc.ncbi.nlm.nih.gov/articles/PMC12869570/#:~:text=In%20real,licensure" TargetMode="External" /><Relationship Type="http://schemas.openxmlformats.org/officeDocument/2006/relationships/hyperlink" Id="rId56" Target="https://verifywise.ai/lexicon/data-retention-policies-for-ai" TargetMode="External" /><Relationship Type="http://schemas.openxmlformats.org/officeDocument/2006/relationships/hyperlink" Id="rId38" Target="https://verifywise.ai/lexicon/data-retention-policies-for-ai#:~:text=A%20well,define%20several%20things" TargetMode="External" /><Relationship Type="http://schemas.openxmlformats.org/officeDocument/2006/relationships/hyperlink" Id="rId26" Target="https://www.linkedin.com/posts/arunimasharma_if-you-work-on-ai-systems-long-enough-a-activity-7437582494989697024-eN5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2026-05-16T08:58:27Z</dcterms:created>
  <dcterms:modified xsi:type="dcterms:W3CDTF">2026-05-16T08:58:27Z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