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becomingos-build-readiness-work-plan"/>
    <w:p>
      <w:pPr>
        <w:pStyle w:val="Heading1"/>
      </w:pPr>
      <w:r>
        <w:t xml:space="preserve">BecomingOS Build-Readiness Work Plan</w:t>
      </w:r>
    </w:p>
    <w:bookmarkStart w:id="25" w:name="overview"/>
    <w:p>
      <w:pPr>
        <w:pStyle w:val="Heading2"/>
      </w:pPr>
      <w:r>
        <w:t xml:space="preserve">Overview</w:t>
      </w:r>
    </w:p>
    <w:p>
      <w:pPr>
        <w:pStyle w:val="FirstParagraph"/>
      </w:pPr>
      <w:r>
        <w:t xml:space="preserve">BecomingOS aims to move from a</w:t>
      </w:r>
      <w:r>
        <w:t xml:space="preserve"> </w:t>
      </w:r>
      <w:r>
        <w:rPr>
          <w:b/>
          <w:bCs/>
        </w:rPr>
        <w:t xml:space="preserve">low‑fidelity prototype</w:t>
      </w:r>
      <w:r>
        <w:t xml:space="preserve"> </w:t>
      </w:r>
      <w:r>
        <w:t xml:space="preserve">to a minimally viable product (MVP). At this stage the product concept and module structure are clear, but there is</w:t>
      </w:r>
      <w:r>
        <w:t xml:space="preserve"> </w:t>
      </w:r>
      <w:r>
        <w:rPr>
          <w:b/>
          <w:bCs/>
        </w:rPr>
        <w:t xml:space="preserve">no validated user evidence, product requirements, non‑functional specifications, data model, legal review, or evaluation harness</w:t>
      </w:r>
      <w:r>
        <w:t xml:space="preserve">. The following work plan organises activities across 19 specialised agents. Each agent’s objective, inputs, deliverables, acceptance criteria, dependencies, risks, output format and priority are summarised. A recommended execution order, dependency map and go/no‑go checklist follow.</w:t>
      </w:r>
    </w:p>
    <w:p>
      <w:pPr>
        <w:pStyle w:val="BlockText"/>
      </w:pPr>
      <w:r>
        <w:rPr>
          <w:b/>
          <w:bCs/>
        </w:rPr>
        <w:t xml:space="preserve">Key evidence</w:t>
      </w:r>
      <w:r>
        <w:t xml:space="preserve"> </w:t>
      </w:r>
      <w:r>
        <w:t xml:space="preserve">– The final build readiness assessment emphasises that the current project supports only a manual prototype; there is moderate evidence for form and flow but weak evidence for user desirability, requirements, quality bars, data governance and legal compliance</w:t>
      </w:r>
      <w:hyperlink r:id="rId21">
        <w:r>
          <w:rPr>
            <w:rStyle w:val="Hyperlink"/>
          </w:rPr>
          <w:t xml:space="preserve">[1]</w:t>
        </w:r>
      </w:hyperlink>
      <w:r>
        <w:t xml:space="preserve">. Safety policies require clear boundaries (no diagnosis, therapy, crisis response)</w:t>
      </w:r>
      <w:hyperlink r:id="rId22">
        <w:r>
          <w:rPr>
            <w:rStyle w:val="Hyperlink"/>
          </w:rPr>
          <w:t xml:space="preserve">[2]</w:t>
        </w:r>
      </w:hyperlink>
      <w:r>
        <w:t xml:space="preserve"> </w:t>
      </w:r>
      <w:r>
        <w:t xml:space="preserve">and AI output must always be tentative, user‑confirmed and non‑diagnostic</w:t>
      </w:r>
      <w:hyperlink r:id="rId23">
        <w:r>
          <w:rPr>
            <w:rStyle w:val="Hyperlink"/>
          </w:rPr>
          <w:t xml:space="preserve">[3]</w:t>
        </w:r>
      </w:hyperlink>
      <w:hyperlink r:id="rId24">
        <w:r>
          <w:rPr>
            <w:rStyle w:val="Hyperlink"/>
          </w:rPr>
          <w:t xml:space="preserve">[4]</w:t>
        </w:r>
      </w:hyperlink>
      <w:r>
        <w:t xml:space="preserve">.</w:t>
      </w:r>
    </w:p>
    <w:bookmarkEnd w:id="25"/>
    <w:bookmarkStart w:id="82" w:name="agent-work-plans"/>
    <w:p>
      <w:pPr>
        <w:pStyle w:val="Heading2"/>
      </w:pPr>
      <w:r>
        <w:t xml:space="preserve">Agent Work Plans</w:t>
      </w:r>
    </w:p>
    <w:bookmarkStart w:id="30" w:name="user-research-agent-p0"/>
    <w:p>
      <w:pPr>
        <w:pStyle w:val="Heading3"/>
      </w:pPr>
      <w:r>
        <w:t xml:space="preserve">1. User Research Agent (P0)</w:t>
      </w:r>
    </w:p>
    <w:p>
      <w:pPr>
        <w:pStyle w:val="Compact"/>
        <w:numPr>
          <w:ilvl w:val="0"/>
          <w:numId w:val="1001"/>
        </w:numPr>
      </w:pPr>
      <w:r>
        <w:rPr>
          <w:b/>
          <w:bCs/>
        </w:rPr>
        <w:t xml:space="preserve">Objective</w:t>
      </w:r>
      <w:r>
        <w:t xml:space="preserve"> – Identify the primary target segment(s), understand users’ needs, pain points and willingness to share sensitive data. Gather evidence to determine whether the product’s “install your OS” concept resonates and whether users return for a second session</w:t>
      </w:r>
      <w:hyperlink r:id="rId26">
        <w:r>
          <w:rPr>
            <w:rStyle w:val="Hyperlink"/>
          </w:rPr>
          <w:t xml:space="preserve">[5]</w:t>
        </w:r>
      </w:hyperlink>
      <w:r>
        <w:t xml:space="preserve">.</w:t>
      </w:r>
    </w:p>
    <w:p>
      <w:pPr>
        <w:pStyle w:val="Compact"/>
        <w:numPr>
          <w:ilvl w:val="0"/>
          <w:numId w:val="1001"/>
        </w:numPr>
      </w:pPr>
      <w:r>
        <w:rPr>
          <w:b/>
          <w:bCs/>
        </w:rPr>
        <w:t xml:space="preserve">Inputs needed</w:t>
      </w:r>
      <w:r>
        <w:t xml:space="preserve"> – Access to potential users (via recruiting panel), current concept mock‑ups, foundational UX flows and values/identity question bank</w:t>
      </w:r>
      <w:hyperlink r:id="rId27">
        <w:r>
          <w:rPr>
            <w:rStyle w:val="Hyperlink"/>
          </w:rPr>
          <w:t xml:space="preserve">[6]</w:t>
        </w:r>
      </w:hyperlink>
      <w:hyperlink r:id="rId28">
        <w:r>
          <w:rPr>
            <w:rStyle w:val="Hyperlink"/>
          </w:rPr>
          <w:t xml:space="preserve">[7]</w:t>
        </w:r>
      </w:hyperlink>
      <w:r>
        <w:t xml:space="preserve">.</w:t>
      </w:r>
    </w:p>
    <w:p>
      <w:pPr>
        <w:pStyle w:val="Compact"/>
        <w:numPr>
          <w:ilvl w:val="0"/>
          <w:numId w:val="1001"/>
        </w:numPr>
      </w:pPr>
      <w:r>
        <w:rPr>
          <w:b/>
          <w:bCs/>
        </w:rPr>
        <w:t xml:space="preserve">Deliverables</w:t>
      </w:r>
      <w:r>
        <w:t xml:space="preserve"> –</w:t>
      </w:r>
    </w:p>
    <w:p>
      <w:pPr>
        <w:pStyle w:val="Compact"/>
        <w:numPr>
          <w:ilvl w:val="0"/>
          <w:numId w:val="1001"/>
        </w:numPr>
      </w:pPr>
      <w:r>
        <w:t xml:space="preserve">Research plan covering JTBD interviews, surveys and usability tests (minimum 12–20 interviews and 5–7 concierge users).</w:t>
      </w:r>
    </w:p>
    <w:p>
      <w:pPr>
        <w:pStyle w:val="Compact"/>
        <w:numPr>
          <w:ilvl w:val="0"/>
          <w:numId w:val="1001"/>
        </w:numPr>
      </w:pPr>
      <w:r>
        <w:t xml:space="preserve">Segmentation hypothesis and prioritised personas.</w:t>
      </w:r>
    </w:p>
    <w:p>
      <w:pPr>
        <w:numPr>
          <w:ilvl w:val="0"/>
          <w:numId w:val="1001"/>
        </w:numPr>
      </w:pPr>
      <w:r>
        <w:t xml:space="preserve">Insights report summarising motivations, concerns about data sensitivity, onboarding reactions, comprehension of modules, and reasons to continue or drop off.</w:t>
      </w:r>
    </w:p>
    <w:p>
      <w:pPr>
        <w:numPr>
          <w:ilvl w:val="0"/>
          <w:numId w:val="1001"/>
        </w:numPr>
      </w:pPr>
      <w:r>
        <w:rPr>
          <w:b/>
          <w:bCs/>
        </w:rPr>
        <w:t xml:space="preserve">Acceptance criteria</w:t>
      </w:r>
      <w:r>
        <w:t xml:space="preserve"> –</w:t>
      </w:r>
    </w:p>
    <w:p>
      <w:pPr>
        <w:pStyle w:val="Compact"/>
        <w:numPr>
          <w:ilvl w:val="0"/>
          <w:numId w:val="1001"/>
        </w:numPr>
      </w:pPr>
      <w:r>
        <w:t xml:space="preserve">Clear identification of a primary launch segment, with evidence of unmet needs and willingness to use a self‑discovery tool.</w:t>
      </w:r>
    </w:p>
    <w:p>
      <w:pPr>
        <w:pStyle w:val="Compact"/>
        <w:numPr>
          <w:ilvl w:val="0"/>
          <w:numId w:val="1001"/>
        </w:numPr>
      </w:pPr>
      <w:r>
        <w:t xml:space="preserve">Documented reactions to the prototype flow (confusion points, trust issues, willingness to correct AI output).</w:t>
      </w:r>
    </w:p>
    <w:p>
      <w:pPr>
        <w:pStyle w:val="Compact"/>
        <w:numPr>
          <w:ilvl w:val="0"/>
          <w:numId w:val="1001"/>
        </w:numPr>
      </w:pPr>
      <w:r>
        <w:t xml:space="preserve">Recommendations for product scope and messaging.</w:t>
      </w:r>
    </w:p>
    <w:p>
      <w:pPr>
        <w:pStyle w:val="Compact"/>
        <w:numPr>
          <w:ilvl w:val="0"/>
          <w:numId w:val="1001"/>
        </w:numPr>
      </w:pPr>
      <w:r>
        <w:rPr>
          <w:b/>
          <w:bCs/>
        </w:rPr>
        <w:t xml:space="preserve">Dependencies</w:t>
      </w:r>
      <w:r>
        <w:t xml:space="preserve"> – Prototype UX Agent for mock‑ups; Curriculum Agent for early question wording; Consent/Privacy Agent for participant disclosures.</w:t>
      </w:r>
    </w:p>
    <w:p>
      <w:pPr>
        <w:pStyle w:val="Compact"/>
        <w:numPr>
          <w:ilvl w:val="0"/>
          <w:numId w:val="1001"/>
        </w:numPr>
      </w:pPr>
      <w:r>
        <w:rPr>
          <w:b/>
          <w:bCs/>
        </w:rPr>
        <w:t xml:space="preserve">Risks</w:t>
      </w:r>
      <w:r>
        <w:t xml:space="preserve"> – Recruitment delays; bias in early adopters; potential distress if questions are too intense</w:t>
      </w:r>
      <w:hyperlink r:id="rId29">
        <w:r>
          <w:rPr>
            <w:rStyle w:val="Hyperlink"/>
          </w:rPr>
          <w:t xml:space="preserve">[8]</w:t>
        </w:r>
      </w:hyperlink>
      <w:r>
        <w:t xml:space="preserve">; ethics approval if academic recruitment is used.</w:t>
      </w:r>
    </w:p>
    <w:p>
      <w:pPr>
        <w:pStyle w:val="Compact"/>
        <w:numPr>
          <w:ilvl w:val="0"/>
          <w:numId w:val="1001"/>
        </w:numPr>
      </w:pPr>
      <w:r>
        <w:rPr>
          <w:b/>
          <w:bCs/>
        </w:rPr>
        <w:t xml:space="preserve">Output format</w:t>
      </w:r>
      <w:r>
        <w:t xml:space="preserve"> – Research report summarising findings and user quotes (prose), plus persona briefs (2–3 paragraphs each).</w:t>
      </w:r>
    </w:p>
    <w:bookmarkEnd w:id="30"/>
    <w:bookmarkStart w:id="31" w:name="market-validation-agent-p0"/>
    <w:p>
      <w:pPr>
        <w:pStyle w:val="Heading3"/>
      </w:pPr>
      <w:r>
        <w:t xml:space="preserve">2. Market Validation Agent (P0)</w:t>
      </w:r>
    </w:p>
    <w:p>
      <w:pPr>
        <w:pStyle w:val="Compact"/>
        <w:numPr>
          <w:ilvl w:val="0"/>
          <w:numId w:val="1002"/>
        </w:numPr>
      </w:pPr>
      <w:r>
        <w:rPr>
          <w:b/>
          <w:bCs/>
        </w:rPr>
        <w:t xml:space="preserve">Objective</w:t>
      </w:r>
      <w:r>
        <w:t xml:space="preserve"> – Determine market demand, competitive positioning and willingness to pay. Validate the commercial viability of BecomingOS and refine the unique value proposition.</w:t>
      </w:r>
    </w:p>
    <w:p>
      <w:pPr>
        <w:pStyle w:val="Compact"/>
        <w:numPr>
          <w:ilvl w:val="0"/>
          <w:numId w:val="1002"/>
        </w:numPr>
      </w:pPr>
      <w:r>
        <w:rPr>
          <w:b/>
          <w:bCs/>
        </w:rPr>
        <w:t xml:space="preserve">Inputs needed</w:t>
      </w:r>
      <w:r>
        <w:t xml:space="preserve"> – Competitor landscape (wellness, journaling, habit apps), pricing benchmarks, target segment hypothesis from User Research Agent, high‑level product concept.</w:t>
      </w:r>
    </w:p>
    <w:p>
      <w:pPr>
        <w:pStyle w:val="Compact"/>
        <w:numPr>
          <w:ilvl w:val="0"/>
          <w:numId w:val="1002"/>
        </w:numPr>
      </w:pPr>
      <w:r>
        <w:rPr>
          <w:b/>
          <w:bCs/>
        </w:rPr>
        <w:t xml:space="preserve">Deliverables</w:t>
      </w:r>
      <w:r>
        <w:t xml:space="preserve"> –</w:t>
      </w:r>
    </w:p>
    <w:p>
      <w:pPr>
        <w:pStyle w:val="Compact"/>
        <w:numPr>
          <w:ilvl w:val="0"/>
          <w:numId w:val="1002"/>
        </w:numPr>
      </w:pPr>
      <w:r>
        <w:t xml:space="preserve">Competitive analysis matrix (features vs. competitors).</w:t>
      </w:r>
    </w:p>
    <w:p>
      <w:pPr>
        <w:pStyle w:val="Compact"/>
        <w:numPr>
          <w:ilvl w:val="0"/>
          <w:numId w:val="1002"/>
        </w:numPr>
      </w:pPr>
      <w:r>
        <w:t xml:space="preserve">Market sizing and TAM/SAM estimates.</w:t>
      </w:r>
    </w:p>
    <w:p>
      <w:pPr>
        <w:numPr>
          <w:ilvl w:val="0"/>
          <w:numId w:val="1002"/>
        </w:numPr>
      </w:pPr>
      <w:r>
        <w:t xml:space="preserve">Hypotheses for pricing models and early adoption channels.</w:t>
      </w:r>
    </w:p>
    <w:p>
      <w:pPr>
        <w:numPr>
          <w:ilvl w:val="0"/>
          <w:numId w:val="1002"/>
        </w:numPr>
      </w:pPr>
      <w:r>
        <w:rPr>
          <w:b/>
          <w:bCs/>
        </w:rPr>
        <w:t xml:space="preserve">Acceptance criteria</w:t>
      </w:r>
      <w:r>
        <w:t xml:space="preserve"> – Evidence of a viable market segment that is not saturated; identification of differentiators (values/identity focus, guided modules); go/no‑go recommendation for proceeding with MVP.</w:t>
      </w:r>
    </w:p>
    <w:p>
      <w:pPr>
        <w:pStyle w:val="Compact"/>
        <w:numPr>
          <w:ilvl w:val="0"/>
          <w:numId w:val="1002"/>
        </w:numPr>
      </w:pPr>
      <w:r>
        <w:rPr>
          <w:b/>
          <w:bCs/>
        </w:rPr>
        <w:t xml:space="preserve">Dependencies</w:t>
      </w:r>
      <w:r>
        <w:t xml:space="preserve"> – User Research insights for segment definition; PRD Agent for feature scope alignment.</w:t>
      </w:r>
    </w:p>
    <w:p>
      <w:pPr>
        <w:pStyle w:val="Compact"/>
        <w:numPr>
          <w:ilvl w:val="0"/>
          <w:numId w:val="1002"/>
        </w:numPr>
      </w:pPr>
      <w:r>
        <w:rPr>
          <w:b/>
          <w:bCs/>
        </w:rPr>
        <w:t xml:space="preserve">Risks</w:t>
      </w:r>
      <w:r>
        <w:t xml:space="preserve"> – Over‑reliance on secondary research; misreading early market signals.</w:t>
      </w:r>
    </w:p>
    <w:p>
      <w:pPr>
        <w:pStyle w:val="Compact"/>
        <w:numPr>
          <w:ilvl w:val="0"/>
          <w:numId w:val="1002"/>
        </w:numPr>
      </w:pPr>
      <w:r>
        <w:rPr>
          <w:b/>
          <w:bCs/>
        </w:rPr>
        <w:t xml:space="preserve">Output format</w:t>
      </w:r>
      <w:r>
        <w:t xml:space="preserve"> – Market validation report with charts and competitor table.</w:t>
      </w:r>
    </w:p>
    <w:bookmarkEnd w:id="31"/>
    <w:bookmarkStart w:id="35" w:name="X93ad9ec075ee2a3ae2203a8d594cd09e1fee71c"/>
    <w:p>
      <w:pPr>
        <w:pStyle w:val="Heading3"/>
      </w:pPr>
      <w:r>
        <w:t xml:space="preserve">3. PRD (Product Requirements Document) Agent (P0)</w:t>
      </w:r>
    </w:p>
    <w:p>
      <w:pPr>
        <w:pStyle w:val="Compact"/>
        <w:numPr>
          <w:ilvl w:val="0"/>
          <w:numId w:val="1003"/>
        </w:numPr>
      </w:pPr>
      <w:r>
        <w:rPr>
          <w:b/>
          <w:bCs/>
        </w:rPr>
        <w:t xml:space="preserve">Objective</w:t>
      </w:r>
      <w:r>
        <w:t xml:space="preserve"> – Produce a versioned Product Requirements Document that translates the concept into clear</w:t>
      </w:r>
      <w:r>
        <w:t xml:space="preserve"> </w:t>
      </w:r>
      <w:r>
        <w:rPr>
          <w:b/>
          <w:bCs/>
        </w:rPr>
        <w:t xml:space="preserve">must/should/won’t</w:t>
      </w:r>
      <w:r>
        <w:t xml:space="preserve"> </w:t>
      </w:r>
      <w:r>
        <w:t xml:space="preserve">requirements, success metrics and acceptance criteria</w:t>
      </w:r>
      <w:hyperlink r:id="rId32">
        <w:r>
          <w:rPr>
            <w:rStyle w:val="Hyperlink"/>
          </w:rPr>
          <w:t xml:space="preserve">[9]</w:t>
        </w:r>
      </w:hyperlink>
      <w:r>
        <w:t xml:space="preserve">.</w:t>
      </w:r>
    </w:p>
    <w:p>
      <w:pPr>
        <w:pStyle w:val="Compact"/>
        <w:numPr>
          <w:ilvl w:val="0"/>
          <w:numId w:val="1003"/>
        </w:numPr>
      </w:pPr>
      <w:r>
        <w:rPr>
          <w:b/>
          <w:bCs/>
        </w:rPr>
        <w:t xml:space="preserve">Inputs needed</w:t>
      </w:r>
      <w:r>
        <w:t xml:space="preserve"> – Current concept description, module definitions, research findings, market validation, safety and boundary policies</w:t>
      </w:r>
      <w:hyperlink r:id="rId22">
        <w:r>
          <w:rPr>
            <w:rStyle w:val="Hyperlink"/>
          </w:rPr>
          <w:t xml:space="preserve">[2]</w:t>
        </w:r>
      </w:hyperlink>
      <w:r>
        <w:t xml:space="preserve">.</w:t>
      </w:r>
    </w:p>
    <w:p>
      <w:pPr>
        <w:pStyle w:val="Compact"/>
        <w:numPr>
          <w:ilvl w:val="0"/>
          <w:numId w:val="1003"/>
        </w:numPr>
      </w:pPr>
      <w:r>
        <w:rPr>
          <w:b/>
          <w:bCs/>
        </w:rPr>
        <w:t xml:space="preserve">Deliverables</w:t>
      </w:r>
      <w:r>
        <w:t xml:space="preserve"> –</w:t>
      </w:r>
    </w:p>
    <w:p>
      <w:pPr>
        <w:pStyle w:val="Compact"/>
        <w:numPr>
          <w:ilvl w:val="0"/>
          <w:numId w:val="1003"/>
        </w:numPr>
      </w:pPr>
      <w:r>
        <w:t xml:space="preserve">PRD including user stories, functional requirements for Modules 0–2 (values, identity, goals), non‑functional placeholder requirements, success metrics (“user returns after first session,” “value/identity statements saved”), out-of-scope list (e.g., calendar write‑back, supporter sharing).</w:t>
      </w:r>
    </w:p>
    <w:p>
      <w:pPr>
        <w:pStyle w:val="Compact"/>
        <w:numPr>
          <w:ilvl w:val="0"/>
          <w:numId w:val="1003"/>
        </w:numPr>
      </w:pPr>
      <w:r>
        <w:t xml:space="preserve">Acceptance criteria per feature.</w:t>
      </w:r>
    </w:p>
    <w:p>
      <w:pPr>
        <w:numPr>
          <w:ilvl w:val="0"/>
          <w:numId w:val="1003"/>
        </w:numPr>
      </w:pPr>
      <w:r>
        <w:t xml:space="preserve">Must/should/won’t table.</w:t>
      </w:r>
    </w:p>
    <w:p>
      <w:pPr>
        <w:numPr>
          <w:ilvl w:val="0"/>
          <w:numId w:val="1003"/>
        </w:numPr>
      </w:pPr>
      <w:r>
        <w:rPr>
          <w:b/>
          <w:bCs/>
        </w:rPr>
        <w:t xml:space="preserve">Acceptance criteria</w:t>
      </w:r>
      <w:r>
        <w:t xml:space="preserve"> –</w:t>
      </w:r>
    </w:p>
    <w:p>
      <w:pPr>
        <w:pStyle w:val="Compact"/>
        <w:numPr>
          <w:ilvl w:val="0"/>
          <w:numId w:val="1003"/>
        </w:numPr>
      </w:pPr>
      <w:r>
        <w:t xml:space="preserve">All features are traceable to user needs or strategic goals.</w:t>
      </w:r>
    </w:p>
    <w:p>
      <w:pPr>
        <w:pStyle w:val="Compact"/>
        <w:numPr>
          <w:ilvl w:val="0"/>
          <w:numId w:val="1003"/>
        </w:numPr>
      </w:pPr>
      <w:r>
        <w:t xml:space="preserve">Out-of-scope items explicitly deferred</w:t>
      </w:r>
      <w:hyperlink r:id="rId33">
        <w:r>
          <w:rPr>
            <w:rStyle w:val="Hyperlink"/>
          </w:rPr>
          <w:t xml:space="preserve">[10]</w:t>
        </w:r>
      </w:hyperlink>
      <w:r>
        <w:t xml:space="preserve">.</w:t>
      </w:r>
    </w:p>
    <w:p>
      <w:pPr>
        <w:pStyle w:val="Compact"/>
        <w:numPr>
          <w:ilvl w:val="0"/>
          <w:numId w:val="1003"/>
        </w:numPr>
      </w:pPr>
      <w:r>
        <w:t xml:space="preserve">Safety boundaries are woven into feature descriptions (no diagnosis, no therapy, no high‑impact decisions)</w:t>
      </w:r>
      <w:hyperlink r:id="rId34">
        <w:r>
          <w:rPr>
            <w:rStyle w:val="Hyperlink"/>
          </w:rPr>
          <w:t xml:space="preserve">[11]</w:t>
        </w:r>
      </w:hyperlink>
      <w:r>
        <w:t xml:space="preserve">.</w:t>
      </w:r>
    </w:p>
    <w:p>
      <w:pPr>
        <w:pStyle w:val="Compact"/>
        <w:numPr>
          <w:ilvl w:val="0"/>
          <w:numId w:val="1003"/>
        </w:numPr>
      </w:pPr>
      <w:r>
        <w:rPr>
          <w:b/>
          <w:bCs/>
        </w:rPr>
        <w:t xml:space="preserve">Dependencies</w:t>
      </w:r>
      <w:r>
        <w:t xml:space="preserve"> – User Research and Market Validation; Safety &amp; Boundaries document; Curriculum Agent; Privacy &amp; Consent Agent.</w:t>
      </w:r>
    </w:p>
    <w:p>
      <w:pPr>
        <w:pStyle w:val="Compact"/>
        <w:numPr>
          <w:ilvl w:val="0"/>
          <w:numId w:val="1003"/>
        </w:numPr>
      </w:pPr>
      <w:r>
        <w:rPr>
          <w:b/>
          <w:bCs/>
        </w:rPr>
        <w:t xml:space="preserve">Risks</w:t>
      </w:r>
      <w:r>
        <w:t xml:space="preserve"> – Scope creep; ambiguous requirements; misalignment with legal constraints.</w:t>
      </w:r>
    </w:p>
    <w:p>
      <w:pPr>
        <w:pStyle w:val="Compact"/>
        <w:numPr>
          <w:ilvl w:val="0"/>
          <w:numId w:val="1003"/>
        </w:numPr>
      </w:pPr>
      <w:r>
        <w:rPr>
          <w:b/>
          <w:bCs/>
        </w:rPr>
        <w:t xml:space="preserve">Output format</w:t>
      </w:r>
      <w:r>
        <w:t xml:space="preserve"> – Structured PRD (prose) with tables for priorities and metrics.</w:t>
      </w:r>
    </w:p>
    <w:bookmarkEnd w:id="35"/>
    <w:bookmarkStart w:id="37" w:name="nonfunctional-requirements-nfr-agent-p0"/>
    <w:p>
      <w:pPr>
        <w:pStyle w:val="Heading3"/>
      </w:pPr>
      <w:r>
        <w:t xml:space="preserve">4. Non‑Functional Requirements (NFR) Agent (P0)</w:t>
      </w:r>
    </w:p>
    <w:p>
      <w:pPr>
        <w:pStyle w:val="Compact"/>
        <w:numPr>
          <w:ilvl w:val="0"/>
          <w:numId w:val="1004"/>
        </w:numPr>
      </w:pPr>
      <w:r>
        <w:rPr>
          <w:b/>
          <w:bCs/>
        </w:rPr>
        <w:t xml:space="preserve">Objective</w:t>
      </w:r>
      <w:r>
        <w:t xml:space="preserve"> – Define target platform, geography, scale assumptions, latency, cost ceilings, data residency and availability targets</w:t>
      </w:r>
      <w:hyperlink r:id="rId36">
        <w:r>
          <w:rPr>
            <w:rStyle w:val="Hyperlink"/>
          </w:rPr>
          <w:t xml:space="preserve">[12]</w:t>
        </w:r>
      </w:hyperlink>
      <w:r>
        <w:t xml:space="preserve">.</w:t>
      </w:r>
    </w:p>
    <w:p>
      <w:pPr>
        <w:pStyle w:val="Compact"/>
        <w:numPr>
          <w:ilvl w:val="0"/>
          <w:numId w:val="1004"/>
        </w:numPr>
      </w:pPr>
      <w:r>
        <w:rPr>
          <w:b/>
          <w:bCs/>
        </w:rPr>
        <w:t xml:space="preserve">Inputs needed</w:t>
      </w:r>
      <w:r>
        <w:t xml:space="preserve"> – PRD, market segment location (Australia initially), expected DAU/MAU, privacy constraints, research on infrastructure costs.</w:t>
      </w:r>
    </w:p>
    <w:p>
      <w:pPr>
        <w:pStyle w:val="Compact"/>
        <w:numPr>
          <w:ilvl w:val="0"/>
          <w:numId w:val="1004"/>
        </w:numPr>
      </w:pPr>
      <w:r>
        <w:rPr>
          <w:b/>
          <w:bCs/>
        </w:rPr>
        <w:t xml:space="preserve">Deliverables</w:t>
      </w:r>
      <w:r>
        <w:t xml:space="preserve"> –</w:t>
      </w:r>
    </w:p>
    <w:p>
      <w:pPr>
        <w:pStyle w:val="Compact"/>
        <w:numPr>
          <w:ilvl w:val="0"/>
          <w:numId w:val="1004"/>
        </w:numPr>
      </w:pPr>
      <w:r>
        <w:t xml:space="preserve">NFR specification including latency (&lt;500 ms response for AI operations), uptime (e.g., 99.5 %), concurrency assumptions, data residency (Australian servers), initial user volume (e.g., pilot with 100 users), cost ceilings for AI inference.</w:t>
      </w:r>
    </w:p>
    <w:p>
      <w:pPr>
        <w:pStyle w:val="Compact"/>
        <w:numPr>
          <w:ilvl w:val="0"/>
          <w:numId w:val="1004"/>
        </w:numPr>
      </w:pPr>
      <w:r>
        <w:t xml:space="preserve">Recovery objectives (RPO/RTO), security and compliance constraints (e.g., OAIC guidelines).</w:t>
      </w:r>
    </w:p>
    <w:p>
      <w:pPr>
        <w:numPr>
          <w:ilvl w:val="0"/>
          <w:numId w:val="1004"/>
        </w:numPr>
      </w:pPr>
      <w:r>
        <w:t xml:space="preserve">Table mapping NFRs to system components.</w:t>
      </w:r>
    </w:p>
    <w:p>
      <w:pPr>
        <w:numPr>
          <w:ilvl w:val="0"/>
          <w:numId w:val="1004"/>
        </w:numPr>
      </w:pPr>
      <w:r>
        <w:rPr>
          <w:b/>
          <w:bCs/>
        </w:rPr>
        <w:t xml:space="preserve">Acceptance criteria</w:t>
      </w:r>
      <w:r>
        <w:t xml:space="preserve"> –</w:t>
      </w:r>
    </w:p>
    <w:p>
      <w:pPr>
        <w:pStyle w:val="Compact"/>
        <w:numPr>
          <w:ilvl w:val="0"/>
          <w:numId w:val="1004"/>
        </w:numPr>
      </w:pPr>
      <w:r>
        <w:t xml:space="preserve">Documented SLOs approved by stakeholders.</w:t>
      </w:r>
    </w:p>
    <w:p>
      <w:pPr>
        <w:pStyle w:val="Compact"/>
        <w:numPr>
          <w:ilvl w:val="0"/>
          <w:numId w:val="1004"/>
        </w:numPr>
      </w:pPr>
      <w:r>
        <w:t xml:space="preserve">Alignment with privacy and legal obligations (data stored in compliant region).</w:t>
      </w:r>
    </w:p>
    <w:p>
      <w:pPr>
        <w:pStyle w:val="Compact"/>
        <w:numPr>
          <w:ilvl w:val="0"/>
          <w:numId w:val="1004"/>
        </w:numPr>
      </w:pPr>
      <w:r>
        <w:t xml:space="preserve">NFRs realistic for a prototype (avoid over‑engineering).</w:t>
      </w:r>
    </w:p>
    <w:p>
      <w:pPr>
        <w:pStyle w:val="Compact"/>
        <w:numPr>
          <w:ilvl w:val="0"/>
          <w:numId w:val="1004"/>
        </w:numPr>
      </w:pPr>
      <w:r>
        <w:rPr>
          <w:b/>
          <w:bCs/>
        </w:rPr>
        <w:t xml:space="preserve">Dependencies</w:t>
      </w:r>
      <w:r>
        <w:t xml:space="preserve"> – PRD; Privacy &amp; Consent Agent; Security Threat Model Agent; Market Validation (for scale assumptions).</w:t>
      </w:r>
    </w:p>
    <w:p>
      <w:pPr>
        <w:pStyle w:val="Compact"/>
        <w:numPr>
          <w:ilvl w:val="0"/>
          <w:numId w:val="1004"/>
        </w:numPr>
      </w:pPr>
      <w:r>
        <w:rPr>
          <w:b/>
          <w:bCs/>
        </w:rPr>
        <w:t xml:space="preserve">Risks</w:t>
      </w:r>
      <w:r>
        <w:t xml:space="preserve"> – Underestimating AI inference costs; over‑specifying for early stage; regulatory changes.</w:t>
      </w:r>
    </w:p>
    <w:p>
      <w:pPr>
        <w:pStyle w:val="Compact"/>
        <w:numPr>
          <w:ilvl w:val="0"/>
          <w:numId w:val="1004"/>
        </w:numPr>
      </w:pPr>
      <w:r>
        <w:rPr>
          <w:b/>
          <w:bCs/>
        </w:rPr>
        <w:t xml:space="preserve">Output format</w:t>
      </w:r>
      <w:r>
        <w:t xml:space="preserve"> – NFR document with tables for each requirement.</w:t>
      </w:r>
    </w:p>
    <w:bookmarkEnd w:id="37"/>
    <w:bookmarkStart w:id="41" w:name="canonical-data-model-agent-p0"/>
    <w:p>
      <w:pPr>
        <w:pStyle w:val="Heading3"/>
      </w:pPr>
      <w:r>
        <w:t xml:space="preserve">5. Canonical Data Model Agent (P0)</w:t>
      </w:r>
    </w:p>
    <w:p>
      <w:pPr>
        <w:pStyle w:val="Compact"/>
        <w:numPr>
          <w:ilvl w:val="0"/>
          <w:numId w:val="1005"/>
        </w:numPr>
      </w:pPr>
      <w:r>
        <w:rPr>
          <w:b/>
          <w:bCs/>
        </w:rPr>
        <w:t xml:space="preserve">Objective</w:t>
      </w:r>
      <w:r>
        <w:t xml:space="preserve"> – Design a canonical data model and schema for user profiles, modules, values, identity statements, goals, AI interpretations, event logs and consent states</w:t>
      </w:r>
      <w:hyperlink r:id="rId38">
        <w:r>
          <w:rPr>
            <w:rStyle w:val="Hyperlink"/>
          </w:rPr>
          <w:t xml:space="preserve">[13]</w:t>
        </w:r>
      </w:hyperlink>
      <w:r>
        <w:t xml:space="preserve">.</w:t>
      </w:r>
    </w:p>
    <w:p>
      <w:pPr>
        <w:pStyle w:val="Compact"/>
        <w:numPr>
          <w:ilvl w:val="0"/>
          <w:numId w:val="1005"/>
        </w:numPr>
      </w:pPr>
      <w:r>
        <w:rPr>
          <w:b/>
          <w:bCs/>
        </w:rPr>
        <w:t xml:space="preserve">Inputs needed</w:t>
      </w:r>
      <w:r>
        <w:t xml:space="preserve"> – Research plan, question bank, safety policy (what must not be saved), privacy requirements, PRD.</w:t>
      </w:r>
    </w:p>
    <w:p>
      <w:pPr>
        <w:pStyle w:val="Compact"/>
        <w:numPr>
          <w:ilvl w:val="0"/>
          <w:numId w:val="1005"/>
        </w:numPr>
      </w:pPr>
      <w:r>
        <w:rPr>
          <w:b/>
          <w:bCs/>
        </w:rPr>
        <w:t xml:space="preserve">Deliverables</w:t>
      </w:r>
      <w:r>
        <w:t xml:space="preserve"> –</w:t>
      </w:r>
    </w:p>
    <w:p>
      <w:pPr>
        <w:pStyle w:val="Compact"/>
        <w:numPr>
          <w:ilvl w:val="0"/>
          <w:numId w:val="1005"/>
        </w:numPr>
      </w:pPr>
      <w:r>
        <w:t xml:space="preserve">Entity–relationship diagrams covering core objects (User, Value, Identity, Goal, Rule, Boundary, Interpretation, ConsentRecord).</w:t>
      </w:r>
    </w:p>
    <w:p>
      <w:pPr>
        <w:pStyle w:val="Compact"/>
        <w:numPr>
          <w:ilvl w:val="0"/>
          <w:numId w:val="1005"/>
        </w:numPr>
      </w:pPr>
      <w:r>
        <w:t xml:space="preserve">Schema definitions with fields, data types, source (user‑stated, AI‑generated, user‑confirmed), timestamps and retention rules.</w:t>
      </w:r>
    </w:p>
    <w:p>
      <w:pPr>
        <w:numPr>
          <w:ilvl w:val="0"/>
          <w:numId w:val="1005"/>
        </w:numPr>
      </w:pPr>
      <w:r>
        <w:t xml:space="preserve">Data provenance model distinguishing raw entries, AI suggestions and confirmed facts</w:t>
      </w:r>
      <w:hyperlink r:id="rId38">
        <w:r>
          <w:rPr>
            <w:rStyle w:val="Hyperlink"/>
          </w:rPr>
          <w:t xml:space="preserve">[13]</w:t>
        </w:r>
      </w:hyperlink>
      <w:r>
        <w:t xml:space="preserve">.</w:t>
      </w:r>
    </w:p>
    <w:p>
      <w:pPr>
        <w:numPr>
          <w:ilvl w:val="0"/>
          <w:numId w:val="1005"/>
        </w:numPr>
      </w:pPr>
      <w:r>
        <w:rPr>
          <w:b/>
          <w:bCs/>
        </w:rPr>
        <w:t xml:space="preserve">Acceptance criteria</w:t>
      </w:r>
      <w:r>
        <w:t xml:space="preserve"> –</w:t>
      </w:r>
    </w:p>
    <w:p>
      <w:pPr>
        <w:pStyle w:val="Compact"/>
        <w:numPr>
          <w:ilvl w:val="0"/>
          <w:numId w:val="1005"/>
        </w:numPr>
      </w:pPr>
      <w:r>
        <w:t xml:space="preserve">Consistent with My OS schema recommendations (fields for values, boundaries, rules, identity, goals, conflicts and interpretations)</w:t>
      </w:r>
      <w:hyperlink r:id="rId38">
        <w:r>
          <w:rPr>
            <w:rStyle w:val="Hyperlink"/>
          </w:rPr>
          <w:t xml:space="preserve">[13]</w:t>
        </w:r>
      </w:hyperlink>
      <w:r>
        <w:t xml:space="preserve">.</w:t>
      </w:r>
    </w:p>
    <w:p>
      <w:pPr>
        <w:pStyle w:val="Compact"/>
        <w:numPr>
          <w:ilvl w:val="0"/>
          <w:numId w:val="1005"/>
        </w:numPr>
      </w:pPr>
      <w:r>
        <w:t xml:space="preserve">Supports versioning and deletion; sensitive content is excluded unless explicitly confirmed</w:t>
      </w:r>
      <w:hyperlink r:id="rId39">
        <w:r>
          <w:rPr>
            <w:rStyle w:val="Hyperlink"/>
          </w:rPr>
          <w:t xml:space="preserve">[14]</w:t>
        </w:r>
      </w:hyperlink>
      <w:r>
        <w:t xml:space="preserve">.</w:t>
      </w:r>
    </w:p>
    <w:p>
      <w:pPr>
        <w:pStyle w:val="Compact"/>
        <w:numPr>
          <w:ilvl w:val="0"/>
          <w:numId w:val="1005"/>
        </w:numPr>
      </w:pPr>
      <w:r>
        <w:t xml:space="preserve">Clearly documented retention and deletion policies aligned with privacy obligations</w:t>
      </w:r>
      <w:hyperlink r:id="rId40">
        <w:r>
          <w:rPr>
            <w:rStyle w:val="Hyperlink"/>
          </w:rPr>
          <w:t xml:space="preserve">[15]</w:t>
        </w:r>
      </w:hyperlink>
      <w:r>
        <w:t xml:space="preserve">.</w:t>
      </w:r>
    </w:p>
    <w:p>
      <w:pPr>
        <w:pStyle w:val="Compact"/>
        <w:numPr>
          <w:ilvl w:val="0"/>
          <w:numId w:val="1005"/>
        </w:numPr>
      </w:pPr>
      <w:r>
        <w:rPr>
          <w:b/>
          <w:bCs/>
        </w:rPr>
        <w:t xml:space="preserve">Dependencies</w:t>
      </w:r>
      <w:r>
        <w:t xml:space="preserve"> – Privacy &amp; Consent Agent; Curriculum and Question Bank Agent; AI Evaluation Harness Agent (for interpretation metadata); PRD.</w:t>
      </w:r>
    </w:p>
    <w:p>
      <w:pPr>
        <w:pStyle w:val="Compact"/>
        <w:numPr>
          <w:ilvl w:val="0"/>
          <w:numId w:val="1005"/>
        </w:numPr>
      </w:pPr>
      <w:r>
        <w:rPr>
          <w:b/>
          <w:bCs/>
        </w:rPr>
        <w:t xml:space="preserve">Risks</w:t>
      </w:r>
      <w:r>
        <w:t xml:space="preserve"> – Overcomplicated schema; unclear provenance; misalignment with future AI evaluation.</w:t>
      </w:r>
    </w:p>
    <w:p>
      <w:pPr>
        <w:pStyle w:val="Compact"/>
        <w:numPr>
          <w:ilvl w:val="0"/>
          <w:numId w:val="1005"/>
        </w:numPr>
      </w:pPr>
      <w:r>
        <w:rPr>
          <w:b/>
          <w:bCs/>
        </w:rPr>
        <w:t xml:space="preserve">Output format</w:t>
      </w:r>
      <w:r>
        <w:t xml:space="preserve"> – Data model document with diagrams and brief explanations.</w:t>
      </w:r>
    </w:p>
    <w:bookmarkEnd w:id="41"/>
    <w:bookmarkStart w:id="47" w:name="privacy-and-consent-agent-p0"/>
    <w:p>
      <w:pPr>
        <w:pStyle w:val="Heading3"/>
      </w:pPr>
      <w:r>
        <w:t xml:space="preserve">6. Privacy and Consent Agent (P0)</w:t>
      </w:r>
    </w:p>
    <w:p>
      <w:pPr>
        <w:pStyle w:val="Compact"/>
        <w:numPr>
          <w:ilvl w:val="0"/>
          <w:numId w:val="1006"/>
        </w:numPr>
      </w:pPr>
      <w:r>
        <w:rPr>
          <w:b/>
          <w:bCs/>
        </w:rPr>
        <w:t xml:space="preserve">Objective</w:t>
      </w:r>
      <w:r>
        <w:t xml:space="preserve"> – Draft the privacy notice, consent mechanisms, data‑minimisation and retention policies, and user controls, ensuring compliance with Australian privacy law and OAIC guidelines</w:t>
      </w:r>
      <w:hyperlink r:id="rId42">
        <w:r>
          <w:rPr>
            <w:rStyle w:val="Hyperlink"/>
          </w:rPr>
          <w:t xml:space="preserve">[16]</w:t>
        </w:r>
      </w:hyperlink>
      <w:r>
        <w:t xml:space="preserve">.</w:t>
      </w:r>
    </w:p>
    <w:p>
      <w:pPr>
        <w:pStyle w:val="Compact"/>
        <w:numPr>
          <w:ilvl w:val="0"/>
          <w:numId w:val="1006"/>
        </w:numPr>
      </w:pPr>
      <w:r>
        <w:rPr>
          <w:b/>
          <w:bCs/>
        </w:rPr>
        <w:t xml:space="preserve">Inputs needed</w:t>
      </w:r>
      <w:r>
        <w:t xml:space="preserve"> – Safety &amp; Boundary Policies, final build readiness assessment, OAIC guidelines, consent management best practices</w:t>
      </w:r>
      <w:hyperlink r:id="rId43">
        <w:r>
          <w:rPr>
            <w:rStyle w:val="Hyperlink"/>
          </w:rPr>
          <w:t xml:space="preserve">[17]</w:t>
        </w:r>
      </w:hyperlink>
      <w:r>
        <w:t xml:space="preserve">, canonical data model.</w:t>
      </w:r>
    </w:p>
    <w:p>
      <w:pPr>
        <w:pStyle w:val="Compact"/>
        <w:numPr>
          <w:ilvl w:val="0"/>
          <w:numId w:val="1006"/>
        </w:numPr>
      </w:pPr>
      <w:r>
        <w:rPr>
          <w:b/>
          <w:bCs/>
        </w:rPr>
        <w:t xml:space="preserve">Deliverables</w:t>
      </w:r>
      <w:r>
        <w:t xml:space="preserve"> –</w:t>
      </w:r>
    </w:p>
    <w:p>
      <w:pPr>
        <w:pStyle w:val="Compact"/>
        <w:numPr>
          <w:ilvl w:val="0"/>
          <w:numId w:val="1006"/>
        </w:numPr>
      </w:pPr>
      <w:r>
        <w:t xml:space="preserve">Privacy impact assessment (PIA) highlighting data categories, sensitivity levels and mitigation strategies.</w:t>
      </w:r>
    </w:p>
    <w:p>
      <w:pPr>
        <w:pStyle w:val="Compact"/>
        <w:numPr>
          <w:ilvl w:val="0"/>
          <w:numId w:val="1006"/>
        </w:numPr>
      </w:pPr>
      <w:r>
        <w:t xml:space="preserve">User‑facing privacy notice and consent text (purpose, data collected, use, retention, rights).</w:t>
      </w:r>
    </w:p>
    <w:p>
      <w:pPr>
        <w:pStyle w:val="Compact"/>
        <w:numPr>
          <w:ilvl w:val="0"/>
          <w:numId w:val="1006"/>
        </w:numPr>
      </w:pPr>
      <w:r>
        <w:t xml:space="preserve">Consent flows (granular toggles for memory persistence, calendar access, sharing, etc.).</w:t>
      </w:r>
    </w:p>
    <w:p>
      <w:pPr>
        <w:numPr>
          <w:ilvl w:val="0"/>
          <w:numId w:val="1006"/>
        </w:numPr>
      </w:pPr>
      <w:r>
        <w:t xml:space="preserve">De‑identification and deletion policy; guidance on local storage vs. optional cloud sync</w:t>
      </w:r>
      <w:hyperlink r:id="rId44">
        <w:r>
          <w:rPr>
            <w:rStyle w:val="Hyperlink"/>
          </w:rPr>
          <w:t xml:space="preserve">[18]</w:t>
        </w:r>
      </w:hyperlink>
      <w:r>
        <w:t xml:space="preserve">.</w:t>
      </w:r>
    </w:p>
    <w:p>
      <w:pPr>
        <w:numPr>
          <w:ilvl w:val="0"/>
          <w:numId w:val="1006"/>
        </w:numPr>
      </w:pPr>
      <w:r>
        <w:rPr>
          <w:b/>
          <w:bCs/>
        </w:rPr>
        <w:t xml:space="preserve">Acceptance criteria</w:t>
      </w:r>
      <w:r>
        <w:t xml:space="preserve"> –</w:t>
      </w:r>
    </w:p>
    <w:p>
      <w:pPr>
        <w:pStyle w:val="Compact"/>
        <w:numPr>
          <w:ilvl w:val="0"/>
          <w:numId w:val="1006"/>
        </w:numPr>
      </w:pPr>
      <w:r>
        <w:t xml:space="preserve">Notice addresses APP 5 (collection purpose, disclosure, consequences of non‑provision)</w:t>
      </w:r>
      <w:hyperlink r:id="rId45">
        <w:r>
          <w:rPr>
            <w:rStyle w:val="Hyperlink"/>
          </w:rPr>
          <w:t xml:space="preserve">[19]</w:t>
        </w:r>
      </w:hyperlink>
      <w:r>
        <w:t xml:space="preserve">.</w:t>
      </w:r>
    </w:p>
    <w:p>
      <w:pPr>
        <w:pStyle w:val="Compact"/>
        <w:numPr>
          <w:ilvl w:val="0"/>
          <w:numId w:val="1006"/>
        </w:numPr>
      </w:pPr>
      <w:r>
        <w:t xml:space="preserve">Policies incorporate data minimisation, user control, least privilege, and de‑identification</w:t>
      </w:r>
      <w:hyperlink r:id="rId46">
        <w:r>
          <w:rPr>
            <w:rStyle w:val="Hyperlink"/>
          </w:rPr>
          <w:t xml:space="preserve">[20]</w:t>
        </w:r>
      </w:hyperlink>
      <w:r>
        <w:t xml:space="preserve">.</w:t>
      </w:r>
    </w:p>
    <w:p>
      <w:pPr>
        <w:pStyle w:val="Compact"/>
        <w:numPr>
          <w:ilvl w:val="0"/>
          <w:numId w:val="1006"/>
        </w:numPr>
      </w:pPr>
      <w:r>
        <w:t xml:space="preserve">Consent language is clear, non‑technical, and granular (per action).</w:t>
      </w:r>
    </w:p>
    <w:p>
      <w:pPr>
        <w:pStyle w:val="Compact"/>
        <w:numPr>
          <w:ilvl w:val="0"/>
          <w:numId w:val="1006"/>
        </w:numPr>
      </w:pPr>
      <w:r>
        <w:t xml:space="preserve">No sensitive content saved without explicit confirmation</w:t>
      </w:r>
      <w:hyperlink r:id="rId39">
        <w:r>
          <w:rPr>
            <w:rStyle w:val="Hyperlink"/>
          </w:rPr>
          <w:t xml:space="preserve">[14]</w:t>
        </w:r>
      </w:hyperlink>
      <w:hyperlink r:id="rId40">
        <w:r>
          <w:rPr>
            <w:rStyle w:val="Hyperlink"/>
          </w:rPr>
          <w:t xml:space="preserve">[15]</w:t>
        </w:r>
      </w:hyperlink>
      <w:r>
        <w:t xml:space="preserve">.</w:t>
      </w:r>
    </w:p>
    <w:p>
      <w:pPr>
        <w:pStyle w:val="Compact"/>
        <w:numPr>
          <w:ilvl w:val="0"/>
          <w:numId w:val="1006"/>
        </w:numPr>
      </w:pPr>
      <w:r>
        <w:rPr>
          <w:b/>
          <w:bCs/>
        </w:rPr>
        <w:t xml:space="preserve">Dependencies</w:t>
      </w:r>
      <w:r>
        <w:t xml:space="preserve"> – Data Model; Security Threat Model; Legal Claims Review; Curriculum Agent (to flag potential sensitive questions).</w:t>
      </w:r>
    </w:p>
    <w:p>
      <w:pPr>
        <w:pStyle w:val="Compact"/>
        <w:numPr>
          <w:ilvl w:val="0"/>
          <w:numId w:val="1006"/>
        </w:numPr>
      </w:pPr>
      <w:r>
        <w:rPr>
          <w:b/>
          <w:bCs/>
        </w:rPr>
        <w:t xml:space="preserve">Risks</w:t>
      </w:r>
      <w:r>
        <w:t xml:space="preserve"> – Overly complex privacy controls; insufficient legal coverage; user confusion.</w:t>
      </w:r>
    </w:p>
    <w:p>
      <w:pPr>
        <w:pStyle w:val="Compact"/>
        <w:numPr>
          <w:ilvl w:val="0"/>
          <w:numId w:val="1006"/>
        </w:numPr>
      </w:pPr>
      <w:r>
        <w:rPr>
          <w:b/>
          <w:bCs/>
        </w:rPr>
        <w:t xml:space="preserve">Output format</w:t>
      </w:r>
      <w:r>
        <w:t xml:space="preserve"> – PIA and privacy notice documents; flow diagrams for consent interactions.</w:t>
      </w:r>
    </w:p>
    <w:bookmarkEnd w:id="47"/>
    <w:bookmarkStart w:id="51" w:name="legal-claims-review-preparation-agent-p0"/>
    <w:p>
      <w:pPr>
        <w:pStyle w:val="Heading3"/>
      </w:pPr>
      <w:r>
        <w:t xml:space="preserve">7. Legal Claims Review Preparation Agent (P0)</w:t>
      </w:r>
    </w:p>
    <w:p>
      <w:pPr>
        <w:pStyle w:val="Compact"/>
        <w:numPr>
          <w:ilvl w:val="0"/>
          <w:numId w:val="1007"/>
        </w:numPr>
      </w:pPr>
      <w:r>
        <w:rPr>
          <w:b/>
          <w:bCs/>
        </w:rPr>
        <w:t xml:space="preserve">Objective</w:t>
      </w:r>
      <w:r>
        <w:t xml:space="preserve"> – Prepare materials for a legal review to ensure all product copy and claims avoid therapeutic or diagnostic language and comply with advertising standards</w:t>
      </w:r>
      <w:hyperlink r:id="rId34">
        <w:r>
          <w:rPr>
            <w:rStyle w:val="Hyperlink"/>
          </w:rPr>
          <w:t xml:space="preserve">[11]</w:t>
        </w:r>
      </w:hyperlink>
      <w:r>
        <w:t xml:space="preserve">.</w:t>
      </w:r>
    </w:p>
    <w:p>
      <w:pPr>
        <w:pStyle w:val="Compact"/>
        <w:numPr>
          <w:ilvl w:val="0"/>
          <w:numId w:val="1007"/>
        </w:numPr>
      </w:pPr>
      <w:r>
        <w:rPr>
          <w:b/>
          <w:bCs/>
        </w:rPr>
        <w:t xml:space="preserve">Inputs needed</w:t>
      </w:r>
      <w:r>
        <w:t xml:space="preserve"> – Safety &amp; Boundary Policies, PRD, marketing copy, lesson copy guidelines</w:t>
      </w:r>
      <w:hyperlink r:id="rId48">
        <w:r>
          <w:rPr>
            <w:rStyle w:val="Hyperlink"/>
          </w:rPr>
          <w:t xml:space="preserve">[21]</w:t>
        </w:r>
      </w:hyperlink>
      <w:r>
        <w:t xml:space="preserve">, legal/consumer protection frameworks.</w:t>
      </w:r>
    </w:p>
    <w:p>
      <w:pPr>
        <w:pStyle w:val="Compact"/>
        <w:numPr>
          <w:ilvl w:val="0"/>
          <w:numId w:val="1007"/>
        </w:numPr>
      </w:pPr>
      <w:r>
        <w:rPr>
          <w:b/>
          <w:bCs/>
        </w:rPr>
        <w:t xml:space="preserve">Deliverables</w:t>
      </w:r>
      <w:r>
        <w:t xml:space="preserve"> –</w:t>
      </w:r>
    </w:p>
    <w:p>
      <w:pPr>
        <w:pStyle w:val="Compact"/>
        <w:numPr>
          <w:ilvl w:val="0"/>
          <w:numId w:val="1007"/>
        </w:numPr>
      </w:pPr>
      <w:r>
        <w:t xml:space="preserve">Claims matrix listing all user‑facing statements and features against potential legal issues.</w:t>
      </w:r>
    </w:p>
    <w:p>
      <w:pPr>
        <w:pStyle w:val="Compact"/>
        <w:numPr>
          <w:ilvl w:val="0"/>
          <w:numId w:val="1007"/>
        </w:numPr>
      </w:pPr>
      <w:r>
        <w:t xml:space="preserve">Proposed language changes for high‑risk claims (remove “therapy,” “diagnose,” “rewire the brain”).</w:t>
      </w:r>
    </w:p>
    <w:p>
      <w:pPr>
        <w:numPr>
          <w:ilvl w:val="0"/>
          <w:numId w:val="1007"/>
        </w:numPr>
      </w:pPr>
      <w:r>
        <w:t xml:space="preserve">Summary memo for legal counsel with specific questions (age‑gating, export markets, terms of service scope</w:t>
      </w:r>
      <w:hyperlink r:id="rId49">
        <w:r>
          <w:rPr>
            <w:rStyle w:val="Hyperlink"/>
          </w:rPr>
          <w:t xml:space="preserve">[22]</w:t>
        </w:r>
      </w:hyperlink>
      <w:r>
        <w:t xml:space="preserve">).</w:t>
      </w:r>
    </w:p>
    <w:p>
      <w:pPr>
        <w:numPr>
          <w:ilvl w:val="0"/>
          <w:numId w:val="1007"/>
        </w:numPr>
      </w:pPr>
      <w:r>
        <w:rPr>
          <w:b/>
          <w:bCs/>
        </w:rPr>
        <w:t xml:space="preserve">Acceptance criteria</w:t>
      </w:r>
      <w:r>
        <w:t xml:space="preserve"> –</w:t>
      </w:r>
    </w:p>
    <w:p>
      <w:pPr>
        <w:pStyle w:val="Compact"/>
        <w:numPr>
          <w:ilvl w:val="0"/>
          <w:numId w:val="1007"/>
        </w:numPr>
      </w:pPr>
      <w:r>
        <w:t xml:space="preserve">All claims are within “wellness and planning” category</w:t>
      </w:r>
      <w:hyperlink r:id="rId50">
        <w:r>
          <w:rPr>
            <w:rStyle w:val="Hyperlink"/>
          </w:rPr>
          <w:t xml:space="preserve">[23]</w:t>
        </w:r>
      </w:hyperlink>
      <w:r>
        <w:t xml:space="preserve">.</w:t>
      </w:r>
    </w:p>
    <w:p>
      <w:pPr>
        <w:pStyle w:val="Compact"/>
        <w:numPr>
          <w:ilvl w:val="0"/>
          <w:numId w:val="1007"/>
        </w:numPr>
      </w:pPr>
      <w:r>
        <w:t xml:space="preserve">High‑impact suggestions (e.g., leaving a partner) are flagged for removal</w:t>
      </w:r>
      <w:hyperlink r:id="rId24">
        <w:r>
          <w:rPr>
            <w:rStyle w:val="Hyperlink"/>
          </w:rPr>
          <w:t xml:space="preserve">[4]</w:t>
        </w:r>
      </w:hyperlink>
      <w:r>
        <w:t xml:space="preserve">.</w:t>
      </w:r>
    </w:p>
    <w:p>
      <w:pPr>
        <w:pStyle w:val="Compact"/>
        <w:numPr>
          <w:ilvl w:val="0"/>
          <w:numId w:val="1007"/>
        </w:numPr>
      </w:pPr>
      <w:r>
        <w:t xml:space="preserve">Consent for crisis resources and emergency wording aligned with policy.</w:t>
      </w:r>
    </w:p>
    <w:p>
      <w:pPr>
        <w:pStyle w:val="Compact"/>
        <w:numPr>
          <w:ilvl w:val="0"/>
          <w:numId w:val="1007"/>
        </w:numPr>
      </w:pPr>
      <w:r>
        <w:rPr>
          <w:b/>
          <w:bCs/>
        </w:rPr>
        <w:t xml:space="preserve">Dependencies</w:t>
      </w:r>
      <w:r>
        <w:t xml:space="preserve"> – Privacy &amp; Consent Agent; Curriculum Agent; PRD Agent; Safety Policies.</w:t>
      </w:r>
    </w:p>
    <w:p>
      <w:pPr>
        <w:pStyle w:val="Compact"/>
        <w:numPr>
          <w:ilvl w:val="0"/>
          <w:numId w:val="1007"/>
        </w:numPr>
      </w:pPr>
      <w:r>
        <w:rPr>
          <w:b/>
          <w:bCs/>
        </w:rPr>
        <w:t xml:space="preserve">Risks</w:t>
      </w:r>
      <w:r>
        <w:t xml:space="preserve"> – Missing subtle claim implications; regulatory changes across jurisdictions.</w:t>
      </w:r>
    </w:p>
    <w:p>
      <w:pPr>
        <w:pStyle w:val="Compact"/>
        <w:numPr>
          <w:ilvl w:val="0"/>
          <w:numId w:val="1007"/>
        </w:numPr>
      </w:pPr>
      <w:r>
        <w:rPr>
          <w:b/>
          <w:bCs/>
        </w:rPr>
        <w:t xml:space="preserve">Output format</w:t>
      </w:r>
      <w:r>
        <w:t xml:space="preserve"> – Claims matrix table (phrase vs. risk vs. proposed mitigation) and memo.</w:t>
      </w:r>
    </w:p>
    <w:bookmarkEnd w:id="51"/>
    <w:bookmarkStart w:id="55" w:name="ai-evaluation-harness-agent-p0"/>
    <w:p>
      <w:pPr>
        <w:pStyle w:val="Heading3"/>
      </w:pPr>
      <w:r>
        <w:t xml:space="preserve">8. AI Evaluation Harness Agent (P0)</w:t>
      </w:r>
    </w:p>
    <w:p>
      <w:pPr>
        <w:pStyle w:val="Compact"/>
        <w:numPr>
          <w:ilvl w:val="0"/>
          <w:numId w:val="1008"/>
        </w:numPr>
      </w:pPr>
      <w:r>
        <w:rPr>
          <w:b/>
          <w:bCs/>
        </w:rPr>
        <w:t xml:space="preserve">Objective</w:t>
      </w:r>
      <w:r>
        <w:t xml:space="preserve"> – Build an evaluation harness for AI prompts, ensuring outputs are accurate, non‑diagnostic and safe. Create golden sets for each module and red‑team tests</w:t>
      </w:r>
      <w:hyperlink r:id="rId52">
        <w:r>
          <w:rPr>
            <w:rStyle w:val="Hyperlink"/>
          </w:rPr>
          <w:t xml:space="preserve">[24]</w:t>
        </w:r>
      </w:hyperlink>
      <w:r>
        <w:t xml:space="preserve">.</w:t>
      </w:r>
    </w:p>
    <w:p>
      <w:pPr>
        <w:pStyle w:val="Compact"/>
        <w:numPr>
          <w:ilvl w:val="0"/>
          <w:numId w:val="1008"/>
        </w:numPr>
      </w:pPr>
      <w:r>
        <w:rPr>
          <w:b/>
          <w:bCs/>
        </w:rPr>
        <w:t xml:space="preserve">Inputs needed</w:t>
      </w:r>
      <w:r>
        <w:t xml:space="preserve"> – PRD, question bank, safety policies, data model fields (interpretation confidence, user action), foundation model selection.</w:t>
      </w:r>
    </w:p>
    <w:p>
      <w:pPr>
        <w:pStyle w:val="Compact"/>
        <w:numPr>
          <w:ilvl w:val="0"/>
          <w:numId w:val="1008"/>
        </w:numPr>
      </w:pPr>
      <w:r>
        <w:rPr>
          <w:b/>
          <w:bCs/>
        </w:rPr>
        <w:t xml:space="preserve">Deliverables</w:t>
      </w:r>
      <w:r>
        <w:t xml:space="preserve"> –</w:t>
      </w:r>
    </w:p>
    <w:p>
      <w:pPr>
        <w:pStyle w:val="Compact"/>
        <w:numPr>
          <w:ilvl w:val="0"/>
          <w:numId w:val="1008"/>
        </w:numPr>
      </w:pPr>
      <w:r>
        <w:t xml:space="preserve">Golden test sets per module with expected AI outputs and scores for specificity, correctness, and actionability.</w:t>
      </w:r>
    </w:p>
    <w:p>
      <w:pPr>
        <w:pStyle w:val="Compact"/>
        <w:numPr>
          <w:ilvl w:val="0"/>
          <w:numId w:val="1008"/>
        </w:numPr>
      </w:pPr>
      <w:r>
        <w:t xml:space="preserve">Red‑team scenarios including prompt injection attempts, harmful requests, crisis disclosures and sensitive topics</w:t>
      </w:r>
      <w:hyperlink r:id="rId53">
        <w:r>
          <w:rPr>
            <w:rStyle w:val="Hyperlink"/>
          </w:rPr>
          <w:t xml:space="preserve">[25]</w:t>
        </w:r>
      </w:hyperlink>
      <w:r>
        <w:t xml:space="preserve">.</w:t>
      </w:r>
    </w:p>
    <w:p>
      <w:pPr>
        <w:pStyle w:val="Compact"/>
        <w:numPr>
          <w:ilvl w:val="0"/>
          <w:numId w:val="1008"/>
        </w:numPr>
      </w:pPr>
      <w:r>
        <w:t xml:space="preserve">Evaluation metrics (e.g., refusal rate, hallucination rate, alignment with interpretation rules</w:t>
      </w:r>
      <w:hyperlink r:id="rId54">
        <w:r>
          <w:rPr>
            <w:rStyle w:val="Hyperlink"/>
          </w:rPr>
          <w:t xml:space="preserve">[26]</w:t>
        </w:r>
      </w:hyperlink>
      <w:r>
        <w:t xml:space="preserve">).</w:t>
      </w:r>
    </w:p>
    <w:p>
      <w:pPr>
        <w:numPr>
          <w:ilvl w:val="0"/>
          <w:numId w:val="1008"/>
        </w:numPr>
      </w:pPr>
      <w:r>
        <w:t xml:space="preserve">Report on evaluation outcomes and recommended prompt templates and guardrails.</w:t>
      </w:r>
    </w:p>
    <w:p>
      <w:pPr>
        <w:numPr>
          <w:ilvl w:val="0"/>
          <w:numId w:val="1008"/>
        </w:numPr>
      </w:pPr>
      <w:r>
        <w:rPr>
          <w:b/>
          <w:bCs/>
        </w:rPr>
        <w:t xml:space="preserve">Acceptance criteria</w:t>
      </w:r>
      <w:r>
        <w:t xml:space="preserve"> –</w:t>
      </w:r>
    </w:p>
    <w:p>
      <w:pPr>
        <w:pStyle w:val="Compact"/>
        <w:numPr>
          <w:ilvl w:val="0"/>
          <w:numId w:val="1008"/>
        </w:numPr>
      </w:pPr>
      <w:r>
        <w:t xml:space="preserve">Coverage of normative cases and adversarial scenarios.</w:t>
      </w:r>
    </w:p>
    <w:p>
      <w:pPr>
        <w:pStyle w:val="Compact"/>
        <w:numPr>
          <w:ilvl w:val="0"/>
          <w:numId w:val="1008"/>
        </w:numPr>
      </w:pPr>
      <w:r>
        <w:t xml:space="preserve">Failure thresholds defined (e.g., &lt; 5 % hallucination, 100 % refusal on disallowed requests).</w:t>
      </w:r>
    </w:p>
    <w:p>
      <w:pPr>
        <w:pStyle w:val="Compact"/>
        <w:numPr>
          <w:ilvl w:val="0"/>
          <w:numId w:val="1008"/>
        </w:numPr>
      </w:pPr>
      <w:r>
        <w:t xml:space="preserve">Recommendations integrated into AI prompt design and output labels.</w:t>
      </w:r>
    </w:p>
    <w:p>
      <w:pPr>
        <w:pStyle w:val="Compact"/>
        <w:numPr>
          <w:ilvl w:val="0"/>
          <w:numId w:val="1008"/>
        </w:numPr>
      </w:pPr>
      <w:r>
        <w:rPr>
          <w:b/>
          <w:bCs/>
        </w:rPr>
        <w:t xml:space="preserve">Dependencies</w:t>
      </w:r>
      <w:r>
        <w:t xml:space="preserve"> – Curriculum &amp; Question Bank Agent; Safety &amp; Boundaries; Data Model (to include confidence/provenance metadata); Technical Architecture Agent (for evaluation pipeline).</w:t>
      </w:r>
    </w:p>
    <w:p>
      <w:pPr>
        <w:pStyle w:val="Compact"/>
        <w:numPr>
          <w:ilvl w:val="0"/>
          <w:numId w:val="1008"/>
        </w:numPr>
      </w:pPr>
      <w:r>
        <w:rPr>
          <w:b/>
          <w:bCs/>
        </w:rPr>
        <w:t xml:space="preserve">Risks</w:t>
      </w:r>
      <w:r>
        <w:t xml:space="preserve"> – Test set bias; insufficient red‑team creativity; evolving model behaviour.</w:t>
      </w:r>
    </w:p>
    <w:p>
      <w:pPr>
        <w:pStyle w:val="Compact"/>
        <w:numPr>
          <w:ilvl w:val="0"/>
          <w:numId w:val="1008"/>
        </w:numPr>
      </w:pPr>
      <w:r>
        <w:rPr>
          <w:b/>
          <w:bCs/>
        </w:rPr>
        <w:t xml:space="preserve">Output format</w:t>
      </w:r>
      <w:r>
        <w:t xml:space="preserve"> – Evaluation harness specification, test dataset description, and metrics dashboard template.</w:t>
      </w:r>
    </w:p>
    <w:bookmarkEnd w:id="55"/>
    <w:bookmarkStart w:id="56" w:name="security-threat-model-agent-p0"/>
    <w:p>
      <w:pPr>
        <w:pStyle w:val="Heading3"/>
      </w:pPr>
      <w:r>
        <w:t xml:space="preserve">9. Security Threat Model Agent (P0)</w:t>
      </w:r>
    </w:p>
    <w:p>
      <w:pPr>
        <w:pStyle w:val="Compact"/>
        <w:numPr>
          <w:ilvl w:val="0"/>
          <w:numId w:val="1009"/>
        </w:numPr>
      </w:pPr>
      <w:r>
        <w:rPr>
          <w:b/>
          <w:bCs/>
        </w:rPr>
        <w:t xml:space="preserve">Objective</w:t>
      </w:r>
      <w:r>
        <w:t xml:space="preserve"> – Develop a threat model covering data flows, authentication, authorisation, storage, AI prompt injection and user privacy</w:t>
      </w:r>
      <w:hyperlink r:id="rId53">
        <w:r>
          <w:rPr>
            <w:rStyle w:val="Hyperlink"/>
          </w:rPr>
          <w:t xml:space="preserve">[25]</w:t>
        </w:r>
      </w:hyperlink>
      <w:r>
        <w:t xml:space="preserve">.</w:t>
      </w:r>
    </w:p>
    <w:p>
      <w:pPr>
        <w:pStyle w:val="Compact"/>
        <w:numPr>
          <w:ilvl w:val="0"/>
          <w:numId w:val="1009"/>
        </w:numPr>
      </w:pPr>
      <w:r>
        <w:rPr>
          <w:b/>
          <w:bCs/>
        </w:rPr>
        <w:t xml:space="preserve">Inputs needed</w:t>
      </w:r>
      <w:r>
        <w:t xml:space="preserve"> – Data model, NFR, privacy requirements, safety policies, planned integrations (calendar, cloud sync).</w:t>
      </w:r>
    </w:p>
    <w:p>
      <w:pPr>
        <w:pStyle w:val="Compact"/>
        <w:numPr>
          <w:ilvl w:val="0"/>
          <w:numId w:val="1009"/>
        </w:numPr>
      </w:pPr>
      <w:r>
        <w:rPr>
          <w:b/>
          <w:bCs/>
        </w:rPr>
        <w:t xml:space="preserve">Deliverables</w:t>
      </w:r>
      <w:r>
        <w:t xml:space="preserve"> –</w:t>
      </w:r>
    </w:p>
    <w:p>
      <w:pPr>
        <w:pStyle w:val="Compact"/>
        <w:numPr>
          <w:ilvl w:val="0"/>
          <w:numId w:val="1009"/>
        </w:numPr>
      </w:pPr>
      <w:r>
        <w:t xml:space="preserve">Data flow diagrams showing how user data moves through the system.</w:t>
      </w:r>
    </w:p>
    <w:p>
      <w:pPr>
        <w:pStyle w:val="Compact"/>
        <w:numPr>
          <w:ilvl w:val="0"/>
          <w:numId w:val="1009"/>
        </w:numPr>
      </w:pPr>
      <w:r>
        <w:t xml:space="preserve">Identification of assets, entry points, threats (e.g., injection, data leakage, insecure storage), and mitigation strategies.</w:t>
      </w:r>
    </w:p>
    <w:p>
      <w:pPr>
        <w:pStyle w:val="Compact"/>
        <w:numPr>
          <w:ilvl w:val="0"/>
          <w:numId w:val="1009"/>
        </w:numPr>
      </w:pPr>
      <w:r>
        <w:t xml:space="preserve">Security requirements including encryption at rest/in transit, authentication, least privilege, logging/audit controls and incident response plan.</w:t>
      </w:r>
    </w:p>
    <w:p>
      <w:pPr>
        <w:numPr>
          <w:ilvl w:val="0"/>
          <w:numId w:val="1009"/>
        </w:numPr>
      </w:pPr>
      <w:r>
        <w:t xml:space="preserve">Risk register with severity and likelihood.</w:t>
      </w:r>
    </w:p>
    <w:p>
      <w:pPr>
        <w:numPr>
          <w:ilvl w:val="0"/>
          <w:numId w:val="1009"/>
        </w:numPr>
      </w:pPr>
      <w:r>
        <w:rPr>
          <w:b/>
          <w:bCs/>
        </w:rPr>
        <w:t xml:space="preserve">Acceptance criteria</w:t>
      </w:r>
      <w:r>
        <w:t xml:space="preserve"> –</w:t>
      </w:r>
    </w:p>
    <w:p>
      <w:pPr>
        <w:pStyle w:val="Compact"/>
        <w:numPr>
          <w:ilvl w:val="0"/>
          <w:numId w:val="1009"/>
        </w:numPr>
      </w:pPr>
      <w:r>
        <w:t xml:space="preserve">All sensitive flows accounted for (raw inputs vs. confirmed profile).</w:t>
      </w:r>
    </w:p>
    <w:p>
      <w:pPr>
        <w:pStyle w:val="Compact"/>
        <w:numPr>
          <w:ilvl w:val="0"/>
          <w:numId w:val="1009"/>
        </w:numPr>
      </w:pPr>
      <w:r>
        <w:t xml:space="preserve">Mitigations align with privacy policy (e.g., local storage, optional cloud sync).</w:t>
      </w:r>
    </w:p>
    <w:p>
      <w:pPr>
        <w:pStyle w:val="Compact"/>
        <w:numPr>
          <w:ilvl w:val="0"/>
          <w:numId w:val="1009"/>
        </w:numPr>
      </w:pPr>
      <w:r>
        <w:t xml:space="preserve">Threat model approved by relevant stakeholders.</w:t>
      </w:r>
    </w:p>
    <w:p>
      <w:pPr>
        <w:pStyle w:val="Compact"/>
        <w:numPr>
          <w:ilvl w:val="0"/>
          <w:numId w:val="1009"/>
        </w:numPr>
      </w:pPr>
      <w:r>
        <w:rPr>
          <w:b/>
          <w:bCs/>
        </w:rPr>
        <w:t xml:space="preserve">Dependencies</w:t>
      </w:r>
      <w:r>
        <w:t xml:space="preserve"> – Data Model; NFR; Privacy &amp; Consent Agent; Crisis Localisation (for safe redirections and high‑risk content handling).</w:t>
      </w:r>
    </w:p>
    <w:p>
      <w:pPr>
        <w:pStyle w:val="Compact"/>
        <w:numPr>
          <w:ilvl w:val="0"/>
          <w:numId w:val="1009"/>
        </w:numPr>
      </w:pPr>
      <w:r>
        <w:rPr>
          <w:b/>
          <w:bCs/>
        </w:rPr>
        <w:t xml:space="preserve">Risks</w:t>
      </w:r>
      <w:r>
        <w:t xml:space="preserve"> – Underestimating risk in early prototypes; prompt injection resulting in data exfiltration or model misuse</w:t>
      </w:r>
      <w:hyperlink r:id="rId53">
        <w:r>
          <w:rPr>
            <w:rStyle w:val="Hyperlink"/>
          </w:rPr>
          <w:t xml:space="preserve">[25]</w:t>
        </w:r>
      </w:hyperlink>
      <w:r>
        <w:t xml:space="preserve">.</w:t>
      </w:r>
    </w:p>
    <w:p>
      <w:pPr>
        <w:pStyle w:val="Compact"/>
        <w:numPr>
          <w:ilvl w:val="0"/>
          <w:numId w:val="1009"/>
        </w:numPr>
      </w:pPr>
      <w:r>
        <w:rPr>
          <w:b/>
          <w:bCs/>
        </w:rPr>
        <w:t xml:space="preserve">Output format</w:t>
      </w:r>
      <w:r>
        <w:t xml:space="preserve"> – Threat model document with diagrams and risk table.</w:t>
      </w:r>
    </w:p>
    <w:bookmarkEnd w:id="56"/>
    <w:bookmarkStart w:id="58" w:name="crisis-localisation-agent-p0"/>
    <w:p>
      <w:pPr>
        <w:pStyle w:val="Heading3"/>
      </w:pPr>
      <w:r>
        <w:t xml:space="preserve">10. Crisis Localisation Agent (P0)</w:t>
      </w:r>
    </w:p>
    <w:p>
      <w:pPr>
        <w:pStyle w:val="Compact"/>
        <w:numPr>
          <w:ilvl w:val="0"/>
          <w:numId w:val="1010"/>
        </w:numPr>
      </w:pPr>
      <w:r>
        <w:rPr>
          <w:b/>
          <w:bCs/>
        </w:rPr>
        <w:t xml:space="preserve">Objective</w:t>
      </w:r>
      <w:r>
        <w:t xml:space="preserve"> – Compile crisis resources and emergency wording for all launch markets, ensuring accurate local hotline numbers and culturally appropriate messages</w:t>
      </w:r>
      <w:hyperlink r:id="rId57">
        <w:r>
          <w:rPr>
            <w:rStyle w:val="Hyperlink"/>
          </w:rPr>
          <w:t xml:space="preserve">[27]</w:t>
        </w:r>
      </w:hyperlink>
      <w:r>
        <w:t xml:space="preserve">.</w:t>
      </w:r>
    </w:p>
    <w:p>
      <w:pPr>
        <w:pStyle w:val="Compact"/>
        <w:numPr>
          <w:ilvl w:val="0"/>
          <w:numId w:val="1010"/>
        </w:numPr>
      </w:pPr>
      <w:r>
        <w:rPr>
          <w:b/>
          <w:bCs/>
        </w:rPr>
        <w:t xml:space="preserve">Inputs needed</w:t>
      </w:r>
      <w:r>
        <w:t xml:space="preserve"> – Safety &amp; Boundary Policies, legal and regulatory guidelines per country, list of planned launch regions (initially Australia), translation resources.</w:t>
      </w:r>
    </w:p>
    <w:p>
      <w:pPr>
        <w:pStyle w:val="Compact"/>
        <w:numPr>
          <w:ilvl w:val="0"/>
          <w:numId w:val="1010"/>
        </w:numPr>
      </w:pPr>
      <w:r>
        <w:rPr>
          <w:b/>
          <w:bCs/>
        </w:rPr>
        <w:t xml:space="preserve">Deliverables</w:t>
      </w:r>
      <w:r>
        <w:t xml:space="preserve"> –</w:t>
      </w:r>
    </w:p>
    <w:p>
      <w:pPr>
        <w:pStyle w:val="Compact"/>
        <w:numPr>
          <w:ilvl w:val="0"/>
          <w:numId w:val="1010"/>
        </w:numPr>
      </w:pPr>
      <w:r>
        <w:t xml:space="preserve">Crisis resource database mapping country/region to helplines and emergency numbers.</w:t>
      </w:r>
    </w:p>
    <w:p>
      <w:pPr>
        <w:pStyle w:val="Compact"/>
        <w:numPr>
          <w:ilvl w:val="0"/>
          <w:numId w:val="1010"/>
        </w:numPr>
      </w:pPr>
      <w:r>
        <w:t xml:space="preserve">Standard emergency messages and redirection wording in each relevant language</w:t>
      </w:r>
      <w:hyperlink r:id="rId57">
        <w:r>
          <w:rPr>
            <w:rStyle w:val="Hyperlink"/>
          </w:rPr>
          <w:t xml:space="preserve">[27]</w:t>
        </w:r>
      </w:hyperlink>
      <w:r>
        <w:t xml:space="preserve">.</w:t>
      </w:r>
    </w:p>
    <w:p>
      <w:pPr>
        <w:numPr>
          <w:ilvl w:val="0"/>
          <w:numId w:val="1010"/>
        </w:numPr>
      </w:pPr>
      <w:r>
        <w:t xml:space="preserve">Escalation guidelines for high‑risk content (e.g., when to display crisis info vs. refusal).</w:t>
      </w:r>
    </w:p>
    <w:p>
      <w:pPr>
        <w:numPr>
          <w:ilvl w:val="0"/>
          <w:numId w:val="1010"/>
        </w:numPr>
      </w:pPr>
      <w:r>
        <w:rPr>
          <w:b/>
          <w:bCs/>
        </w:rPr>
        <w:t xml:space="preserve">Acceptance criteria</w:t>
      </w:r>
      <w:r>
        <w:t xml:space="preserve"> –</w:t>
      </w:r>
    </w:p>
    <w:p>
      <w:pPr>
        <w:pStyle w:val="Compact"/>
        <w:numPr>
          <w:ilvl w:val="0"/>
          <w:numId w:val="1010"/>
        </w:numPr>
      </w:pPr>
      <w:r>
        <w:t xml:space="preserve">Messages match the required phrases from the safety policy.</w:t>
      </w:r>
    </w:p>
    <w:p>
      <w:pPr>
        <w:pStyle w:val="Compact"/>
        <w:numPr>
          <w:ilvl w:val="0"/>
          <w:numId w:val="1010"/>
        </w:numPr>
      </w:pPr>
      <w:r>
        <w:t xml:space="preserve">Coverage for at least all markets targeted for early release; updates when new regions added.</w:t>
      </w:r>
    </w:p>
    <w:p>
      <w:pPr>
        <w:pStyle w:val="Compact"/>
        <w:numPr>
          <w:ilvl w:val="0"/>
          <w:numId w:val="1010"/>
        </w:numPr>
      </w:pPr>
      <w:r>
        <w:t xml:space="preserve">Review by local legal counsel or support organisations.</w:t>
      </w:r>
    </w:p>
    <w:p>
      <w:pPr>
        <w:pStyle w:val="Compact"/>
        <w:numPr>
          <w:ilvl w:val="0"/>
          <w:numId w:val="1010"/>
        </w:numPr>
      </w:pPr>
      <w:r>
        <w:rPr>
          <w:b/>
          <w:bCs/>
        </w:rPr>
        <w:t xml:space="preserve">Dependencies</w:t>
      </w:r>
      <w:r>
        <w:t xml:space="preserve"> – Safety Policies; Legal Claims Review; PRD (to know regions).</w:t>
      </w:r>
    </w:p>
    <w:p>
      <w:pPr>
        <w:pStyle w:val="Compact"/>
        <w:numPr>
          <w:ilvl w:val="0"/>
          <w:numId w:val="1010"/>
        </w:numPr>
      </w:pPr>
      <w:r>
        <w:rPr>
          <w:b/>
          <w:bCs/>
        </w:rPr>
        <w:t xml:space="preserve">Risks</w:t>
      </w:r>
      <w:r>
        <w:t xml:space="preserve"> – Incorrect hotline numbers; translation errors; changes in local crisis services.</w:t>
      </w:r>
    </w:p>
    <w:p>
      <w:pPr>
        <w:pStyle w:val="Compact"/>
        <w:numPr>
          <w:ilvl w:val="0"/>
          <w:numId w:val="1010"/>
        </w:numPr>
      </w:pPr>
      <w:r>
        <w:rPr>
          <w:b/>
          <w:bCs/>
        </w:rPr>
        <w:t xml:space="preserve">Output format</w:t>
      </w:r>
      <w:r>
        <w:t xml:space="preserve"> – Crisis resource table (region | number | message) and wording library.</w:t>
      </w:r>
    </w:p>
    <w:bookmarkEnd w:id="58"/>
    <w:bookmarkStart w:id="60" w:name="accessibility-qa-agent-p1"/>
    <w:p>
      <w:pPr>
        <w:pStyle w:val="Heading3"/>
      </w:pPr>
      <w:r>
        <w:t xml:space="preserve">11. Accessibility QA Agent (P1)</w:t>
      </w:r>
    </w:p>
    <w:p>
      <w:pPr>
        <w:pStyle w:val="Compact"/>
        <w:numPr>
          <w:ilvl w:val="0"/>
          <w:numId w:val="1011"/>
        </w:numPr>
      </w:pPr>
      <w:r>
        <w:rPr>
          <w:b/>
          <w:bCs/>
        </w:rPr>
        <w:t xml:space="preserve">Objective</w:t>
      </w:r>
      <w:r>
        <w:t xml:space="preserve"> – Ensure the product meets accessibility standards (WCAG 2.1 AA or higher) and inclusive design for neurodiverse users, low‑vision users and other needs.</w:t>
      </w:r>
    </w:p>
    <w:p>
      <w:pPr>
        <w:pStyle w:val="Compact"/>
        <w:numPr>
          <w:ilvl w:val="0"/>
          <w:numId w:val="1011"/>
        </w:numPr>
      </w:pPr>
      <w:r>
        <w:rPr>
          <w:b/>
          <w:bCs/>
        </w:rPr>
        <w:t xml:space="preserve">Inputs needed</w:t>
      </w:r>
      <w:r>
        <w:t xml:space="preserve"> – Prototype screens, design system, UX copy, question bank, content guidelines.</w:t>
      </w:r>
    </w:p>
    <w:p>
      <w:pPr>
        <w:pStyle w:val="Compact"/>
        <w:numPr>
          <w:ilvl w:val="0"/>
          <w:numId w:val="1011"/>
        </w:numPr>
      </w:pPr>
      <w:r>
        <w:rPr>
          <w:b/>
          <w:bCs/>
        </w:rPr>
        <w:t xml:space="preserve">Deliverables</w:t>
      </w:r>
      <w:r>
        <w:t xml:space="preserve"> –</w:t>
      </w:r>
    </w:p>
    <w:p>
      <w:pPr>
        <w:pStyle w:val="Compact"/>
        <w:numPr>
          <w:ilvl w:val="0"/>
          <w:numId w:val="1011"/>
        </w:numPr>
      </w:pPr>
      <w:r>
        <w:t xml:space="preserve">Accessibility audit report covering screen reader compatibility, colour contrast, keyboard navigation, font sizes, and cognitive load.</w:t>
      </w:r>
    </w:p>
    <w:p>
      <w:pPr>
        <w:pStyle w:val="Compact"/>
        <w:numPr>
          <w:ilvl w:val="0"/>
          <w:numId w:val="1011"/>
        </w:numPr>
      </w:pPr>
      <w:r>
        <w:t xml:space="preserve">List of accessibility defects and recommended fixes.</w:t>
      </w:r>
    </w:p>
    <w:p>
      <w:pPr>
        <w:numPr>
          <w:ilvl w:val="0"/>
          <w:numId w:val="1011"/>
        </w:numPr>
      </w:pPr>
      <w:r>
        <w:t xml:space="preserve">Guidelines for inclusive language and alternative formats (e.g., audio version of reflections).</w:t>
      </w:r>
    </w:p>
    <w:p>
      <w:pPr>
        <w:numPr>
          <w:ilvl w:val="0"/>
          <w:numId w:val="1011"/>
        </w:numPr>
      </w:pPr>
      <w:r>
        <w:rPr>
          <w:b/>
          <w:bCs/>
        </w:rPr>
        <w:t xml:space="preserve">Acceptance criteria</w:t>
      </w:r>
      <w:r>
        <w:t xml:space="preserve"> –</w:t>
      </w:r>
    </w:p>
    <w:p>
      <w:pPr>
        <w:pStyle w:val="Compact"/>
        <w:numPr>
          <w:ilvl w:val="0"/>
          <w:numId w:val="1011"/>
        </w:numPr>
      </w:pPr>
      <w:r>
        <w:t xml:space="preserve">All prototype screens pass automated WCAG checks.</w:t>
      </w:r>
    </w:p>
    <w:p>
      <w:pPr>
        <w:pStyle w:val="Compact"/>
        <w:numPr>
          <w:ilvl w:val="0"/>
          <w:numId w:val="1011"/>
        </w:numPr>
      </w:pPr>
      <w:r>
        <w:t xml:space="preserve">Clear plan to address identified gaps before MVP.</w:t>
      </w:r>
    </w:p>
    <w:p>
      <w:pPr>
        <w:pStyle w:val="Compact"/>
        <w:numPr>
          <w:ilvl w:val="0"/>
          <w:numId w:val="1011"/>
        </w:numPr>
      </w:pPr>
      <w:r>
        <w:t xml:space="preserve">Content guidelines reflect plain language and avoids jargon</w:t>
      </w:r>
      <w:hyperlink r:id="rId59">
        <w:r>
          <w:rPr>
            <w:rStyle w:val="Hyperlink"/>
          </w:rPr>
          <w:t xml:space="preserve">[28]</w:t>
        </w:r>
      </w:hyperlink>
      <w:r>
        <w:t xml:space="preserve">.</w:t>
      </w:r>
    </w:p>
    <w:p>
      <w:pPr>
        <w:pStyle w:val="Compact"/>
        <w:numPr>
          <w:ilvl w:val="0"/>
          <w:numId w:val="1011"/>
        </w:numPr>
      </w:pPr>
      <w:r>
        <w:rPr>
          <w:b/>
          <w:bCs/>
        </w:rPr>
        <w:t xml:space="preserve">Dependencies</w:t>
      </w:r>
      <w:r>
        <w:t xml:space="preserve"> – Prototype UX Agent; Curriculum Agent; Technical Architecture Agent (for ARIA attributes and UI frameworks).</w:t>
      </w:r>
    </w:p>
    <w:p>
      <w:pPr>
        <w:pStyle w:val="Compact"/>
        <w:numPr>
          <w:ilvl w:val="0"/>
          <w:numId w:val="1011"/>
        </w:numPr>
      </w:pPr>
      <w:r>
        <w:rPr>
          <w:b/>
          <w:bCs/>
        </w:rPr>
        <w:t xml:space="preserve">Risks</w:t>
      </w:r>
      <w:r>
        <w:t xml:space="preserve"> – Scope creep; limited time to address all accessibility concerns.</w:t>
      </w:r>
    </w:p>
    <w:p>
      <w:pPr>
        <w:pStyle w:val="Compact"/>
        <w:numPr>
          <w:ilvl w:val="0"/>
          <w:numId w:val="1011"/>
        </w:numPr>
      </w:pPr>
      <w:r>
        <w:rPr>
          <w:b/>
          <w:bCs/>
        </w:rPr>
        <w:t xml:space="preserve">Output format</w:t>
      </w:r>
      <w:r>
        <w:t xml:space="preserve"> – Accessibility audit document and issue tracker entries.</w:t>
      </w:r>
    </w:p>
    <w:bookmarkEnd w:id="60"/>
    <w:bookmarkStart w:id="62" w:name="prototype-ux-agent-p0"/>
    <w:p>
      <w:pPr>
        <w:pStyle w:val="Heading3"/>
      </w:pPr>
      <w:r>
        <w:t xml:space="preserve">12. Prototype UX Agent (P0)</w:t>
      </w:r>
    </w:p>
    <w:p>
      <w:pPr>
        <w:pStyle w:val="Compact"/>
        <w:numPr>
          <w:ilvl w:val="0"/>
          <w:numId w:val="1012"/>
        </w:numPr>
      </w:pPr>
      <w:r>
        <w:rPr>
          <w:b/>
          <w:bCs/>
        </w:rPr>
        <w:t xml:space="preserve">Objective</w:t>
      </w:r>
      <w:r>
        <w:t xml:space="preserve"> – Produce a clickable prototype for Modules 0–2 (Life State &amp; Privacy, Values, Identity) based on current flow descriptions</w:t>
      </w:r>
      <w:hyperlink r:id="rId61">
        <w:r>
          <w:rPr>
            <w:rStyle w:val="Hyperlink"/>
          </w:rPr>
          <w:t xml:space="preserve">[29]</w:t>
        </w:r>
      </w:hyperlink>
      <w:r>
        <w:t xml:space="preserve"> </w:t>
      </w:r>
      <w:r>
        <w:t xml:space="preserve">and question bank. Test comprehension and desirability in user research.</w:t>
      </w:r>
    </w:p>
    <w:p>
      <w:pPr>
        <w:pStyle w:val="Compact"/>
        <w:numPr>
          <w:ilvl w:val="0"/>
          <w:numId w:val="1012"/>
        </w:numPr>
      </w:pPr>
      <w:r>
        <w:rPr>
          <w:b/>
          <w:bCs/>
        </w:rPr>
        <w:t xml:space="preserve">Inputs needed</w:t>
      </w:r>
      <w:r>
        <w:t xml:space="preserve"> – UX flow descriptions, question bank, values &amp; identity module designs, safety wording library, tonal guidelines.</w:t>
      </w:r>
    </w:p>
    <w:p>
      <w:pPr>
        <w:pStyle w:val="Compact"/>
        <w:numPr>
          <w:ilvl w:val="0"/>
          <w:numId w:val="1012"/>
        </w:numPr>
      </w:pPr>
      <w:r>
        <w:rPr>
          <w:b/>
          <w:bCs/>
        </w:rPr>
        <w:t xml:space="preserve">Deliverables</w:t>
      </w:r>
      <w:r>
        <w:t xml:space="preserve"> –</w:t>
      </w:r>
    </w:p>
    <w:p>
      <w:pPr>
        <w:pStyle w:val="Compact"/>
        <w:numPr>
          <w:ilvl w:val="0"/>
          <w:numId w:val="1012"/>
        </w:numPr>
      </w:pPr>
      <w:r>
        <w:t xml:space="preserve">Low‑ to mid‑fidelity interactive prototype (e.g., Figma/Whimsical) with scripted flows.</w:t>
      </w:r>
    </w:p>
    <w:p>
      <w:pPr>
        <w:pStyle w:val="Compact"/>
        <w:numPr>
          <w:ilvl w:val="0"/>
          <w:numId w:val="1012"/>
        </w:numPr>
      </w:pPr>
      <w:r>
        <w:t xml:space="preserve">Prototype script for moderated sessions (tasks, prompts, expected behaviours).</w:t>
      </w:r>
    </w:p>
    <w:p>
      <w:pPr>
        <w:numPr>
          <w:ilvl w:val="0"/>
          <w:numId w:val="1012"/>
        </w:numPr>
      </w:pPr>
      <w:r>
        <w:t xml:space="preserve">Notations for AI placeholders (indicating where AI suggestions will appear) and manual intervention steps.</w:t>
      </w:r>
    </w:p>
    <w:p>
      <w:pPr>
        <w:numPr>
          <w:ilvl w:val="0"/>
          <w:numId w:val="1012"/>
        </w:numPr>
      </w:pPr>
      <w:r>
        <w:rPr>
          <w:b/>
          <w:bCs/>
        </w:rPr>
        <w:t xml:space="preserve">Acceptance criteria</w:t>
      </w:r>
      <w:r>
        <w:t xml:space="preserve"> –</w:t>
      </w:r>
    </w:p>
    <w:p>
      <w:pPr>
        <w:pStyle w:val="Compact"/>
        <w:numPr>
          <w:ilvl w:val="0"/>
          <w:numId w:val="1012"/>
        </w:numPr>
      </w:pPr>
      <w:r>
        <w:t xml:space="preserve">Prototype covers all screens needed for first‑release modules, including correction loops and optional skip paths.</w:t>
      </w:r>
    </w:p>
    <w:p>
      <w:pPr>
        <w:pStyle w:val="Compact"/>
        <w:numPr>
          <w:ilvl w:val="0"/>
          <w:numId w:val="1012"/>
        </w:numPr>
      </w:pPr>
      <w:r>
        <w:t xml:space="preserve">Users can complete flows without implementation; outputs clearly labelled as draft.</w:t>
      </w:r>
    </w:p>
    <w:p>
      <w:pPr>
        <w:pStyle w:val="Compact"/>
        <w:numPr>
          <w:ilvl w:val="0"/>
          <w:numId w:val="1012"/>
        </w:numPr>
      </w:pPr>
      <w:r>
        <w:t xml:space="preserve">Safety warnings and emergency messages inserted where appropriate.</w:t>
      </w:r>
    </w:p>
    <w:p>
      <w:pPr>
        <w:pStyle w:val="Compact"/>
        <w:numPr>
          <w:ilvl w:val="0"/>
          <w:numId w:val="1012"/>
        </w:numPr>
      </w:pPr>
      <w:r>
        <w:rPr>
          <w:b/>
          <w:bCs/>
        </w:rPr>
        <w:t xml:space="preserve">Dependencies</w:t>
      </w:r>
      <w:r>
        <w:t xml:space="preserve"> – Curriculum Agent; PRD; Crisis Localisation; User Research Agent.</w:t>
      </w:r>
    </w:p>
    <w:p>
      <w:pPr>
        <w:pStyle w:val="Compact"/>
        <w:numPr>
          <w:ilvl w:val="0"/>
          <w:numId w:val="1012"/>
        </w:numPr>
      </w:pPr>
      <w:r>
        <w:rPr>
          <w:b/>
          <w:bCs/>
        </w:rPr>
        <w:t xml:space="preserve">Risks</w:t>
      </w:r>
      <w:r>
        <w:t xml:space="preserve"> – Over‑investing in UI polish; missing critical interactions (e.g., editing interpretations).</w:t>
      </w:r>
    </w:p>
    <w:p>
      <w:pPr>
        <w:pStyle w:val="Compact"/>
        <w:numPr>
          <w:ilvl w:val="0"/>
          <w:numId w:val="1012"/>
        </w:numPr>
      </w:pPr>
      <w:r>
        <w:rPr>
          <w:b/>
          <w:bCs/>
        </w:rPr>
        <w:t xml:space="preserve">Output format</w:t>
      </w:r>
      <w:r>
        <w:t xml:space="preserve"> – Prototype file and narrative description of user flows.</w:t>
      </w:r>
    </w:p>
    <w:bookmarkEnd w:id="62"/>
    <w:bookmarkStart w:id="67" w:name="curriculum-and-question-bank-agent-p0"/>
    <w:p>
      <w:pPr>
        <w:pStyle w:val="Heading3"/>
      </w:pPr>
      <w:r>
        <w:t xml:space="preserve">13. Curriculum and Question Bank Agent (P0)</w:t>
      </w:r>
    </w:p>
    <w:p>
      <w:pPr>
        <w:pStyle w:val="Compact"/>
        <w:numPr>
          <w:ilvl w:val="0"/>
          <w:numId w:val="1013"/>
        </w:numPr>
      </w:pPr>
      <w:r>
        <w:rPr>
          <w:b/>
          <w:bCs/>
        </w:rPr>
        <w:t xml:space="preserve">Objective</w:t>
      </w:r>
      <w:r>
        <w:t xml:space="preserve"> – Refine and extend the question bank and lesson copy for Modules 0–2, ensuring questions are safe, evidence‑based and follow plain‑language principles</w:t>
      </w:r>
      <w:hyperlink r:id="rId63">
        <w:r>
          <w:rPr>
            <w:rStyle w:val="Hyperlink"/>
          </w:rPr>
          <w:t xml:space="preserve">[30]</w:t>
        </w:r>
      </w:hyperlink>
      <w:r>
        <w:t xml:space="preserve">.</w:t>
      </w:r>
    </w:p>
    <w:p>
      <w:pPr>
        <w:pStyle w:val="Compact"/>
        <w:numPr>
          <w:ilvl w:val="0"/>
          <w:numId w:val="1013"/>
        </w:numPr>
      </w:pPr>
      <w:r>
        <w:rPr>
          <w:b/>
          <w:bCs/>
        </w:rPr>
        <w:t xml:space="preserve">Inputs needed</w:t>
      </w:r>
      <w:r>
        <w:t xml:space="preserve"> – Research plan, question bank draft from doc, behavioural science references, safety policy (questions to avoid).</w:t>
      </w:r>
    </w:p>
    <w:p>
      <w:pPr>
        <w:pStyle w:val="Compact"/>
        <w:numPr>
          <w:ilvl w:val="0"/>
          <w:numId w:val="1013"/>
        </w:numPr>
      </w:pPr>
      <w:r>
        <w:rPr>
          <w:b/>
          <w:bCs/>
        </w:rPr>
        <w:t xml:space="preserve">Deliverables</w:t>
      </w:r>
      <w:r>
        <w:t xml:space="preserve"> –</w:t>
      </w:r>
    </w:p>
    <w:p>
      <w:pPr>
        <w:pStyle w:val="Compact"/>
        <w:numPr>
          <w:ilvl w:val="0"/>
          <w:numId w:val="1013"/>
        </w:numPr>
      </w:pPr>
      <w:r>
        <w:t xml:space="preserve">Finalised question bank with categories (values, values in action, value conflicts, moral boundaries, personal rules, identity, goals) and indications of onboarding suitability (*).</w:t>
      </w:r>
    </w:p>
    <w:p>
      <w:pPr>
        <w:pStyle w:val="Compact"/>
        <w:numPr>
          <w:ilvl w:val="0"/>
          <w:numId w:val="1013"/>
        </w:numPr>
      </w:pPr>
      <w:r>
        <w:t xml:space="preserve">Associated lesson copy for onboarding (explanations of values vs. goals</w:t>
      </w:r>
      <w:hyperlink r:id="rId48">
        <w:r>
          <w:rPr>
            <w:rStyle w:val="Hyperlink"/>
          </w:rPr>
          <w:t xml:space="preserve">[21]</w:t>
        </w:r>
      </w:hyperlink>
      <w:r>
        <w:t xml:space="preserve">, identity as practice, future identity, daily proof).</w:t>
      </w:r>
    </w:p>
    <w:p>
      <w:pPr>
        <w:numPr>
          <w:ilvl w:val="0"/>
          <w:numId w:val="1013"/>
        </w:numPr>
      </w:pPr>
      <w:r>
        <w:t xml:space="preserve">Style guide with preferred wording and phrases to avoid</w:t>
      </w:r>
      <w:hyperlink r:id="rId64">
        <w:r>
          <w:rPr>
            <w:rStyle w:val="Hyperlink"/>
          </w:rPr>
          <w:t xml:space="preserve">[31]</w:t>
        </w:r>
      </w:hyperlink>
      <w:r>
        <w:t xml:space="preserve">.</w:t>
      </w:r>
    </w:p>
    <w:p>
      <w:pPr>
        <w:numPr>
          <w:ilvl w:val="0"/>
          <w:numId w:val="1013"/>
        </w:numPr>
      </w:pPr>
      <w:r>
        <w:rPr>
          <w:b/>
          <w:bCs/>
        </w:rPr>
        <w:t xml:space="preserve">Acceptance criteria</w:t>
      </w:r>
      <w:r>
        <w:t xml:space="preserve"> –</w:t>
      </w:r>
    </w:p>
    <w:p>
      <w:pPr>
        <w:pStyle w:val="Compact"/>
        <w:numPr>
          <w:ilvl w:val="0"/>
          <w:numId w:val="1013"/>
        </w:numPr>
      </w:pPr>
      <w:r>
        <w:t xml:space="preserve">Questions are open, non‑intrusive, free of judgement or diagnostic tone</w:t>
      </w:r>
      <w:hyperlink r:id="rId65">
        <w:r>
          <w:rPr>
            <w:rStyle w:val="Hyperlink"/>
          </w:rPr>
          <w:t xml:space="preserve">[32]</w:t>
        </w:r>
      </w:hyperlink>
      <w:r>
        <w:t xml:space="preserve">.</w:t>
      </w:r>
    </w:p>
    <w:p>
      <w:pPr>
        <w:pStyle w:val="Compact"/>
        <w:numPr>
          <w:ilvl w:val="0"/>
          <w:numId w:val="1013"/>
        </w:numPr>
      </w:pPr>
      <w:r>
        <w:t xml:space="preserve">High‑risk questions (trauma disclosures) are removed from onboarding</w:t>
      </w:r>
      <w:hyperlink r:id="rId66">
        <w:r>
          <w:rPr>
            <w:rStyle w:val="Hyperlink"/>
          </w:rPr>
          <w:t xml:space="preserve">[33]</w:t>
        </w:r>
      </w:hyperlink>
      <w:r>
        <w:t xml:space="preserve">.</w:t>
      </w:r>
    </w:p>
    <w:p>
      <w:pPr>
        <w:pStyle w:val="Compact"/>
        <w:numPr>
          <w:ilvl w:val="0"/>
          <w:numId w:val="1013"/>
        </w:numPr>
      </w:pPr>
      <w:r>
        <w:t xml:space="preserve">Copy aligns with plain‑language guidance and motivational interviewing tone</w:t>
      </w:r>
      <w:hyperlink r:id="rId59">
        <w:r>
          <w:rPr>
            <w:rStyle w:val="Hyperlink"/>
          </w:rPr>
          <w:t xml:space="preserve">[28]</w:t>
        </w:r>
      </w:hyperlink>
      <w:r>
        <w:t xml:space="preserve">.</w:t>
      </w:r>
    </w:p>
    <w:p>
      <w:pPr>
        <w:pStyle w:val="Compact"/>
        <w:numPr>
          <w:ilvl w:val="0"/>
          <w:numId w:val="1013"/>
        </w:numPr>
      </w:pPr>
      <w:r>
        <w:t xml:space="preserve">Questions flagged with their purpose and data model fields.</w:t>
      </w:r>
    </w:p>
    <w:p>
      <w:pPr>
        <w:pStyle w:val="Compact"/>
        <w:numPr>
          <w:ilvl w:val="0"/>
          <w:numId w:val="1013"/>
        </w:numPr>
      </w:pPr>
      <w:r>
        <w:rPr>
          <w:b/>
          <w:bCs/>
        </w:rPr>
        <w:t xml:space="preserve">Dependencies</w:t>
      </w:r>
      <w:r>
        <w:t xml:space="preserve"> – User Research Agent feedback; Legal Claims Review; Privacy &amp; Consent Agent; Data Model.</w:t>
      </w:r>
    </w:p>
    <w:p>
      <w:pPr>
        <w:pStyle w:val="Compact"/>
        <w:numPr>
          <w:ilvl w:val="0"/>
          <w:numId w:val="1013"/>
        </w:numPr>
      </w:pPr>
      <w:r>
        <w:rPr>
          <w:b/>
          <w:bCs/>
        </w:rPr>
        <w:t xml:space="preserve">Risks</w:t>
      </w:r>
      <w:r>
        <w:t xml:space="preserve"> – Without expert review, questions may inadvertently cause distress or misinterpretation; misalignment between copy and data fields.</w:t>
      </w:r>
    </w:p>
    <w:p>
      <w:pPr>
        <w:pStyle w:val="Compact"/>
        <w:numPr>
          <w:ilvl w:val="0"/>
          <w:numId w:val="1013"/>
        </w:numPr>
      </w:pPr>
      <w:r>
        <w:rPr>
          <w:b/>
          <w:bCs/>
        </w:rPr>
        <w:t xml:space="preserve">Output format</w:t>
      </w:r>
      <w:r>
        <w:t xml:space="preserve"> – Question bank document (table: question | purpose | module | onboarding safe?), lesson scripts (prose), style guide.</w:t>
      </w:r>
    </w:p>
    <w:bookmarkEnd w:id="67"/>
    <w:bookmarkStart w:id="68" w:name="api-contract-agent-p0"/>
    <w:p>
      <w:pPr>
        <w:pStyle w:val="Heading3"/>
      </w:pPr>
      <w:r>
        <w:t xml:space="preserve">14. API Contract Agent (P0)</w:t>
      </w:r>
    </w:p>
    <w:p>
      <w:pPr>
        <w:pStyle w:val="Compact"/>
        <w:numPr>
          <w:ilvl w:val="0"/>
          <w:numId w:val="1014"/>
        </w:numPr>
      </w:pPr>
      <w:r>
        <w:rPr>
          <w:b/>
          <w:bCs/>
        </w:rPr>
        <w:t xml:space="preserve">Objective</w:t>
      </w:r>
      <w:r>
        <w:t xml:space="preserve"> – Define the API contracts between frontend and backend for all prototype features. Clarify endpoint definitions, request/response structures, authentication and error handling. DO NOT implement; only specify.</w:t>
      </w:r>
    </w:p>
    <w:p>
      <w:pPr>
        <w:pStyle w:val="Compact"/>
        <w:numPr>
          <w:ilvl w:val="0"/>
          <w:numId w:val="1014"/>
        </w:numPr>
      </w:pPr>
      <w:r>
        <w:rPr>
          <w:b/>
          <w:bCs/>
        </w:rPr>
        <w:t xml:space="preserve">Inputs needed</w:t>
      </w:r>
      <w:r>
        <w:t xml:space="preserve"> – PRD, data model, NFRs, security and privacy requirements, user flows.</w:t>
      </w:r>
    </w:p>
    <w:p>
      <w:pPr>
        <w:pStyle w:val="Compact"/>
        <w:numPr>
          <w:ilvl w:val="0"/>
          <w:numId w:val="1014"/>
        </w:numPr>
      </w:pPr>
      <w:r>
        <w:rPr>
          <w:b/>
          <w:bCs/>
        </w:rPr>
        <w:t xml:space="preserve">Deliverables</w:t>
      </w:r>
      <w:r>
        <w:t xml:space="preserve"> –</w:t>
      </w:r>
    </w:p>
    <w:p>
      <w:pPr>
        <w:pStyle w:val="Compact"/>
        <w:numPr>
          <w:ilvl w:val="0"/>
          <w:numId w:val="1014"/>
        </w:numPr>
      </w:pPr>
      <w:r>
        <w:t xml:space="preserve">API specification document (OpenAPI/JSON schema) describing endpoints such as:</w:t>
      </w:r>
    </w:p>
    <w:p>
      <w:pPr>
        <w:pStyle w:val="Compact"/>
        <w:numPr>
          <w:ilvl w:val="1"/>
          <w:numId w:val="1015"/>
        </w:numPr>
      </w:pPr>
      <w:r>
        <w:rPr>
          <w:rStyle w:val="VerbatimChar"/>
        </w:rPr>
        <w:t xml:space="preserve">POST /users</w:t>
      </w:r>
      <w:r>
        <w:t xml:space="preserve"> </w:t>
      </w:r>
      <w:r>
        <w:t xml:space="preserve">(create user, minimal data)</w:t>
      </w:r>
    </w:p>
    <w:p>
      <w:pPr>
        <w:pStyle w:val="Compact"/>
        <w:numPr>
          <w:ilvl w:val="1"/>
          <w:numId w:val="1015"/>
        </w:numPr>
      </w:pPr>
      <w:r>
        <w:rPr>
          <w:rStyle w:val="VerbatimChar"/>
        </w:rPr>
        <w:t xml:space="preserve">GET/POST /values</w:t>
      </w:r>
      <w:r>
        <w:t xml:space="preserve">,</w:t>
      </w:r>
      <w:r>
        <w:t xml:space="preserve"> </w:t>
      </w:r>
      <w:r>
        <w:rPr>
          <w:rStyle w:val="VerbatimChar"/>
        </w:rPr>
        <w:t xml:space="preserve">GET/POST /identities</w:t>
      </w:r>
      <w:r>
        <w:t xml:space="preserve">,</w:t>
      </w:r>
      <w:r>
        <w:t xml:space="preserve"> </w:t>
      </w:r>
      <w:r>
        <w:rPr>
          <w:rStyle w:val="VerbatimChar"/>
        </w:rPr>
        <w:t xml:space="preserve">GET/POST /goals</w:t>
      </w:r>
      <w:r>
        <w:t xml:space="preserve"> </w:t>
      </w:r>
      <w:r>
        <w:t xml:space="preserve">with fields matching canonical schema and provenance markers.</w:t>
      </w:r>
    </w:p>
    <w:p>
      <w:pPr>
        <w:pStyle w:val="Compact"/>
        <w:numPr>
          <w:ilvl w:val="1"/>
          <w:numId w:val="1015"/>
        </w:numPr>
      </w:pPr>
      <w:r>
        <w:rPr>
          <w:rStyle w:val="VerbatimChar"/>
        </w:rPr>
        <w:t xml:space="preserve">POST /interpretations</w:t>
      </w:r>
      <w:r>
        <w:t xml:space="preserve"> </w:t>
      </w:r>
      <w:r>
        <w:t xml:space="preserve">requiring user confirmation, returning confidence levels</w:t>
      </w:r>
      <w:hyperlink r:id="rId38">
        <w:r>
          <w:rPr>
            <w:rStyle w:val="Hyperlink"/>
          </w:rPr>
          <w:t xml:space="preserve">[13]</w:t>
        </w:r>
      </w:hyperlink>
      <w:r>
        <w:t xml:space="preserve">.</w:t>
      </w:r>
    </w:p>
    <w:p>
      <w:pPr>
        <w:pStyle w:val="Compact"/>
        <w:numPr>
          <w:ilvl w:val="1"/>
          <w:numId w:val="1015"/>
        </w:numPr>
      </w:pPr>
      <w:r>
        <w:rPr>
          <w:rStyle w:val="VerbatimChar"/>
        </w:rPr>
        <w:t xml:space="preserve">POST /consent</w:t>
      </w:r>
      <w:r>
        <w:t xml:space="preserve"> </w:t>
      </w:r>
      <w:r>
        <w:t xml:space="preserve">for managing user consents.</w:t>
      </w:r>
    </w:p>
    <w:p>
      <w:pPr>
        <w:pStyle w:val="Compact"/>
        <w:numPr>
          <w:ilvl w:val="0"/>
          <w:numId w:val="1014"/>
        </w:numPr>
      </w:pPr>
      <w:r>
        <w:t xml:space="preserve">Error taxonomy and HTTP status codes (e.g., 400 for invalid input, 403 for missing consent, 429 for rate‑limit).</w:t>
      </w:r>
    </w:p>
    <w:p>
      <w:pPr>
        <w:numPr>
          <w:ilvl w:val="0"/>
          <w:numId w:val="1014"/>
        </w:numPr>
      </w:pPr>
      <w:r>
        <w:t xml:space="preserve">Documentation of authentication (token‑based or session) and authorisation boundaries (user can only access own data).</w:t>
      </w:r>
    </w:p>
    <w:p>
      <w:pPr>
        <w:numPr>
          <w:ilvl w:val="0"/>
          <w:numId w:val="1014"/>
        </w:numPr>
      </w:pPr>
      <w:r>
        <w:rPr>
          <w:b/>
          <w:bCs/>
        </w:rPr>
        <w:t xml:space="preserve">Acceptance criteria</w:t>
      </w:r>
      <w:r>
        <w:t xml:space="preserve"> –</w:t>
      </w:r>
    </w:p>
    <w:p>
      <w:pPr>
        <w:pStyle w:val="Compact"/>
        <w:numPr>
          <w:ilvl w:val="0"/>
          <w:numId w:val="1014"/>
        </w:numPr>
      </w:pPr>
      <w:r>
        <w:t xml:space="preserve">API contracts align with data model and privacy requirements (no ability to fetch unconfirmed sensitive data).</w:t>
      </w:r>
    </w:p>
    <w:p>
      <w:pPr>
        <w:pStyle w:val="Compact"/>
        <w:numPr>
          <w:ilvl w:val="0"/>
          <w:numId w:val="1014"/>
        </w:numPr>
      </w:pPr>
      <w:r>
        <w:t xml:space="preserve">Proper separation between raw session inputs and confirmed memory.</w:t>
      </w:r>
    </w:p>
    <w:p>
      <w:pPr>
        <w:pStyle w:val="Compact"/>
        <w:numPr>
          <w:ilvl w:val="0"/>
          <w:numId w:val="1014"/>
        </w:numPr>
      </w:pPr>
      <w:r>
        <w:t xml:space="preserve">Clear error messages for high‑risk cases (e.g., unconfirmed content cannot be saved).</w:t>
      </w:r>
    </w:p>
    <w:p>
      <w:pPr>
        <w:pStyle w:val="Compact"/>
        <w:numPr>
          <w:ilvl w:val="0"/>
          <w:numId w:val="1014"/>
        </w:numPr>
      </w:pPr>
      <w:r>
        <w:rPr>
          <w:b/>
          <w:bCs/>
        </w:rPr>
        <w:t xml:space="preserve">Dependencies</w:t>
      </w:r>
      <w:r>
        <w:t xml:space="preserve"> – Data Model; PRD; NFR; Security Threat Model; Privacy &amp; Consent Agent.</w:t>
      </w:r>
    </w:p>
    <w:p>
      <w:pPr>
        <w:pStyle w:val="Compact"/>
        <w:numPr>
          <w:ilvl w:val="0"/>
          <w:numId w:val="1014"/>
        </w:numPr>
      </w:pPr>
      <w:r>
        <w:rPr>
          <w:b/>
          <w:bCs/>
        </w:rPr>
        <w:t xml:space="preserve">Risks</w:t>
      </w:r>
      <w:r>
        <w:t xml:space="preserve"> – Over‑specifying endpoints before user research results; leaving out required meta fields for AI evaluation.</w:t>
      </w:r>
    </w:p>
    <w:p>
      <w:pPr>
        <w:pStyle w:val="Compact"/>
        <w:numPr>
          <w:ilvl w:val="0"/>
          <w:numId w:val="1014"/>
        </w:numPr>
      </w:pPr>
      <w:r>
        <w:rPr>
          <w:b/>
          <w:bCs/>
        </w:rPr>
        <w:t xml:space="preserve">Output format</w:t>
      </w:r>
      <w:r>
        <w:t xml:space="preserve"> – API specification (OpenAPI) and summary doc.</w:t>
      </w:r>
    </w:p>
    <w:bookmarkEnd w:id="68"/>
    <w:bookmarkStart w:id="72" w:name="technical-architecture-agent-p1"/>
    <w:p>
      <w:pPr>
        <w:pStyle w:val="Heading3"/>
      </w:pPr>
      <w:r>
        <w:t xml:space="preserve">15. Technical Architecture Agent (P1)</w:t>
      </w:r>
    </w:p>
    <w:p>
      <w:pPr>
        <w:pStyle w:val="Compact"/>
        <w:numPr>
          <w:ilvl w:val="0"/>
          <w:numId w:val="1016"/>
        </w:numPr>
      </w:pPr>
      <w:r>
        <w:rPr>
          <w:b/>
          <w:bCs/>
        </w:rPr>
        <w:t xml:space="preserve">Objective</w:t>
      </w:r>
      <w:r>
        <w:t xml:space="preserve"> – Propose a</w:t>
      </w:r>
      <w:r>
        <w:t xml:space="preserve"> </w:t>
      </w:r>
      <w:r>
        <w:rPr>
          <w:b/>
          <w:bCs/>
        </w:rPr>
        <w:t xml:space="preserve">prototype architecture</w:t>
      </w:r>
      <w:r>
        <w:t xml:space="preserve"> </w:t>
      </w:r>
      <w:r>
        <w:t xml:space="preserve">that supports the MVP while avoiding irreversible decisions. Focus on thin orchestration layer, structured memory store, retrieval layer and human‑review workflow</w:t>
      </w:r>
      <w:hyperlink r:id="rId69">
        <w:r>
          <w:rPr>
            <w:rStyle w:val="Hyperlink"/>
          </w:rPr>
          <w:t xml:space="preserve">[34]</w:t>
        </w:r>
      </w:hyperlink>
      <w:r>
        <w:t xml:space="preserve">.</w:t>
      </w:r>
    </w:p>
    <w:p>
      <w:pPr>
        <w:pStyle w:val="Compact"/>
        <w:numPr>
          <w:ilvl w:val="0"/>
          <w:numId w:val="1016"/>
        </w:numPr>
      </w:pPr>
      <w:r>
        <w:rPr>
          <w:b/>
          <w:bCs/>
        </w:rPr>
        <w:t xml:space="preserve">Inputs needed</w:t>
      </w:r>
      <w:r>
        <w:t xml:space="preserve"> – Data model, NFRs, API contracts, privacy requirements, AI evaluation harness design, typical user flows, low‑fidelity prototype goals.</w:t>
      </w:r>
    </w:p>
    <w:p>
      <w:pPr>
        <w:pStyle w:val="Compact"/>
        <w:numPr>
          <w:ilvl w:val="0"/>
          <w:numId w:val="1016"/>
        </w:numPr>
      </w:pPr>
      <w:r>
        <w:rPr>
          <w:b/>
          <w:bCs/>
        </w:rPr>
        <w:t xml:space="preserve">Deliverables</w:t>
      </w:r>
      <w:r>
        <w:t xml:space="preserve"> –</w:t>
      </w:r>
    </w:p>
    <w:p>
      <w:pPr>
        <w:pStyle w:val="Compact"/>
        <w:numPr>
          <w:ilvl w:val="0"/>
          <w:numId w:val="1016"/>
        </w:numPr>
      </w:pPr>
      <w:r>
        <w:t xml:space="preserve">High‑level architecture diagram showing frontend, API gateway, AI orchestration service (wrapper around foundation model), storage layer (user profile store vs. session memory), admin console for human review, and analytics pipeline.</w:t>
      </w:r>
    </w:p>
    <w:p>
      <w:pPr>
        <w:pStyle w:val="Compact"/>
        <w:numPr>
          <w:ilvl w:val="0"/>
          <w:numId w:val="1016"/>
        </w:numPr>
      </w:pPr>
      <w:r>
        <w:t xml:space="preserve">Description of retrieval‑augmented generation (RAG) approach (foundation model + vector store with confirmed user facts and question prompts)</w:t>
      </w:r>
      <w:hyperlink r:id="rId70">
        <w:r>
          <w:rPr>
            <w:rStyle w:val="Hyperlink"/>
          </w:rPr>
          <w:t xml:space="preserve">[35]</w:t>
        </w:r>
      </w:hyperlink>
      <w:r>
        <w:t xml:space="preserve">, emphasising explicit memory objects rather than unbounded context.</w:t>
      </w:r>
    </w:p>
    <w:p>
      <w:pPr>
        <w:pStyle w:val="Compact"/>
        <w:numPr>
          <w:ilvl w:val="0"/>
          <w:numId w:val="1016"/>
        </w:numPr>
      </w:pPr>
      <w:r>
        <w:t xml:space="preserve">Deployment plan for prototype (e.g., single cloud region, managed database, open‑source orchestration).</w:t>
      </w:r>
    </w:p>
    <w:p>
      <w:pPr>
        <w:numPr>
          <w:ilvl w:val="0"/>
          <w:numId w:val="1016"/>
        </w:numPr>
      </w:pPr>
      <w:r>
        <w:t xml:space="preserve">Notes on deferring high‑risk features: no calendar write‑back, no supporter sharing, no long‑term memory beyond confirmed facts</w:t>
      </w:r>
      <w:hyperlink r:id="rId33">
        <w:r>
          <w:rPr>
            <w:rStyle w:val="Hyperlink"/>
          </w:rPr>
          <w:t xml:space="preserve">[10]</w:t>
        </w:r>
      </w:hyperlink>
      <w:r>
        <w:t xml:space="preserve">.</w:t>
      </w:r>
    </w:p>
    <w:p>
      <w:pPr>
        <w:numPr>
          <w:ilvl w:val="0"/>
          <w:numId w:val="1016"/>
        </w:numPr>
      </w:pPr>
      <w:r>
        <w:rPr>
          <w:b/>
          <w:bCs/>
        </w:rPr>
        <w:t xml:space="preserve">Acceptance criteria</w:t>
      </w:r>
      <w:r>
        <w:t xml:space="preserve"> –</w:t>
      </w:r>
    </w:p>
    <w:p>
      <w:pPr>
        <w:pStyle w:val="Compact"/>
        <w:numPr>
          <w:ilvl w:val="0"/>
          <w:numId w:val="1016"/>
        </w:numPr>
      </w:pPr>
      <w:r>
        <w:t xml:space="preserve">Architecture aligns with NFRs and privacy constraints (local vs. cloud storage)</w:t>
      </w:r>
      <w:hyperlink r:id="rId71">
        <w:r>
          <w:rPr>
            <w:rStyle w:val="Hyperlink"/>
          </w:rPr>
          <w:t xml:space="preserve">[36]</w:t>
        </w:r>
      </w:hyperlink>
      <w:r>
        <w:t xml:space="preserve">.</w:t>
      </w:r>
    </w:p>
    <w:p>
      <w:pPr>
        <w:pStyle w:val="Compact"/>
        <w:numPr>
          <w:ilvl w:val="0"/>
          <w:numId w:val="1016"/>
        </w:numPr>
      </w:pPr>
      <w:r>
        <w:t xml:space="preserve">Supports evaluation harness integration and instrumentation.</w:t>
      </w:r>
    </w:p>
    <w:p>
      <w:pPr>
        <w:pStyle w:val="Compact"/>
        <w:numPr>
          <w:ilvl w:val="0"/>
          <w:numId w:val="1016"/>
        </w:numPr>
      </w:pPr>
      <w:r>
        <w:t xml:space="preserve">Avoids custom model training; uses existing foundation models plus retrieval</w:t>
      </w:r>
      <w:hyperlink r:id="rId70">
        <w:r>
          <w:rPr>
            <w:rStyle w:val="Hyperlink"/>
          </w:rPr>
          <w:t xml:space="preserve">[35]</w:t>
        </w:r>
      </w:hyperlink>
      <w:r>
        <w:t xml:space="preserve">.</w:t>
      </w:r>
    </w:p>
    <w:p>
      <w:pPr>
        <w:pStyle w:val="Compact"/>
        <w:numPr>
          <w:ilvl w:val="0"/>
          <w:numId w:val="1016"/>
        </w:numPr>
      </w:pPr>
      <w:r>
        <w:rPr>
          <w:b/>
          <w:bCs/>
        </w:rPr>
        <w:t xml:space="preserve">Dependencies</w:t>
      </w:r>
      <w:r>
        <w:t xml:space="preserve"> – Data Model; API Contract; NFR; Security Threat Model; AI Evaluation Harness.</w:t>
      </w:r>
    </w:p>
    <w:p>
      <w:pPr>
        <w:pStyle w:val="Compact"/>
        <w:numPr>
          <w:ilvl w:val="0"/>
          <w:numId w:val="1016"/>
        </w:numPr>
      </w:pPr>
      <w:r>
        <w:rPr>
          <w:b/>
          <w:bCs/>
        </w:rPr>
        <w:t xml:space="preserve">Risks</w:t>
      </w:r>
      <w:r>
        <w:t xml:space="preserve"> – Over‑engineering; choosing components incompatible with privacy (e.g., closed‑source vector stores); tight coupling between modules.</w:t>
      </w:r>
    </w:p>
    <w:p>
      <w:pPr>
        <w:pStyle w:val="Compact"/>
        <w:numPr>
          <w:ilvl w:val="0"/>
          <w:numId w:val="1016"/>
        </w:numPr>
      </w:pPr>
      <w:r>
        <w:rPr>
          <w:b/>
          <w:bCs/>
        </w:rPr>
        <w:t xml:space="preserve">Output format</w:t>
      </w:r>
      <w:r>
        <w:t xml:space="preserve"> – Architecture diagram (image) and written explanation.</w:t>
      </w:r>
    </w:p>
    <w:bookmarkEnd w:id="72"/>
    <w:bookmarkStart w:id="75" w:name="operations-and-support-agent-p1"/>
    <w:p>
      <w:pPr>
        <w:pStyle w:val="Heading3"/>
      </w:pPr>
      <w:r>
        <w:t xml:space="preserve">16. Operations and Support Agent (P1)</w:t>
      </w:r>
    </w:p>
    <w:p>
      <w:pPr>
        <w:pStyle w:val="Compact"/>
        <w:numPr>
          <w:ilvl w:val="0"/>
          <w:numId w:val="1017"/>
        </w:numPr>
      </w:pPr>
      <w:r>
        <w:rPr>
          <w:b/>
          <w:bCs/>
        </w:rPr>
        <w:t xml:space="preserve">Objective</w:t>
      </w:r>
      <w:r>
        <w:t xml:space="preserve"> – Define operational processes and support structures for prototype testing (not full production). Cover environment setup, secrets management, logging, incident response and user support.</w:t>
      </w:r>
    </w:p>
    <w:p>
      <w:pPr>
        <w:pStyle w:val="Compact"/>
        <w:numPr>
          <w:ilvl w:val="0"/>
          <w:numId w:val="1017"/>
        </w:numPr>
      </w:pPr>
      <w:r>
        <w:rPr>
          <w:b/>
          <w:bCs/>
        </w:rPr>
        <w:t xml:space="preserve">Inputs needed</w:t>
      </w:r>
      <w:r>
        <w:t xml:space="preserve"> – Architecture plan, NFRs, privacy requirements, threat model.</w:t>
      </w:r>
    </w:p>
    <w:p>
      <w:pPr>
        <w:pStyle w:val="Compact"/>
        <w:numPr>
          <w:ilvl w:val="0"/>
          <w:numId w:val="1017"/>
        </w:numPr>
      </w:pPr>
      <w:r>
        <w:rPr>
          <w:b/>
          <w:bCs/>
        </w:rPr>
        <w:t xml:space="preserve">Deliverables</w:t>
      </w:r>
      <w:r>
        <w:t xml:space="preserve"> –</w:t>
      </w:r>
    </w:p>
    <w:p>
      <w:pPr>
        <w:pStyle w:val="Compact"/>
        <w:numPr>
          <w:ilvl w:val="0"/>
          <w:numId w:val="1017"/>
        </w:numPr>
      </w:pPr>
      <w:r>
        <w:t xml:space="preserve">Operations runbook including environment provisioning (dev, staging, pilot), secrets handling, backup/restore, monitoring (basic logs, AI model metrics), roll‑back procedures.</w:t>
      </w:r>
    </w:p>
    <w:p>
      <w:pPr>
        <w:pStyle w:val="Compact"/>
        <w:numPr>
          <w:ilvl w:val="0"/>
          <w:numId w:val="1017"/>
        </w:numPr>
      </w:pPr>
      <w:r>
        <w:t xml:space="preserve">Support process for pilot users: how users can raise issues, SLA for responses, how to handle sensitive data queries.</w:t>
      </w:r>
    </w:p>
    <w:p>
      <w:pPr>
        <w:numPr>
          <w:ilvl w:val="0"/>
          <w:numId w:val="1017"/>
        </w:numPr>
      </w:pPr>
      <w:r>
        <w:t xml:space="preserve">Incident response playbook referencing privacy breach notification requirements</w:t>
      </w:r>
      <w:hyperlink r:id="rId45">
        <w:r>
          <w:rPr>
            <w:rStyle w:val="Hyperlink"/>
          </w:rPr>
          <w:t xml:space="preserve">[19]</w:t>
        </w:r>
      </w:hyperlink>
      <w:hyperlink r:id="rId73">
        <w:r>
          <w:rPr>
            <w:rStyle w:val="Hyperlink"/>
          </w:rPr>
          <w:t xml:space="preserve">[37]</w:t>
        </w:r>
      </w:hyperlink>
      <w:r>
        <w:t xml:space="preserve">.</w:t>
      </w:r>
    </w:p>
    <w:p>
      <w:pPr>
        <w:numPr>
          <w:ilvl w:val="0"/>
          <w:numId w:val="1017"/>
        </w:numPr>
      </w:pPr>
      <w:r>
        <w:rPr>
          <w:b/>
          <w:bCs/>
        </w:rPr>
        <w:t xml:space="preserve">Acceptance criteria</w:t>
      </w:r>
      <w:r>
        <w:t xml:space="preserve"> –</w:t>
      </w:r>
    </w:p>
    <w:p>
      <w:pPr>
        <w:pStyle w:val="Compact"/>
        <w:numPr>
          <w:ilvl w:val="0"/>
          <w:numId w:val="1017"/>
        </w:numPr>
      </w:pPr>
      <w:r>
        <w:t xml:space="preserve">Runbook covers all critical operations tasks for a prototype (deployment, updates, monitoring).</w:t>
      </w:r>
    </w:p>
    <w:p>
      <w:pPr>
        <w:pStyle w:val="Compact"/>
        <w:numPr>
          <w:ilvl w:val="0"/>
          <w:numId w:val="1017"/>
        </w:numPr>
      </w:pPr>
      <w:r>
        <w:t xml:space="preserve">Support process acknowledges that the system is not emergency support and directs users accordingly</w:t>
      </w:r>
      <w:hyperlink r:id="rId74">
        <w:r>
          <w:rPr>
            <w:rStyle w:val="Hyperlink"/>
          </w:rPr>
          <w:t xml:space="preserve">[38]</w:t>
        </w:r>
      </w:hyperlink>
      <w:r>
        <w:t xml:space="preserve">.</w:t>
      </w:r>
    </w:p>
    <w:p>
      <w:pPr>
        <w:pStyle w:val="Compact"/>
        <w:numPr>
          <w:ilvl w:val="0"/>
          <w:numId w:val="1017"/>
        </w:numPr>
      </w:pPr>
      <w:r>
        <w:t xml:space="preserve">Incident response includes escalation matrix and documentation steps.</w:t>
      </w:r>
    </w:p>
    <w:p>
      <w:pPr>
        <w:pStyle w:val="Compact"/>
        <w:numPr>
          <w:ilvl w:val="0"/>
          <w:numId w:val="1017"/>
        </w:numPr>
      </w:pPr>
      <w:r>
        <w:rPr>
          <w:b/>
          <w:bCs/>
        </w:rPr>
        <w:t xml:space="preserve">Dependencies</w:t>
      </w:r>
      <w:r>
        <w:t xml:space="preserve"> – Technical Architecture; Security Threat Model; Privacy &amp; Consent Agent; Crisis Localisation.</w:t>
      </w:r>
    </w:p>
    <w:p>
      <w:pPr>
        <w:pStyle w:val="Compact"/>
        <w:numPr>
          <w:ilvl w:val="0"/>
          <w:numId w:val="1017"/>
        </w:numPr>
      </w:pPr>
      <w:r>
        <w:rPr>
          <w:b/>
          <w:bCs/>
        </w:rPr>
        <w:t xml:space="preserve">Risks</w:t>
      </w:r>
      <w:r>
        <w:t xml:space="preserve"> – Under‑resourcing support; unclear responsibilities; not capturing user feedback effectively.</w:t>
      </w:r>
    </w:p>
    <w:p>
      <w:pPr>
        <w:pStyle w:val="Compact"/>
        <w:numPr>
          <w:ilvl w:val="0"/>
          <w:numId w:val="1017"/>
        </w:numPr>
      </w:pPr>
      <w:r>
        <w:rPr>
          <w:b/>
          <w:bCs/>
        </w:rPr>
        <w:t xml:space="preserve">Output format</w:t>
      </w:r>
      <w:r>
        <w:t xml:space="preserve"> – Runbook and support plan (documents).</w:t>
      </w:r>
    </w:p>
    <w:bookmarkEnd w:id="75"/>
    <w:bookmarkStart w:id="78" w:name="analytics-and-event-taxonomy-agent-p1"/>
    <w:p>
      <w:pPr>
        <w:pStyle w:val="Heading3"/>
      </w:pPr>
      <w:r>
        <w:t xml:space="preserve">17. Analytics and Event Taxonomy Agent (P1)</w:t>
      </w:r>
    </w:p>
    <w:p>
      <w:pPr>
        <w:pStyle w:val="Compact"/>
        <w:numPr>
          <w:ilvl w:val="0"/>
          <w:numId w:val="1018"/>
        </w:numPr>
      </w:pPr>
      <w:r>
        <w:rPr>
          <w:b/>
          <w:bCs/>
        </w:rPr>
        <w:t xml:space="preserve">Objective</w:t>
      </w:r>
      <w:r>
        <w:t xml:space="preserve"> – Define the event taxonomy and analytics plan for prototype instrumentation without violating privacy. Specify which events are captured (completion, corrections, drop‑offs) and metrics to measure success</w:t>
      </w:r>
      <w:hyperlink r:id="rId76">
        <w:r>
          <w:rPr>
            <w:rStyle w:val="Hyperlink"/>
          </w:rPr>
          <w:t xml:space="preserve">[39]</w:t>
        </w:r>
      </w:hyperlink>
      <w:r>
        <w:t xml:space="preserve">.</w:t>
      </w:r>
    </w:p>
    <w:p>
      <w:pPr>
        <w:pStyle w:val="Compact"/>
        <w:numPr>
          <w:ilvl w:val="0"/>
          <w:numId w:val="1018"/>
        </w:numPr>
      </w:pPr>
      <w:r>
        <w:rPr>
          <w:b/>
          <w:bCs/>
        </w:rPr>
        <w:t xml:space="preserve">Inputs needed</w:t>
      </w:r>
      <w:r>
        <w:t xml:space="preserve"> – PRD success metrics, data model, privacy requirements, user flows, evaluation harness metrics.</w:t>
      </w:r>
    </w:p>
    <w:p>
      <w:pPr>
        <w:pStyle w:val="Compact"/>
        <w:numPr>
          <w:ilvl w:val="0"/>
          <w:numId w:val="1018"/>
        </w:numPr>
      </w:pPr>
      <w:r>
        <w:rPr>
          <w:b/>
          <w:bCs/>
        </w:rPr>
        <w:t xml:space="preserve">Deliverables</w:t>
      </w:r>
      <w:r>
        <w:t xml:space="preserve"> –</w:t>
      </w:r>
    </w:p>
    <w:p>
      <w:pPr>
        <w:pStyle w:val="Compact"/>
        <w:numPr>
          <w:ilvl w:val="0"/>
          <w:numId w:val="1018"/>
        </w:numPr>
      </w:pPr>
      <w:r>
        <w:t xml:space="preserve">Event taxonomy listing event names (e.g.,</w:t>
      </w:r>
      <w:r>
        <w:t xml:space="preserve"> </w:t>
      </w:r>
      <w:r>
        <w:rPr>
          <w:rStyle w:val="VerbatimChar"/>
        </w:rPr>
        <w:t xml:space="preserve">module_started</w:t>
      </w:r>
      <w:r>
        <w:t xml:space="preserve">,</w:t>
      </w:r>
      <w:r>
        <w:t xml:space="preserve"> </w:t>
      </w:r>
      <w:r>
        <w:rPr>
          <w:rStyle w:val="VerbatimChar"/>
        </w:rPr>
        <w:t xml:space="preserve">module_completed</w:t>
      </w:r>
      <w:r>
        <w:t xml:space="preserve">,</w:t>
      </w:r>
      <w:r>
        <w:t xml:space="preserve"> </w:t>
      </w:r>
      <w:r>
        <w:rPr>
          <w:rStyle w:val="VerbatimChar"/>
        </w:rPr>
        <w:t xml:space="preserve">interpretation_edited</w:t>
      </w:r>
      <w:r>
        <w:t xml:space="preserve">,</w:t>
      </w:r>
      <w:r>
        <w:t xml:space="preserve"> </w:t>
      </w:r>
      <w:r>
        <w:rPr>
          <w:rStyle w:val="VerbatimChar"/>
        </w:rPr>
        <w:t xml:space="preserve">consent_given</w:t>
      </w:r>
      <w:r>
        <w:t xml:space="preserve">,</w:t>
      </w:r>
      <w:r>
        <w:t xml:space="preserve"> </w:t>
      </w:r>
      <w:r>
        <w:rPr>
          <w:rStyle w:val="VerbatimChar"/>
        </w:rPr>
        <w:t xml:space="preserve">crisis_detected</w:t>
      </w:r>
      <w:r>
        <w:t xml:space="preserve">) with descriptions, properties and privacy classification.</w:t>
      </w:r>
    </w:p>
    <w:p>
      <w:pPr>
        <w:pStyle w:val="Compact"/>
        <w:numPr>
          <w:ilvl w:val="0"/>
          <w:numId w:val="1018"/>
        </w:numPr>
      </w:pPr>
      <w:r>
        <w:t xml:space="preserve">Data collection policy (opt‑in telemetry, anonymisation, data retention).</w:t>
      </w:r>
    </w:p>
    <w:p>
      <w:pPr>
        <w:numPr>
          <w:ilvl w:val="0"/>
          <w:numId w:val="1018"/>
        </w:numPr>
      </w:pPr>
      <w:r>
        <w:t xml:space="preserve">Analytics dashboard specification showing key metrics: completion rates, correction rates, return visits, time per module.</w:t>
      </w:r>
    </w:p>
    <w:p>
      <w:pPr>
        <w:numPr>
          <w:ilvl w:val="0"/>
          <w:numId w:val="1018"/>
        </w:numPr>
      </w:pPr>
      <w:r>
        <w:rPr>
          <w:b/>
          <w:bCs/>
        </w:rPr>
        <w:t xml:space="preserve">Acceptance criteria</w:t>
      </w:r>
      <w:r>
        <w:t xml:space="preserve"> –</w:t>
      </w:r>
    </w:p>
    <w:p>
      <w:pPr>
        <w:pStyle w:val="Compact"/>
        <w:numPr>
          <w:ilvl w:val="0"/>
          <w:numId w:val="1018"/>
        </w:numPr>
      </w:pPr>
      <w:r>
        <w:t xml:space="preserve">Only non‑sensitive, de‑identified events collected by default</w:t>
      </w:r>
      <w:hyperlink r:id="rId77">
        <w:r>
          <w:rPr>
            <w:rStyle w:val="Hyperlink"/>
          </w:rPr>
          <w:t xml:space="preserve">[40]</w:t>
        </w:r>
      </w:hyperlink>
      <w:r>
        <w:t xml:space="preserve">.</w:t>
      </w:r>
    </w:p>
    <w:p>
      <w:pPr>
        <w:pStyle w:val="Compact"/>
        <w:numPr>
          <w:ilvl w:val="0"/>
          <w:numId w:val="1018"/>
        </w:numPr>
      </w:pPr>
      <w:r>
        <w:t xml:space="preserve">Metric definitions align with success criteria in PRD and evaluation harness.</w:t>
      </w:r>
    </w:p>
    <w:p>
      <w:pPr>
        <w:pStyle w:val="Compact"/>
        <w:numPr>
          <w:ilvl w:val="0"/>
          <w:numId w:val="1018"/>
        </w:numPr>
      </w:pPr>
      <w:r>
        <w:t xml:space="preserve">Users can opt out of analytics collection.</w:t>
      </w:r>
    </w:p>
    <w:p>
      <w:pPr>
        <w:pStyle w:val="Compact"/>
        <w:numPr>
          <w:ilvl w:val="0"/>
          <w:numId w:val="1018"/>
        </w:numPr>
      </w:pPr>
      <w:r>
        <w:rPr>
          <w:b/>
          <w:bCs/>
        </w:rPr>
        <w:t xml:space="preserve">Dependencies</w:t>
      </w:r>
      <w:r>
        <w:t xml:space="preserve"> – PRD; Privacy &amp; Consent Agent; Data Model; Technical Architecture; AI Evaluation Harness.</w:t>
      </w:r>
    </w:p>
    <w:p>
      <w:pPr>
        <w:pStyle w:val="Compact"/>
        <w:numPr>
          <w:ilvl w:val="0"/>
          <w:numId w:val="1018"/>
        </w:numPr>
      </w:pPr>
      <w:r>
        <w:rPr>
          <w:b/>
          <w:bCs/>
        </w:rPr>
        <w:t xml:space="preserve">Risks</w:t>
      </w:r>
      <w:r>
        <w:t xml:space="preserve"> – Over‑collection of user data; misinterpreting metrics with small sample sizes; ignoring qualitative insights.</w:t>
      </w:r>
    </w:p>
    <w:p>
      <w:pPr>
        <w:pStyle w:val="Compact"/>
        <w:numPr>
          <w:ilvl w:val="0"/>
          <w:numId w:val="1018"/>
        </w:numPr>
      </w:pPr>
      <w:r>
        <w:rPr>
          <w:b/>
          <w:bCs/>
        </w:rPr>
        <w:t xml:space="preserve">Output format</w:t>
      </w:r>
      <w:r>
        <w:t xml:space="preserve"> – Event taxonomy table and analytics plan document.</w:t>
      </w:r>
    </w:p>
    <w:bookmarkEnd w:id="78"/>
    <w:bookmarkStart w:id="80" w:name="testing-strategy-agent-p1"/>
    <w:p>
      <w:pPr>
        <w:pStyle w:val="Heading3"/>
      </w:pPr>
      <w:r>
        <w:t xml:space="preserve">18. Testing Strategy Agent (P1)</w:t>
      </w:r>
    </w:p>
    <w:p>
      <w:pPr>
        <w:pStyle w:val="Compact"/>
        <w:numPr>
          <w:ilvl w:val="0"/>
          <w:numId w:val="1019"/>
        </w:numPr>
      </w:pPr>
      <w:r>
        <w:rPr>
          <w:b/>
          <w:bCs/>
        </w:rPr>
        <w:t xml:space="preserve">Objective</w:t>
      </w:r>
      <w:r>
        <w:t xml:space="preserve"> – Develop a comprehensive test strategy covering unit tests, integration tests, UX/usability tests, security tests, privacy checks and AI evaluation harness integration</w:t>
      </w:r>
      <w:hyperlink r:id="rId79">
        <w:r>
          <w:rPr>
            <w:rStyle w:val="Hyperlink"/>
          </w:rPr>
          <w:t xml:space="preserve">[41]</w:t>
        </w:r>
      </w:hyperlink>
      <w:r>
        <w:t xml:space="preserve">.</w:t>
      </w:r>
    </w:p>
    <w:p>
      <w:pPr>
        <w:pStyle w:val="Compact"/>
        <w:numPr>
          <w:ilvl w:val="0"/>
          <w:numId w:val="1019"/>
        </w:numPr>
      </w:pPr>
      <w:r>
        <w:rPr>
          <w:b/>
          <w:bCs/>
        </w:rPr>
        <w:t xml:space="preserve">Inputs needed</w:t>
      </w:r>
      <w:r>
        <w:t xml:space="preserve"> – Architecture plan, API contracts, evaluation harness, event taxonomy, PRD.</w:t>
      </w:r>
    </w:p>
    <w:p>
      <w:pPr>
        <w:pStyle w:val="Compact"/>
        <w:numPr>
          <w:ilvl w:val="0"/>
          <w:numId w:val="1019"/>
        </w:numPr>
      </w:pPr>
      <w:r>
        <w:rPr>
          <w:b/>
          <w:bCs/>
        </w:rPr>
        <w:t xml:space="preserve">Deliverables</w:t>
      </w:r>
      <w:r>
        <w:t xml:space="preserve"> –</w:t>
      </w:r>
    </w:p>
    <w:p>
      <w:pPr>
        <w:pStyle w:val="Compact"/>
        <w:numPr>
          <w:ilvl w:val="0"/>
          <w:numId w:val="1019"/>
        </w:numPr>
      </w:pPr>
      <w:r>
        <w:t xml:space="preserve">Test plan document outlining test levels, responsibilities and tools (e.g., unit testing frameworks, manual test scripts).</w:t>
      </w:r>
    </w:p>
    <w:p>
      <w:pPr>
        <w:pStyle w:val="Compact"/>
        <w:numPr>
          <w:ilvl w:val="0"/>
          <w:numId w:val="1019"/>
        </w:numPr>
      </w:pPr>
      <w:r>
        <w:t xml:space="preserve">Test cases for API endpoints, data validations, user flows (including edit/delete memory), safety refusals and crisis handling.</w:t>
      </w:r>
    </w:p>
    <w:p>
      <w:pPr>
        <w:pStyle w:val="Compact"/>
        <w:numPr>
          <w:ilvl w:val="0"/>
          <w:numId w:val="1019"/>
        </w:numPr>
      </w:pPr>
      <w:r>
        <w:t xml:space="preserve">Usability test scripts aligned with user research tasks.</w:t>
      </w:r>
    </w:p>
    <w:p>
      <w:pPr>
        <w:numPr>
          <w:ilvl w:val="0"/>
          <w:numId w:val="1019"/>
        </w:numPr>
      </w:pPr>
      <w:r>
        <w:t xml:space="preserve">Security and privacy test checklist (auth, access control, encryption).</w:t>
      </w:r>
    </w:p>
    <w:p>
      <w:pPr>
        <w:numPr>
          <w:ilvl w:val="0"/>
          <w:numId w:val="1019"/>
        </w:numPr>
      </w:pPr>
      <w:r>
        <w:rPr>
          <w:b/>
          <w:bCs/>
        </w:rPr>
        <w:t xml:space="preserve">Acceptance criteria</w:t>
      </w:r>
      <w:r>
        <w:t xml:space="preserve"> –</w:t>
      </w:r>
    </w:p>
    <w:p>
      <w:pPr>
        <w:pStyle w:val="Compact"/>
        <w:numPr>
          <w:ilvl w:val="0"/>
          <w:numId w:val="1019"/>
        </w:numPr>
      </w:pPr>
      <w:r>
        <w:t xml:space="preserve">Coverage of all critical paths (module progression, consent flows, AI interpretation confirmation).</w:t>
      </w:r>
    </w:p>
    <w:p>
      <w:pPr>
        <w:pStyle w:val="Compact"/>
        <w:numPr>
          <w:ilvl w:val="0"/>
          <w:numId w:val="1019"/>
        </w:numPr>
      </w:pPr>
      <w:r>
        <w:t xml:space="preserve">Tests reflect non‑functional requirements (latency, error handling).</w:t>
      </w:r>
    </w:p>
    <w:p>
      <w:pPr>
        <w:pStyle w:val="Compact"/>
        <w:numPr>
          <w:ilvl w:val="0"/>
          <w:numId w:val="1019"/>
        </w:numPr>
      </w:pPr>
      <w:r>
        <w:t xml:space="preserve">Red‑team tests integrated from AI evaluation harness.</w:t>
      </w:r>
    </w:p>
    <w:p>
      <w:pPr>
        <w:pStyle w:val="Compact"/>
        <w:numPr>
          <w:ilvl w:val="0"/>
          <w:numId w:val="1019"/>
        </w:numPr>
      </w:pPr>
      <w:r>
        <w:rPr>
          <w:b/>
          <w:bCs/>
        </w:rPr>
        <w:t xml:space="preserve">Dependencies</w:t>
      </w:r>
      <w:r>
        <w:t xml:space="preserve"> – PRD; API Contract; Data Model; AI Evaluation Harness; Security Threat Model; User Research findings.</w:t>
      </w:r>
    </w:p>
    <w:p>
      <w:pPr>
        <w:pStyle w:val="Compact"/>
        <w:numPr>
          <w:ilvl w:val="0"/>
          <w:numId w:val="1019"/>
        </w:numPr>
      </w:pPr>
      <w:r>
        <w:rPr>
          <w:b/>
          <w:bCs/>
        </w:rPr>
        <w:t xml:space="preserve">Risks</w:t>
      </w:r>
      <w:r>
        <w:t xml:space="preserve"> – Resource constraints; overlapping responsibilities; test environments not reflecting production.</w:t>
      </w:r>
    </w:p>
    <w:p>
      <w:pPr>
        <w:pStyle w:val="Compact"/>
        <w:numPr>
          <w:ilvl w:val="0"/>
          <w:numId w:val="1019"/>
        </w:numPr>
      </w:pPr>
      <w:r>
        <w:rPr>
          <w:b/>
          <w:bCs/>
        </w:rPr>
        <w:t xml:space="preserve">Output format</w:t>
      </w:r>
      <w:r>
        <w:t xml:space="preserve"> – Test strategy document and sample test cases.</w:t>
      </w:r>
    </w:p>
    <w:bookmarkEnd w:id="80"/>
    <w:bookmarkStart w:id="81" w:name="integration-agent-p1"/>
    <w:p>
      <w:pPr>
        <w:pStyle w:val="Heading3"/>
      </w:pPr>
      <w:r>
        <w:t xml:space="preserve">19. Integration Agent (P1)</w:t>
      </w:r>
    </w:p>
    <w:p>
      <w:pPr>
        <w:pStyle w:val="Compact"/>
        <w:numPr>
          <w:ilvl w:val="0"/>
          <w:numId w:val="1020"/>
        </w:numPr>
      </w:pPr>
      <w:r>
        <w:rPr>
          <w:b/>
          <w:bCs/>
        </w:rPr>
        <w:t xml:space="preserve">Objective</w:t>
      </w:r>
      <w:r>
        <w:t xml:space="preserve"> – Coordinate cross‑agent outputs into a cohesive plan. Maintain the dependency map, schedule and risk log. Identify gaps and ensure deliverables are handed off smoothly.</w:t>
      </w:r>
    </w:p>
    <w:p>
      <w:pPr>
        <w:pStyle w:val="Compact"/>
        <w:numPr>
          <w:ilvl w:val="0"/>
          <w:numId w:val="1020"/>
        </w:numPr>
      </w:pPr>
      <w:r>
        <w:rPr>
          <w:b/>
          <w:bCs/>
        </w:rPr>
        <w:t xml:space="preserve">Inputs needed</w:t>
      </w:r>
      <w:r>
        <w:t xml:space="preserve"> – All agent deliverables, milestones, dependencies.</w:t>
      </w:r>
    </w:p>
    <w:p>
      <w:pPr>
        <w:pStyle w:val="Compact"/>
        <w:numPr>
          <w:ilvl w:val="0"/>
          <w:numId w:val="1020"/>
        </w:numPr>
      </w:pPr>
      <w:r>
        <w:rPr>
          <w:b/>
          <w:bCs/>
        </w:rPr>
        <w:t xml:space="preserve">Deliverables</w:t>
      </w:r>
      <w:r>
        <w:t xml:space="preserve"> –</w:t>
      </w:r>
    </w:p>
    <w:p>
      <w:pPr>
        <w:pStyle w:val="Compact"/>
        <w:numPr>
          <w:ilvl w:val="0"/>
          <w:numId w:val="1020"/>
        </w:numPr>
      </w:pPr>
      <w:r>
        <w:t xml:space="preserve">Integrated project plan with timeline, milestones and critical path.</w:t>
      </w:r>
    </w:p>
    <w:p>
      <w:pPr>
        <w:pStyle w:val="Compact"/>
        <w:numPr>
          <w:ilvl w:val="0"/>
          <w:numId w:val="1020"/>
        </w:numPr>
      </w:pPr>
      <w:r>
        <w:t xml:space="preserve">Dependency map (graph of agents) and update meetings.</w:t>
      </w:r>
    </w:p>
    <w:p>
      <w:pPr>
        <w:pStyle w:val="Compact"/>
        <w:numPr>
          <w:ilvl w:val="0"/>
          <w:numId w:val="1020"/>
        </w:numPr>
      </w:pPr>
      <w:r>
        <w:t xml:space="preserve">Risk log summarising cross‑cutting issues (legal, privacy, user adoption).</w:t>
      </w:r>
    </w:p>
    <w:p>
      <w:pPr>
        <w:numPr>
          <w:ilvl w:val="0"/>
          <w:numId w:val="1020"/>
        </w:numPr>
      </w:pPr>
      <w:r>
        <w:t xml:space="preserve">Consolidated go/no‑go recommendations at each stage.</w:t>
      </w:r>
    </w:p>
    <w:p>
      <w:pPr>
        <w:numPr>
          <w:ilvl w:val="0"/>
          <w:numId w:val="1020"/>
        </w:numPr>
      </w:pPr>
      <w:r>
        <w:rPr>
          <w:b/>
          <w:bCs/>
        </w:rPr>
        <w:t xml:space="preserve">Acceptance criteria</w:t>
      </w:r>
      <w:r>
        <w:t xml:space="preserve"> –</w:t>
      </w:r>
    </w:p>
    <w:p>
      <w:pPr>
        <w:pStyle w:val="Compact"/>
        <w:numPr>
          <w:ilvl w:val="0"/>
          <w:numId w:val="1020"/>
        </w:numPr>
      </w:pPr>
      <w:r>
        <w:t xml:space="preserve">All dependencies and sequencing clearly identified.</w:t>
      </w:r>
    </w:p>
    <w:p>
      <w:pPr>
        <w:pStyle w:val="Compact"/>
        <w:numPr>
          <w:ilvl w:val="0"/>
          <w:numId w:val="1020"/>
        </w:numPr>
      </w:pPr>
      <w:r>
        <w:t xml:space="preserve">No critical deliverables missing before starting technical build.</w:t>
      </w:r>
    </w:p>
    <w:p>
      <w:pPr>
        <w:pStyle w:val="Compact"/>
        <w:numPr>
          <w:ilvl w:val="0"/>
          <w:numId w:val="1020"/>
        </w:numPr>
      </w:pPr>
      <w:r>
        <w:t xml:space="preserve">Stakeholders agree to gating criteria before moving to MVP build.</w:t>
      </w:r>
    </w:p>
    <w:p>
      <w:pPr>
        <w:pStyle w:val="Compact"/>
        <w:numPr>
          <w:ilvl w:val="0"/>
          <w:numId w:val="1020"/>
        </w:numPr>
      </w:pPr>
      <w:r>
        <w:rPr>
          <w:b/>
          <w:bCs/>
        </w:rPr>
        <w:t xml:space="preserve">Dependencies</w:t>
      </w:r>
      <w:r>
        <w:t xml:space="preserve"> – All other agents.</w:t>
      </w:r>
    </w:p>
    <w:p>
      <w:pPr>
        <w:pStyle w:val="Compact"/>
        <w:numPr>
          <w:ilvl w:val="0"/>
          <w:numId w:val="1020"/>
        </w:numPr>
      </w:pPr>
      <w:r>
        <w:rPr>
          <w:b/>
          <w:bCs/>
        </w:rPr>
        <w:t xml:space="preserve">Risks</w:t>
      </w:r>
      <w:r>
        <w:t xml:space="preserve"> – Coordination overload; miscommunication; misalignment on priorities.</w:t>
      </w:r>
    </w:p>
    <w:p>
      <w:pPr>
        <w:pStyle w:val="Compact"/>
        <w:numPr>
          <w:ilvl w:val="0"/>
          <w:numId w:val="1020"/>
        </w:numPr>
      </w:pPr>
      <w:r>
        <w:rPr>
          <w:b/>
          <w:bCs/>
        </w:rPr>
        <w:t xml:space="preserve">Output format</w:t>
      </w:r>
      <w:r>
        <w:t xml:space="preserve"> – Integrated project plan, dependency diagram (table or flowchart), and risk log.</w:t>
      </w:r>
    </w:p>
    <w:bookmarkEnd w:id="81"/>
    <w:bookmarkEnd w:id="82"/>
    <w:bookmarkStart w:id="83" w:name="recommended-execution-order"/>
    <w:p>
      <w:pPr>
        <w:pStyle w:val="Heading2"/>
      </w:pPr>
      <w:r>
        <w:t xml:space="preserve">Recommended Execution Order</w:t>
      </w:r>
    </w:p>
    <w:p>
      <w:pPr>
        <w:pStyle w:val="Compact"/>
        <w:numPr>
          <w:ilvl w:val="0"/>
          <w:numId w:val="1021"/>
        </w:numPr>
      </w:pPr>
      <w:r>
        <w:rPr>
          <w:b/>
          <w:bCs/>
        </w:rPr>
        <w:t xml:space="preserve">Foundation: Research &amp; Validation (P0)</w:t>
      </w:r>
      <w:r>
        <w:t xml:space="preserve"> </w:t>
      </w:r>
      <w:r>
        <w:t xml:space="preserve">– User Research Agent and Market Validation Agent gather evidence.</w:t>
      </w:r>
    </w:p>
    <w:p>
      <w:pPr>
        <w:pStyle w:val="Compact"/>
        <w:numPr>
          <w:ilvl w:val="0"/>
          <w:numId w:val="1021"/>
        </w:numPr>
      </w:pPr>
      <w:r>
        <w:rPr>
          <w:b/>
          <w:bCs/>
        </w:rPr>
        <w:t xml:space="preserve">Scope &amp; Requirements (P0)</w:t>
      </w:r>
      <w:r>
        <w:t xml:space="preserve"> </w:t>
      </w:r>
      <w:r>
        <w:t xml:space="preserve">– PRD Agent, Curriculum Agent, Safety/Boundary Policies (already defined) refine scope.</w:t>
      </w:r>
    </w:p>
    <w:p>
      <w:pPr>
        <w:pStyle w:val="Compact"/>
        <w:numPr>
          <w:ilvl w:val="0"/>
          <w:numId w:val="1021"/>
        </w:numPr>
      </w:pPr>
      <w:r>
        <w:rPr>
          <w:b/>
          <w:bCs/>
        </w:rPr>
        <w:t xml:space="preserve">Data &amp; Privacy (P0)</w:t>
      </w:r>
      <w:r>
        <w:t xml:space="preserve"> </w:t>
      </w:r>
      <w:r>
        <w:t xml:space="preserve">– Non‑Functional Requirements Agent, Canonical Data Model Agent, Privacy &amp; Consent Agent and Legal Claims Review Agent collaborate to define data structures, constraints and legal boundaries.</w:t>
      </w:r>
    </w:p>
    <w:p>
      <w:pPr>
        <w:pStyle w:val="Compact"/>
        <w:numPr>
          <w:ilvl w:val="0"/>
          <w:numId w:val="1021"/>
        </w:numPr>
      </w:pPr>
      <w:r>
        <w:rPr>
          <w:b/>
          <w:bCs/>
        </w:rPr>
        <w:t xml:space="preserve">Evaluation &amp; Safety (P0)</w:t>
      </w:r>
      <w:r>
        <w:t xml:space="preserve"> </w:t>
      </w:r>
      <w:r>
        <w:t xml:space="preserve">– AI Evaluation Harness Agent and Security Threat Model Agent design quality and safety measures.</w:t>
      </w:r>
    </w:p>
    <w:p>
      <w:pPr>
        <w:pStyle w:val="Compact"/>
        <w:numPr>
          <w:ilvl w:val="0"/>
          <w:numId w:val="1021"/>
        </w:numPr>
      </w:pPr>
      <w:r>
        <w:rPr>
          <w:b/>
          <w:bCs/>
        </w:rPr>
        <w:t xml:space="preserve">Crisis &amp; Copy (P0)</w:t>
      </w:r>
      <w:r>
        <w:t xml:space="preserve"> </w:t>
      </w:r>
      <w:r>
        <w:t xml:space="preserve">– Crisis Localisation Agent, Curriculum Agent, Legal Review refine copy and emergency messages.</w:t>
      </w:r>
    </w:p>
    <w:p>
      <w:pPr>
        <w:pStyle w:val="Compact"/>
        <w:numPr>
          <w:ilvl w:val="0"/>
          <w:numId w:val="1021"/>
        </w:numPr>
      </w:pPr>
      <w:r>
        <w:rPr>
          <w:b/>
          <w:bCs/>
        </w:rPr>
        <w:t xml:space="preserve">Design &amp; Prototype (P0)</w:t>
      </w:r>
      <w:r>
        <w:t xml:space="preserve"> </w:t>
      </w:r>
      <w:r>
        <w:t xml:space="preserve">– Prototype UX Agent builds clickable mock‑ups; Accessibility QA ensures inclusivity.</w:t>
      </w:r>
    </w:p>
    <w:p>
      <w:pPr>
        <w:pStyle w:val="Compact"/>
        <w:numPr>
          <w:ilvl w:val="0"/>
          <w:numId w:val="1021"/>
        </w:numPr>
      </w:pPr>
      <w:r>
        <w:rPr>
          <w:b/>
          <w:bCs/>
        </w:rPr>
        <w:t xml:space="preserve">Interface Specification (P0)</w:t>
      </w:r>
      <w:r>
        <w:t xml:space="preserve"> </w:t>
      </w:r>
      <w:r>
        <w:t xml:space="preserve">– API Contract Agent defines API; feed back into Architecture and Data Model.</w:t>
      </w:r>
    </w:p>
    <w:p>
      <w:pPr>
        <w:pStyle w:val="Compact"/>
        <w:numPr>
          <w:ilvl w:val="0"/>
          <w:numId w:val="1021"/>
        </w:numPr>
      </w:pPr>
      <w:r>
        <w:rPr>
          <w:b/>
          <w:bCs/>
        </w:rPr>
        <w:t xml:space="preserve">Architecture &amp; Operations (P1)</w:t>
      </w:r>
      <w:r>
        <w:t xml:space="preserve"> </w:t>
      </w:r>
      <w:r>
        <w:t xml:space="preserve">– Technical Architecture Agent proposes design; Operations &amp; Support Agent prepares runbook.</w:t>
      </w:r>
    </w:p>
    <w:p>
      <w:pPr>
        <w:pStyle w:val="Compact"/>
        <w:numPr>
          <w:ilvl w:val="0"/>
          <w:numId w:val="1021"/>
        </w:numPr>
      </w:pPr>
      <w:r>
        <w:rPr>
          <w:b/>
          <w:bCs/>
        </w:rPr>
        <w:t xml:space="preserve">Analytics &amp; Testing (P1)</w:t>
      </w:r>
      <w:r>
        <w:t xml:space="preserve"> </w:t>
      </w:r>
      <w:r>
        <w:t xml:space="preserve">– Analytics &amp; Event Taxonomy Agent and Testing Strategy Agent plan instrumentation and tests.</w:t>
      </w:r>
    </w:p>
    <w:p>
      <w:pPr>
        <w:pStyle w:val="Compact"/>
        <w:numPr>
          <w:ilvl w:val="0"/>
          <w:numId w:val="1021"/>
        </w:numPr>
      </w:pPr>
      <w:r>
        <w:rPr>
          <w:b/>
          <w:bCs/>
        </w:rPr>
        <w:t xml:space="preserve">Integration (P1)</w:t>
      </w:r>
      <w:r>
        <w:t xml:space="preserve"> </w:t>
      </w:r>
      <w:r>
        <w:t xml:space="preserve">– Integration Agent maintains dependency map, schedule and go/no‑go checkpoints.</w:t>
      </w:r>
    </w:p>
    <w:bookmarkEnd w:id="83"/>
    <w:bookmarkStart w:id="84" w:name="dependency-map"/>
    <w:p>
      <w:pPr>
        <w:pStyle w:val="Heading2"/>
      </w:pPr>
      <w:r>
        <w:t xml:space="preserve">Dependency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Agent</w:t>
            </w:r>
          </w:p>
        </w:tc>
        <w:tc>
          <w:tcPr/>
          <w:p>
            <w:pPr>
              <w:pStyle w:val="Compact"/>
            </w:pPr>
            <w:r>
              <w:t xml:space="preserve">Depends on</w:t>
            </w:r>
          </w:p>
        </w:tc>
      </w:tr>
      <w:tr>
        <w:tc>
          <w:tcPr/>
          <w:p>
            <w:pPr>
              <w:pStyle w:val="Compact"/>
            </w:pPr>
            <w:r>
              <w:t xml:space="preserve">User Research</w:t>
            </w:r>
          </w:p>
        </w:tc>
        <w:tc>
          <w:tcPr/>
          <w:p>
            <w:pPr>
              <w:pStyle w:val="Compact"/>
            </w:pPr>
            <w:r>
              <w:t xml:space="preserve">Prototype UX, Curriculum (for questions), Privacy &amp; Consent (for participant disclosures)</w:t>
            </w:r>
          </w:p>
        </w:tc>
      </w:tr>
      <w:tr>
        <w:tc>
          <w:tcPr/>
          <w:p>
            <w:pPr>
              <w:pStyle w:val="Compact"/>
            </w:pPr>
            <w:r>
              <w:t xml:space="preserve">Market Validation</w:t>
            </w:r>
          </w:p>
        </w:tc>
        <w:tc>
          <w:tcPr/>
          <w:p>
            <w:pPr>
              <w:pStyle w:val="Compact"/>
            </w:pPr>
            <w:r>
              <w:t xml:space="preserve">User Research</w:t>
            </w:r>
          </w:p>
        </w:tc>
      </w:tr>
      <w:tr>
        <w:tc>
          <w:tcPr/>
          <w:p>
            <w:pPr>
              <w:pStyle w:val="Compact"/>
            </w:pPr>
            <w:r>
              <w:t xml:space="preserve">PRD</w:t>
            </w:r>
          </w:p>
        </w:tc>
        <w:tc>
          <w:tcPr/>
          <w:p>
            <w:pPr>
              <w:pStyle w:val="Compact"/>
            </w:pPr>
            <w:r>
              <w:t xml:space="preserve">User Research, Market Validation, Curriculum, Privacy &amp; Consent</w:t>
            </w:r>
          </w:p>
        </w:tc>
      </w:tr>
      <w:tr>
        <w:tc>
          <w:tcPr/>
          <w:p>
            <w:pPr>
              <w:pStyle w:val="Compact"/>
            </w:pPr>
            <w:r>
              <w:t xml:space="preserve">Non‑Functional Requirements</w:t>
            </w:r>
          </w:p>
        </w:tc>
        <w:tc>
          <w:tcPr/>
          <w:p>
            <w:pPr>
              <w:pStyle w:val="Compact"/>
            </w:pPr>
            <w:r>
              <w:t xml:space="preserve">PRD, Privacy &amp; Consent, Security Threat Model</w:t>
            </w:r>
          </w:p>
        </w:tc>
      </w:tr>
      <w:tr>
        <w:tc>
          <w:tcPr/>
          <w:p>
            <w:pPr>
              <w:pStyle w:val="Compact"/>
            </w:pPr>
            <w:r>
              <w:t xml:space="preserve">Data Model</w:t>
            </w:r>
          </w:p>
        </w:tc>
        <w:tc>
          <w:tcPr/>
          <w:p>
            <w:pPr>
              <w:pStyle w:val="Compact"/>
            </w:pPr>
            <w:r>
              <w:t xml:space="preserve">PRD, Curriculum, Privacy &amp; Consent</w:t>
            </w:r>
          </w:p>
        </w:tc>
      </w:tr>
      <w:tr>
        <w:tc>
          <w:tcPr/>
          <w:p>
            <w:pPr>
              <w:pStyle w:val="Compact"/>
            </w:pPr>
            <w:r>
              <w:t xml:space="preserve">Privacy &amp; Consent</w:t>
            </w:r>
          </w:p>
        </w:tc>
        <w:tc>
          <w:tcPr/>
          <w:p>
            <w:pPr>
              <w:pStyle w:val="Compact"/>
            </w:pPr>
            <w:r>
              <w:t xml:space="preserve">Data Model, Legal Claims Review</w:t>
            </w:r>
          </w:p>
        </w:tc>
      </w:tr>
      <w:tr>
        <w:tc>
          <w:tcPr/>
          <w:p>
            <w:pPr>
              <w:pStyle w:val="Compact"/>
            </w:pPr>
            <w:r>
              <w:t xml:space="preserve">Legal Claims Review</w:t>
            </w:r>
          </w:p>
        </w:tc>
        <w:tc>
          <w:tcPr/>
          <w:p>
            <w:pPr>
              <w:pStyle w:val="Compact"/>
            </w:pPr>
            <w:r>
              <w:t xml:space="preserve">PRD, Curriculum, Safety Policies</w:t>
            </w:r>
          </w:p>
        </w:tc>
      </w:tr>
      <w:tr>
        <w:tc>
          <w:tcPr/>
          <w:p>
            <w:pPr>
              <w:pStyle w:val="Compact"/>
            </w:pPr>
            <w:r>
              <w:t xml:space="preserve">AI Evaluation Harness</w:t>
            </w:r>
          </w:p>
        </w:tc>
        <w:tc>
          <w:tcPr/>
          <w:p>
            <w:pPr>
              <w:pStyle w:val="Compact"/>
            </w:pPr>
            <w:r>
              <w:t xml:space="preserve">Curriculum, Data Model, Safety Policies</w:t>
            </w:r>
          </w:p>
        </w:tc>
      </w:tr>
      <w:tr>
        <w:tc>
          <w:tcPr/>
          <w:p>
            <w:pPr>
              <w:pStyle w:val="Compact"/>
            </w:pPr>
            <w:r>
              <w:t xml:space="preserve">Security Threat Model</w:t>
            </w:r>
          </w:p>
        </w:tc>
        <w:tc>
          <w:tcPr/>
          <w:p>
            <w:pPr>
              <w:pStyle w:val="Compact"/>
            </w:pPr>
            <w:r>
              <w:t xml:space="preserve">Data Model, Privacy &amp; Consent, NFR</w:t>
            </w:r>
          </w:p>
        </w:tc>
      </w:tr>
      <w:tr>
        <w:tc>
          <w:tcPr/>
          <w:p>
            <w:pPr>
              <w:pStyle w:val="Compact"/>
            </w:pPr>
            <w:r>
              <w:t xml:space="preserve">Crisis Localisation</w:t>
            </w:r>
          </w:p>
        </w:tc>
        <w:tc>
          <w:tcPr/>
          <w:p>
            <w:pPr>
              <w:pStyle w:val="Compact"/>
            </w:pPr>
            <w:r>
              <w:t xml:space="preserve">Safety Policies, Legal Claims</w:t>
            </w:r>
          </w:p>
        </w:tc>
      </w:tr>
      <w:tr>
        <w:tc>
          <w:tcPr/>
          <w:p>
            <w:pPr>
              <w:pStyle w:val="Compact"/>
            </w:pPr>
            <w:r>
              <w:t xml:space="preserve">Accessibility QA</w:t>
            </w:r>
          </w:p>
        </w:tc>
        <w:tc>
          <w:tcPr/>
          <w:p>
            <w:pPr>
              <w:pStyle w:val="Compact"/>
            </w:pPr>
            <w:r>
              <w:t xml:space="preserve">Prototype UX, Curriculum</w:t>
            </w:r>
          </w:p>
        </w:tc>
      </w:tr>
      <w:tr>
        <w:tc>
          <w:tcPr/>
          <w:p>
            <w:pPr>
              <w:pStyle w:val="Compact"/>
            </w:pPr>
            <w:r>
              <w:t xml:space="preserve">Prototype UX</w:t>
            </w:r>
          </w:p>
        </w:tc>
        <w:tc>
          <w:tcPr/>
          <w:p>
            <w:pPr>
              <w:pStyle w:val="Compact"/>
            </w:pPr>
            <w:r>
              <w:t xml:space="preserve">Curriculum, PRD, Crisis Localisation</w:t>
            </w:r>
          </w:p>
        </w:tc>
      </w:tr>
      <w:tr>
        <w:tc>
          <w:tcPr/>
          <w:p>
            <w:pPr>
              <w:pStyle w:val="Compact"/>
            </w:pPr>
            <w:r>
              <w:t xml:space="preserve">Curriculum &amp; Question Bank</w:t>
            </w:r>
          </w:p>
        </w:tc>
        <w:tc>
          <w:tcPr/>
          <w:p>
            <w:pPr>
              <w:pStyle w:val="Compact"/>
            </w:pPr>
            <w:r>
              <w:t xml:space="preserve">Research findings, Safety Policies</w:t>
            </w:r>
          </w:p>
        </w:tc>
      </w:tr>
      <w:tr>
        <w:tc>
          <w:tcPr/>
          <w:p>
            <w:pPr>
              <w:pStyle w:val="Compact"/>
            </w:pPr>
            <w:r>
              <w:t xml:space="preserve">API Contract</w:t>
            </w:r>
          </w:p>
        </w:tc>
        <w:tc>
          <w:tcPr/>
          <w:p>
            <w:pPr>
              <w:pStyle w:val="Compact"/>
            </w:pPr>
            <w:r>
              <w:t xml:space="preserve">Data Model, PRD, Privacy &amp; Consent</w:t>
            </w:r>
          </w:p>
        </w:tc>
      </w:tr>
      <w:tr>
        <w:tc>
          <w:tcPr/>
          <w:p>
            <w:pPr>
              <w:pStyle w:val="Compact"/>
            </w:pPr>
            <w:r>
              <w:t xml:space="preserve">Technical Architecture</w:t>
            </w:r>
          </w:p>
        </w:tc>
        <w:tc>
          <w:tcPr/>
          <w:p>
            <w:pPr>
              <w:pStyle w:val="Compact"/>
            </w:pPr>
            <w:r>
              <w:t xml:space="preserve">Data Model, API Contract, NFR, AI Evaluation Harness</w:t>
            </w:r>
          </w:p>
        </w:tc>
      </w:tr>
      <w:tr>
        <w:tc>
          <w:tcPr/>
          <w:p>
            <w:pPr>
              <w:pStyle w:val="Compact"/>
            </w:pPr>
            <w:r>
              <w:t xml:space="preserve">Operations &amp; Support</w:t>
            </w:r>
          </w:p>
        </w:tc>
        <w:tc>
          <w:tcPr/>
          <w:p>
            <w:pPr>
              <w:pStyle w:val="Compact"/>
            </w:pPr>
            <w:r>
              <w:t xml:space="preserve">Technical Architecture, Privacy &amp; Consent</w:t>
            </w:r>
          </w:p>
        </w:tc>
      </w:tr>
      <w:tr>
        <w:tc>
          <w:tcPr/>
          <w:p>
            <w:pPr>
              <w:pStyle w:val="Compact"/>
            </w:pPr>
            <w:r>
              <w:t xml:space="preserve">Analytics &amp; Event Taxonomy</w:t>
            </w:r>
          </w:p>
        </w:tc>
        <w:tc>
          <w:tcPr/>
          <w:p>
            <w:pPr>
              <w:pStyle w:val="Compact"/>
            </w:pPr>
            <w:r>
              <w:t xml:space="preserve">PRD, Data Model, Privacy &amp; Consent</w:t>
            </w:r>
          </w:p>
        </w:tc>
      </w:tr>
      <w:tr>
        <w:tc>
          <w:tcPr/>
          <w:p>
            <w:pPr>
              <w:pStyle w:val="Compact"/>
            </w:pPr>
            <w:r>
              <w:t xml:space="preserve">Testing Strategy</w:t>
            </w:r>
          </w:p>
        </w:tc>
        <w:tc>
          <w:tcPr/>
          <w:p>
            <w:pPr>
              <w:pStyle w:val="Compact"/>
            </w:pPr>
            <w:r>
              <w:t xml:space="preserve">API Contract, PRD, AI Evaluation Harness, Security Threat Model</w:t>
            </w:r>
          </w:p>
        </w:tc>
      </w:tr>
      <w:tr>
        <w:tc>
          <w:tcPr/>
          <w:p>
            <w:pPr>
              <w:pStyle w:val="Compact"/>
            </w:pPr>
            <w:r>
              <w:t xml:space="preserve">Integration</w:t>
            </w:r>
          </w:p>
        </w:tc>
        <w:tc>
          <w:tcPr/>
          <w:p>
            <w:pPr>
              <w:pStyle w:val="Compact"/>
            </w:pPr>
            <w:r>
              <w:t xml:space="preserve">All other agents</w:t>
            </w:r>
          </w:p>
        </w:tc>
      </w:tr>
    </w:tbl>
    <w:bookmarkEnd w:id="84"/>
    <w:bookmarkStart w:id="87" w:name="gonogo-checklist-prototype-mvp-build"/>
    <w:p>
      <w:pPr>
        <w:pStyle w:val="Heading2"/>
      </w:pPr>
      <w:r>
        <w:t xml:space="preserve">Go/No‑Go Checklist (Prototype → MVP Build)</w:t>
      </w:r>
    </w:p>
    <w:p>
      <w:pPr>
        <w:pStyle w:val="FirstParagraph"/>
      </w:pPr>
      <w:r>
        <w:t xml:space="preserve">Use this checklist before authorising engineering work. If any item is incomplete or negative, postpone MVP build.</w:t>
      </w:r>
    </w:p>
    <w:p>
      <w:pPr>
        <w:pStyle w:val="Compact"/>
        <w:numPr>
          <w:ilvl w:val="0"/>
          <w:numId w:val="1022"/>
        </w:numPr>
      </w:pPr>
      <w:r>
        <w:rPr>
          <w:b/>
          <w:bCs/>
        </w:rPr>
        <w:t xml:space="preserve">Validated user demand</w:t>
      </w:r>
      <w:r>
        <w:t xml:space="preserve"> </w:t>
      </w:r>
      <w:r>
        <w:t xml:space="preserve">– Completed User Research report showing a primary segment and evidence of repeated engagement (e.g., users return for a second session).</w:t>
      </w:r>
    </w:p>
    <w:p>
      <w:pPr>
        <w:pStyle w:val="Compact"/>
        <w:numPr>
          <w:ilvl w:val="0"/>
          <w:numId w:val="1022"/>
        </w:numPr>
      </w:pPr>
      <w:r>
        <w:rPr>
          <w:b/>
          <w:bCs/>
        </w:rPr>
        <w:t xml:space="preserve">Market viability</w:t>
      </w:r>
      <w:r>
        <w:t xml:space="preserve"> </w:t>
      </w:r>
      <w:r>
        <w:t xml:space="preserve">– Market Validation report confirms a viable niche and clarifies positioning and pricing hypotheses.</w:t>
      </w:r>
    </w:p>
    <w:p>
      <w:pPr>
        <w:pStyle w:val="Compact"/>
        <w:numPr>
          <w:ilvl w:val="0"/>
          <w:numId w:val="1022"/>
        </w:numPr>
      </w:pPr>
      <w:r>
        <w:rPr>
          <w:b/>
          <w:bCs/>
        </w:rPr>
        <w:t xml:space="preserve">Signed‑off PRD</w:t>
      </w:r>
      <w:r>
        <w:t xml:space="preserve"> </w:t>
      </w:r>
      <w:r>
        <w:t xml:space="preserve">– Versioned PRD with must/should/won’t requirements, success metrics and acceptance criteria; out‑of‑scope features deferred (calendar write‑back, supporter sharing, clinical features).</w:t>
      </w:r>
    </w:p>
    <w:p>
      <w:pPr>
        <w:pStyle w:val="Compact"/>
        <w:numPr>
          <w:ilvl w:val="0"/>
          <w:numId w:val="1022"/>
        </w:numPr>
      </w:pPr>
      <w:r>
        <w:rPr>
          <w:b/>
          <w:bCs/>
        </w:rPr>
        <w:t xml:space="preserve">Non‑functional specification</w:t>
      </w:r>
      <w:r>
        <w:t xml:space="preserve"> </w:t>
      </w:r>
      <w:r>
        <w:t xml:space="preserve">– Agreed NFRs (latency, availability, cost, data residency, concurrency) appropriate for prototype scale</w:t>
      </w:r>
      <w:hyperlink r:id="rId36">
        <w:r>
          <w:rPr>
            <w:rStyle w:val="Hyperlink"/>
          </w:rPr>
          <w:t xml:space="preserve">[12]</w:t>
        </w:r>
      </w:hyperlink>
      <w:r>
        <w:t xml:space="preserve">.</w:t>
      </w:r>
    </w:p>
    <w:p>
      <w:pPr>
        <w:pStyle w:val="Compact"/>
        <w:numPr>
          <w:ilvl w:val="0"/>
          <w:numId w:val="1022"/>
        </w:numPr>
      </w:pPr>
      <w:r>
        <w:rPr>
          <w:b/>
          <w:bCs/>
        </w:rPr>
        <w:t xml:space="preserve">Canonical data model and retention policy</w:t>
      </w:r>
      <w:r>
        <w:t xml:space="preserve"> </w:t>
      </w:r>
      <w:r>
        <w:t xml:space="preserve">– Data model approved; provenance and confidence fields included; deletion and de‑identification defined</w:t>
      </w:r>
      <w:hyperlink r:id="rId38">
        <w:r>
          <w:rPr>
            <w:rStyle w:val="Hyperlink"/>
          </w:rPr>
          <w:t xml:space="preserve">[13]</w:t>
        </w:r>
      </w:hyperlink>
      <w:hyperlink r:id="rId85">
        <w:r>
          <w:rPr>
            <w:rStyle w:val="Hyperlink"/>
          </w:rPr>
          <w:t xml:space="preserve">[42]</w:t>
        </w:r>
      </w:hyperlink>
      <w:r>
        <w:t xml:space="preserve">.</w:t>
      </w:r>
    </w:p>
    <w:p>
      <w:pPr>
        <w:pStyle w:val="Compact"/>
        <w:numPr>
          <w:ilvl w:val="0"/>
          <w:numId w:val="1022"/>
        </w:numPr>
      </w:pPr>
      <w:r>
        <w:rPr>
          <w:b/>
          <w:bCs/>
        </w:rPr>
        <w:t xml:space="preserve">Privacy &amp; consent readiness</w:t>
      </w:r>
      <w:r>
        <w:t xml:space="preserve"> </w:t>
      </w:r>
      <w:r>
        <w:t xml:space="preserve">– Privacy notice and consent flows drafted; PIA completed; consent management design meets OAIC and FTC guidelines</w:t>
      </w:r>
      <w:hyperlink r:id="rId45">
        <w:r>
          <w:rPr>
            <w:rStyle w:val="Hyperlink"/>
          </w:rPr>
          <w:t xml:space="preserve">[19]</w:t>
        </w:r>
      </w:hyperlink>
      <w:hyperlink r:id="rId71">
        <w:r>
          <w:rPr>
            <w:rStyle w:val="Hyperlink"/>
          </w:rPr>
          <w:t xml:space="preserve">[36]</w:t>
        </w:r>
      </w:hyperlink>
      <w:r>
        <w:t xml:space="preserve">.</w:t>
      </w:r>
    </w:p>
    <w:p>
      <w:pPr>
        <w:pStyle w:val="Compact"/>
        <w:numPr>
          <w:ilvl w:val="0"/>
          <w:numId w:val="1022"/>
        </w:numPr>
      </w:pPr>
      <w:r>
        <w:rPr>
          <w:b/>
          <w:bCs/>
        </w:rPr>
        <w:t xml:space="preserve">Legal claims review</w:t>
      </w:r>
      <w:r>
        <w:t xml:space="preserve"> </w:t>
      </w:r>
      <w:r>
        <w:t xml:space="preserve">– Claims matrix completed; all marketing copy and UI text meet wellness app standards; grey‑area claims removed or clarified</w:t>
      </w:r>
      <w:hyperlink r:id="rId22">
        <w:r>
          <w:rPr>
            <w:rStyle w:val="Hyperlink"/>
          </w:rPr>
          <w:t xml:space="preserve">[2]</w:t>
        </w:r>
      </w:hyperlink>
      <w:r>
        <w:t xml:space="preserve">.</w:t>
      </w:r>
    </w:p>
    <w:p>
      <w:pPr>
        <w:pStyle w:val="Compact"/>
        <w:numPr>
          <w:ilvl w:val="0"/>
          <w:numId w:val="1022"/>
        </w:numPr>
      </w:pPr>
      <w:r>
        <w:rPr>
          <w:b/>
          <w:bCs/>
        </w:rPr>
        <w:t xml:space="preserve">AI evaluation harness</w:t>
      </w:r>
      <w:r>
        <w:t xml:space="preserve"> </w:t>
      </w:r>
      <w:r>
        <w:t xml:space="preserve">– Golden sets, red‑team tests and metrics defined; AI prompts meet non‑diagnostic, tentative standards</w:t>
      </w:r>
      <w:hyperlink r:id="rId54">
        <w:r>
          <w:rPr>
            <w:rStyle w:val="Hyperlink"/>
          </w:rPr>
          <w:t xml:space="preserve">[26]</w:t>
        </w:r>
      </w:hyperlink>
      <w:r>
        <w:t xml:space="preserve">; evaluation plan integrated into development.</w:t>
      </w:r>
    </w:p>
    <w:p>
      <w:pPr>
        <w:pStyle w:val="Compact"/>
        <w:numPr>
          <w:ilvl w:val="0"/>
          <w:numId w:val="1022"/>
        </w:numPr>
      </w:pPr>
      <w:r>
        <w:rPr>
          <w:b/>
          <w:bCs/>
        </w:rPr>
        <w:t xml:space="preserve">Security &amp; threat model</w:t>
      </w:r>
      <w:r>
        <w:t xml:space="preserve"> </w:t>
      </w:r>
      <w:r>
        <w:t xml:space="preserve">– Threat model document covers all data flows; mitigations planned; encryption, authentication and least‑privilege controls defined.</w:t>
      </w:r>
    </w:p>
    <w:p>
      <w:pPr>
        <w:pStyle w:val="Compact"/>
        <w:numPr>
          <w:ilvl w:val="0"/>
          <w:numId w:val="1022"/>
        </w:numPr>
      </w:pPr>
      <w:r>
        <w:rPr>
          <w:b/>
          <w:bCs/>
        </w:rPr>
        <w:t xml:space="preserve">Crisis resource localisation</w:t>
      </w:r>
      <w:r>
        <w:t xml:space="preserve"> </w:t>
      </w:r>
      <w:r>
        <w:t xml:space="preserve">– Crisis resource table prepared for launch region(s) with correct hotlines and safe redirection wording</w:t>
      </w:r>
      <w:hyperlink r:id="rId57">
        <w:r>
          <w:rPr>
            <w:rStyle w:val="Hyperlink"/>
          </w:rPr>
          <w:t xml:space="preserve">[27]</w:t>
        </w:r>
      </w:hyperlink>
      <w:r>
        <w:t xml:space="preserve">.</w:t>
      </w:r>
    </w:p>
    <w:p>
      <w:pPr>
        <w:pStyle w:val="Compact"/>
        <w:numPr>
          <w:ilvl w:val="0"/>
          <w:numId w:val="1022"/>
        </w:numPr>
      </w:pPr>
      <w:r>
        <w:rPr>
          <w:b/>
          <w:bCs/>
        </w:rPr>
        <w:t xml:space="preserve">Prototype tested for usability</w:t>
      </w:r>
      <w:r>
        <w:t xml:space="preserve"> </w:t>
      </w:r>
      <w:r>
        <w:t xml:space="preserve">– Clickable prototype tested with target users; major usability issues resolved; accessibility audit completed.</w:t>
      </w:r>
    </w:p>
    <w:p>
      <w:pPr>
        <w:pStyle w:val="Compact"/>
        <w:numPr>
          <w:ilvl w:val="0"/>
          <w:numId w:val="1022"/>
        </w:numPr>
      </w:pPr>
      <w:r>
        <w:rPr>
          <w:b/>
          <w:bCs/>
        </w:rPr>
        <w:t xml:space="preserve">API contracts</w:t>
      </w:r>
      <w:r>
        <w:t xml:space="preserve"> </w:t>
      </w:r>
      <w:r>
        <w:t xml:space="preserve">– Final API specification aligned with PRD and data model; endpoints and error handling clearly defined.</w:t>
      </w:r>
    </w:p>
    <w:p>
      <w:pPr>
        <w:pStyle w:val="Compact"/>
        <w:numPr>
          <w:ilvl w:val="0"/>
          <w:numId w:val="1022"/>
        </w:numPr>
      </w:pPr>
      <w:r>
        <w:rPr>
          <w:b/>
          <w:bCs/>
        </w:rPr>
        <w:t xml:space="preserve">Architecture proposal</w:t>
      </w:r>
      <w:r>
        <w:t xml:space="preserve"> </w:t>
      </w:r>
      <w:r>
        <w:t xml:space="preserve">– Prototype architecture approved, emphasising retrieval over long‑context memory and minimal custom training</w:t>
      </w:r>
      <w:hyperlink r:id="rId69">
        <w:r>
          <w:rPr>
            <w:rStyle w:val="Hyperlink"/>
          </w:rPr>
          <w:t xml:space="preserve">[34]</w:t>
        </w:r>
      </w:hyperlink>
      <w:r>
        <w:t xml:space="preserve">.</w:t>
      </w:r>
    </w:p>
    <w:p>
      <w:pPr>
        <w:pStyle w:val="Compact"/>
        <w:numPr>
          <w:ilvl w:val="0"/>
          <w:numId w:val="1022"/>
        </w:numPr>
      </w:pPr>
      <w:r>
        <w:rPr>
          <w:b/>
          <w:bCs/>
        </w:rPr>
        <w:t xml:space="preserve">Operations readiness</w:t>
      </w:r>
      <w:r>
        <w:t xml:space="preserve"> </w:t>
      </w:r>
      <w:r>
        <w:t xml:space="preserve">– Runbook and support plan in place; incident response and breach notification procedures drafted.</w:t>
      </w:r>
    </w:p>
    <w:p>
      <w:pPr>
        <w:pStyle w:val="Compact"/>
        <w:numPr>
          <w:ilvl w:val="0"/>
          <w:numId w:val="1022"/>
        </w:numPr>
      </w:pPr>
      <w:r>
        <w:rPr>
          <w:b/>
          <w:bCs/>
        </w:rPr>
        <w:t xml:space="preserve">Analytics &amp; instrumentation plan</w:t>
      </w:r>
      <w:r>
        <w:t xml:space="preserve"> </w:t>
      </w:r>
      <w:r>
        <w:t xml:space="preserve">– Event taxonomy and metrics defined; instrumentation ready to capture key user behaviours without capturing sensitive data</w:t>
      </w:r>
      <w:hyperlink r:id="rId77">
        <w:r>
          <w:rPr>
            <w:rStyle w:val="Hyperlink"/>
          </w:rPr>
          <w:t xml:space="preserve">[40]</w:t>
        </w:r>
      </w:hyperlink>
      <w:r>
        <w:t xml:space="preserve">.</w:t>
      </w:r>
    </w:p>
    <w:p>
      <w:pPr>
        <w:pStyle w:val="Compact"/>
        <w:numPr>
          <w:ilvl w:val="0"/>
          <w:numId w:val="1022"/>
        </w:numPr>
      </w:pPr>
      <w:r>
        <w:rPr>
          <w:b/>
          <w:bCs/>
        </w:rPr>
        <w:t xml:space="preserve">Testing strategy</w:t>
      </w:r>
      <w:r>
        <w:t xml:space="preserve"> </w:t>
      </w:r>
      <w:r>
        <w:t xml:space="preserve">– Test plan covers unit, integration, security, privacy and AI evaluation; early tests executed on prototype.</w:t>
      </w:r>
    </w:p>
    <w:p>
      <w:pPr>
        <w:pStyle w:val="Compact"/>
        <w:numPr>
          <w:ilvl w:val="0"/>
          <w:numId w:val="1022"/>
        </w:numPr>
      </w:pPr>
      <w:r>
        <w:rPr>
          <w:b/>
          <w:bCs/>
        </w:rPr>
        <w:t xml:space="preserve">Stakeholder alignment</w:t>
      </w:r>
      <w:r>
        <w:t xml:space="preserve"> </w:t>
      </w:r>
      <w:r>
        <w:t xml:space="preserve">– Founders, legal counsel and privacy lead sign off on requirements, scope and timeline</w:t>
      </w:r>
      <w:hyperlink r:id="rId86">
        <w:r>
          <w:rPr>
            <w:rStyle w:val="Hyperlink"/>
          </w:rPr>
          <w:t xml:space="preserve">[43]</w:t>
        </w:r>
      </w:hyperlink>
      <w:r>
        <w:t xml:space="preserve">.</w:t>
      </w:r>
    </w:p>
    <w:bookmarkEnd w:id="87"/>
    <w:bookmarkStart w:id="88" w:name="X6abd6d5485b048fc069c3924f89f5b239074be3"/>
    <w:p>
      <w:pPr>
        <w:pStyle w:val="Heading2"/>
      </w:pPr>
      <w:r>
        <w:t xml:space="preserve">Documents Needed Before Engineering Begins</w:t>
      </w:r>
    </w:p>
    <w:p>
      <w:pPr>
        <w:pStyle w:val="Compact"/>
        <w:numPr>
          <w:ilvl w:val="0"/>
          <w:numId w:val="1023"/>
        </w:numPr>
      </w:pPr>
      <w:r>
        <w:rPr>
          <w:b/>
          <w:bCs/>
        </w:rPr>
        <w:t xml:space="preserve">User Research Report &amp; Personas</w:t>
      </w:r>
      <w:r>
        <w:t xml:space="preserve"> </w:t>
      </w:r>
      <w:r>
        <w:t xml:space="preserve">– Evidence of demand and user needs.</w:t>
      </w:r>
    </w:p>
    <w:p>
      <w:pPr>
        <w:pStyle w:val="Compact"/>
        <w:numPr>
          <w:ilvl w:val="0"/>
          <w:numId w:val="1023"/>
        </w:numPr>
      </w:pPr>
      <w:r>
        <w:rPr>
          <w:b/>
          <w:bCs/>
        </w:rPr>
        <w:t xml:space="preserve">Market Validation Report</w:t>
      </w:r>
      <w:r>
        <w:t xml:space="preserve"> </w:t>
      </w:r>
      <w:r>
        <w:t xml:space="preserve">– Competitive analysis and pricing hypotheses.</w:t>
      </w:r>
    </w:p>
    <w:p>
      <w:pPr>
        <w:pStyle w:val="Compact"/>
        <w:numPr>
          <w:ilvl w:val="0"/>
          <w:numId w:val="1023"/>
        </w:numPr>
      </w:pPr>
      <w:r>
        <w:rPr>
          <w:b/>
          <w:bCs/>
        </w:rPr>
        <w:t xml:space="preserve">Product Requirements Document (PRD)</w:t>
      </w:r>
      <w:r>
        <w:t xml:space="preserve"> </w:t>
      </w:r>
      <w:r>
        <w:t xml:space="preserve">– Clear features, scope, success metrics.</w:t>
      </w:r>
    </w:p>
    <w:p>
      <w:pPr>
        <w:pStyle w:val="Compact"/>
        <w:numPr>
          <w:ilvl w:val="0"/>
          <w:numId w:val="1023"/>
        </w:numPr>
      </w:pPr>
      <w:r>
        <w:rPr>
          <w:b/>
          <w:bCs/>
        </w:rPr>
        <w:t xml:space="preserve">Non‑Functional Requirements Specification</w:t>
      </w:r>
      <w:r>
        <w:t xml:space="preserve"> </w:t>
      </w:r>
      <w:r>
        <w:t xml:space="preserve">– Performance, availability, cost targets.</w:t>
      </w:r>
    </w:p>
    <w:p>
      <w:pPr>
        <w:pStyle w:val="Compact"/>
        <w:numPr>
          <w:ilvl w:val="0"/>
          <w:numId w:val="1023"/>
        </w:numPr>
      </w:pPr>
      <w:r>
        <w:rPr>
          <w:b/>
          <w:bCs/>
        </w:rPr>
        <w:t xml:space="preserve">Canonical Data Model Specification</w:t>
      </w:r>
      <w:r>
        <w:t xml:space="preserve"> </w:t>
      </w:r>
      <w:r>
        <w:t xml:space="preserve">– Entity definitions, schemas, retention policies.</w:t>
      </w:r>
    </w:p>
    <w:p>
      <w:pPr>
        <w:pStyle w:val="Compact"/>
        <w:numPr>
          <w:ilvl w:val="0"/>
          <w:numId w:val="1023"/>
        </w:numPr>
      </w:pPr>
      <w:r>
        <w:rPr>
          <w:b/>
          <w:bCs/>
        </w:rPr>
        <w:t xml:space="preserve">Privacy Impact Assessment &amp; Consent Policy</w:t>
      </w:r>
      <w:r>
        <w:t xml:space="preserve"> </w:t>
      </w:r>
      <w:r>
        <w:t xml:space="preserve">– Data categories, minimisation, user controls.</w:t>
      </w:r>
    </w:p>
    <w:p>
      <w:pPr>
        <w:pStyle w:val="Compact"/>
        <w:numPr>
          <w:ilvl w:val="0"/>
          <w:numId w:val="1023"/>
        </w:numPr>
      </w:pPr>
      <w:r>
        <w:rPr>
          <w:b/>
          <w:bCs/>
        </w:rPr>
        <w:t xml:space="preserve">Legal Claims Review Matrix &amp; Memo</w:t>
      </w:r>
      <w:r>
        <w:t xml:space="preserve"> </w:t>
      </w:r>
      <w:r>
        <w:t xml:space="preserve">– Language and advertising compliance.</w:t>
      </w:r>
    </w:p>
    <w:p>
      <w:pPr>
        <w:pStyle w:val="Compact"/>
        <w:numPr>
          <w:ilvl w:val="0"/>
          <w:numId w:val="1023"/>
        </w:numPr>
      </w:pPr>
      <w:r>
        <w:rPr>
          <w:b/>
          <w:bCs/>
        </w:rPr>
        <w:t xml:space="preserve">Safety &amp; Boundary Policies</w:t>
      </w:r>
      <w:r>
        <w:t xml:space="preserve"> </w:t>
      </w:r>
      <w:r>
        <w:t xml:space="preserve">– Already drafted; must be integrated into PRD and AI prompts.</w:t>
      </w:r>
    </w:p>
    <w:p>
      <w:pPr>
        <w:pStyle w:val="Compact"/>
        <w:numPr>
          <w:ilvl w:val="0"/>
          <w:numId w:val="1023"/>
        </w:numPr>
      </w:pPr>
      <w:r>
        <w:rPr>
          <w:b/>
          <w:bCs/>
        </w:rPr>
        <w:t xml:space="preserve">Curriculum &amp; Question Bank</w:t>
      </w:r>
      <w:r>
        <w:t xml:space="preserve"> </w:t>
      </w:r>
      <w:r>
        <w:t xml:space="preserve">– Final question lists and lesson copy.</w:t>
      </w:r>
    </w:p>
    <w:p>
      <w:pPr>
        <w:pStyle w:val="Compact"/>
        <w:numPr>
          <w:ilvl w:val="0"/>
          <w:numId w:val="1023"/>
        </w:numPr>
      </w:pPr>
      <w:r>
        <w:rPr>
          <w:b/>
          <w:bCs/>
        </w:rPr>
        <w:t xml:space="preserve">AI Evaluation Harness Specification</w:t>
      </w:r>
      <w:r>
        <w:t xml:space="preserve"> </w:t>
      </w:r>
      <w:r>
        <w:t xml:space="preserve">– Golden sets, red‑team tests, evaluation metrics.</w:t>
      </w:r>
    </w:p>
    <w:p>
      <w:pPr>
        <w:pStyle w:val="Compact"/>
        <w:numPr>
          <w:ilvl w:val="0"/>
          <w:numId w:val="1023"/>
        </w:numPr>
      </w:pPr>
      <w:r>
        <w:rPr>
          <w:b/>
          <w:bCs/>
        </w:rPr>
        <w:t xml:space="preserve">Security Threat Model Document</w:t>
      </w:r>
      <w:r>
        <w:t xml:space="preserve"> </w:t>
      </w:r>
      <w:r>
        <w:t xml:space="preserve">– Data flow diagrams and mitigations.</w:t>
      </w:r>
    </w:p>
    <w:p>
      <w:pPr>
        <w:pStyle w:val="Compact"/>
        <w:numPr>
          <w:ilvl w:val="0"/>
          <w:numId w:val="1023"/>
        </w:numPr>
      </w:pPr>
      <w:r>
        <w:rPr>
          <w:b/>
          <w:bCs/>
        </w:rPr>
        <w:t xml:space="preserve">Crisis Localisation Table</w:t>
      </w:r>
      <w:r>
        <w:t xml:space="preserve"> </w:t>
      </w:r>
      <w:r>
        <w:t xml:space="preserve">– Emergency messages and hotline numbers for launch regions.</w:t>
      </w:r>
    </w:p>
    <w:p>
      <w:pPr>
        <w:pStyle w:val="Compact"/>
        <w:numPr>
          <w:ilvl w:val="0"/>
          <w:numId w:val="1023"/>
        </w:numPr>
      </w:pPr>
      <w:r>
        <w:rPr>
          <w:b/>
          <w:bCs/>
        </w:rPr>
        <w:t xml:space="preserve">Prototype &amp; UX Flow Documentation</w:t>
      </w:r>
      <w:r>
        <w:t xml:space="preserve"> </w:t>
      </w:r>
      <w:r>
        <w:t xml:space="preserve">– Clickable prototype and script.</w:t>
      </w:r>
    </w:p>
    <w:p>
      <w:pPr>
        <w:pStyle w:val="Compact"/>
        <w:numPr>
          <w:ilvl w:val="0"/>
          <w:numId w:val="1023"/>
        </w:numPr>
      </w:pPr>
      <w:r>
        <w:rPr>
          <w:b/>
          <w:bCs/>
        </w:rPr>
        <w:t xml:space="preserve">API Specification (OpenAPI)</w:t>
      </w:r>
      <w:r>
        <w:t xml:space="preserve"> </w:t>
      </w:r>
      <w:r>
        <w:t xml:space="preserve">– Endpoints and data contracts.</w:t>
      </w:r>
    </w:p>
    <w:p>
      <w:pPr>
        <w:pStyle w:val="Compact"/>
        <w:numPr>
          <w:ilvl w:val="0"/>
          <w:numId w:val="1023"/>
        </w:numPr>
      </w:pPr>
      <w:r>
        <w:rPr>
          <w:b/>
          <w:bCs/>
        </w:rPr>
        <w:t xml:space="preserve">Technical Architecture Document</w:t>
      </w:r>
      <w:r>
        <w:t xml:space="preserve"> </w:t>
      </w:r>
      <w:r>
        <w:t xml:space="preserve">– High‑level design and rationale.</w:t>
      </w:r>
    </w:p>
    <w:p>
      <w:pPr>
        <w:pStyle w:val="Compact"/>
        <w:numPr>
          <w:ilvl w:val="0"/>
          <w:numId w:val="1023"/>
        </w:numPr>
      </w:pPr>
      <w:r>
        <w:rPr>
          <w:b/>
          <w:bCs/>
        </w:rPr>
        <w:t xml:space="preserve">Operations Runbook &amp; Support Plan</w:t>
      </w:r>
      <w:r>
        <w:t xml:space="preserve"> </w:t>
      </w:r>
      <w:r>
        <w:t xml:space="preserve">– Environment setup, secrets, incident response.</w:t>
      </w:r>
    </w:p>
    <w:p>
      <w:pPr>
        <w:pStyle w:val="Compact"/>
        <w:numPr>
          <w:ilvl w:val="0"/>
          <w:numId w:val="1023"/>
        </w:numPr>
      </w:pPr>
      <w:r>
        <w:rPr>
          <w:b/>
          <w:bCs/>
        </w:rPr>
        <w:t xml:space="preserve">Accessibility Audit Report</w:t>
      </w:r>
      <w:r>
        <w:t xml:space="preserve"> </w:t>
      </w:r>
      <w:r>
        <w:t xml:space="preserve">– List of issues and fixes.</w:t>
      </w:r>
    </w:p>
    <w:p>
      <w:pPr>
        <w:pStyle w:val="Compact"/>
        <w:numPr>
          <w:ilvl w:val="0"/>
          <w:numId w:val="1023"/>
        </w:numPr>
      </w:pPr>
      <w:r>
        <w:rPr>
          <w:b/>
          <w:bCs/>
        </w:rPr>
        <w:t xml:space="preserve">Event Taxonomy &amp; Analytics Plan</w:t>
      </w:r>
      <w:r>
        <w:t xml:space="preserve"> </w:t>
      </w:r>
      <w:r>
        <w:t xml:space="preserve">– Instrumentation requirements.</w:t>
      </w:r>
    </w:p>
    <w:p>
      <w:pPr>
        <w:pStyle w:val="Compact"/>
        <w:numPr>
          <w:ilvl w:val="0"/>
          <w:numId w:val="1023"/>
        </w:numPr>
      </w:pPr>
      <w:r>
        <w:rPr>
          <w:b/>
          <w:bCs/>
        </w:rPr>
        <w:t xml:space="preserve">Testing Strategy Document</w:t>
      </w:r>
      <w:r>
        <w:t xml:space="preserve"> </w:t>
      </w:r>
      <w:r>
        <w:t xml:space="preserve">– Plan for unit, integration, usability, security and AI evaluation tests.</w:t>
      </w:r>
    </w:p>
    <w:p>
      <w:pPr>
        <w:pStyle w:val="Compact"/>
        <w:numPr>
          <w:ilvl w:val="0"/>
          <w:numId w:val="1023"/>
        </w:numPr>
      </w:pPr>
      <w:r>
        <w:rPr>
          <w:b/>
          <w:bCs/>
        </w:rPr>
        <w:t xml:space="preserve">Integrated Project Plan &amp; Dependency Map</w:t>
      </w:r>
      <w:r>
        <w:t xml:space="preserve"> </w:t>
      </w:r>
      <w:r>
        <w:t xml:space="preserve">– Managed by Integration Agent.</w:t>
      </w:r>
    </w:p>
    <w:bookmarkEnd w:id="88"/>
    <w:bookmarkStart w:id="89" w:name="conclusion"/>
    <w:p>
      <w:pPr>
        <w:pStyle w:val="Heading2"/>
      </w:pPr>
      <w:r>
        <w:t xml:space="preserve">Conclusion</w:t>
      </w:r>
    </w:p>
    <w:p>
      <w:pPr>
        <w:pStyle w:val="FirstParagraph"/>
      </w:pPr>
      <w:r>
        <w:t xml:space="preserve">This work plan decomposes the journey from a</w:t>
      </w:r>
      <w:r>
        <w:t xml:space="preserve"> </w:t>
      </w:r>
      <w:r>
        <w:rPr>
          <w:b/>
          <w:bCs/>
        </w:rPr>
        <w:t xml:space="preserve">conceptual prototype</w:t>
      </w:r>
      <w:r>
        <w:t xml:space="preserve"> </w:t>
      </w:r>
      <w:r>
        <w:t xml:space="preserve">to an MVP‑ready build across specialised agents. By following the recommended sequence, addressing dependencies and adhering to the go/no‑go checklist, BecomingOS can progress responsibly while respecting safety boundaries, user privacy and legal obligations. Only once all critical documents and validations are in place should engineering resources be committed to building the MVP.</w:t>
      </w:r>
    </w:p>
    <w:bookmarkEnd w:id="89"/>
    <w:bookmarkEnd w:id="90"/>
    <w:bookmarkEnd w:id="91"/>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6">
        <w:r>
          <w:rPr>
            <w:rStyle w:val="Hyperlink"/>
          </w:rPr>
          <w:t xml:space="preserve">[12]</w:t>
        </w:r>
      </w:hyperlink>
      <w:r>
        <w:t xml:space="preserve"> </w:t>
      </w:r>
      <w:hyperlink r:id="rId42">
        <w:r>
          <w:rPr>
            <w:rStyle w:val="Hyperlink"/>
          </w:rPr>
          <w:t xml:space="preserve">[16]</w:t>
        </w:r>
      </w:hyperlink>
      <w:r>
        <w:t xml:space="preserve"> </w:t>
      </w:r>
      <w:hyperlink r:id="rId45">
        <w:r>
          <w:rPr>
            <w:rStyle w:val="Hyperlink"/>
          </w:rPr>
          <w:t xml:space="preserve">[19]</w:t>
        </w:r>
      </w:hyperlink>
      <w:r>
        <w:t xml:space="preserve"> </w:t>
      </w:r>
      <w:hyperlink r:id="rId49">
        <w:r>
          <w:rPr>
            <w:rStyle w:val="Hyperlink"/>
          </w:rPr>
          <w:t xml:space="preserve">[22]</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61">
        <w:r>
          <w:rPr>
            <w:rStyle w:val="Hyperlink"/>
          </w:rPr>
          <w:t xml:space="preserve">[29]</w:t>
        </w:r>
      </w:hyperlink>
      <w:r>
        <w:t xml:space="preserve"> </w:t>
      </w:r>
      <w:hyperlink r:id="rId69">
        <w:r>
          <w:rPr>
            <w:rStyle w:val="Hyperlink"/>
          </w:rPr>
          <w:t xml:space="preserve">[34]</w:t>
        </w:r>
      </w:hyperlink>
      <w:r>
        <w:t xml:space="preserve"> </w:t>
      </w:r>
      <w:hyperlink r:id="rId70">
        <w:r>
          <w:rPr>
            <w:rStyle w:val="Hyperlink"/>
          </w:rPr>
          <w:t xml:space="preserve">[35]</w:t>
        </w:r>
      </w:hyperlink>
      <w:r>
        <w:t xml:space="preserve"> </w:t>
      </w:r>
      <w:hyperlink r:id="rId76">
        <w:r>
          <w:rPr>
            <w:rStyle w:val="Hyperlink"/>
          </w:rPr>
          <w:t xml:space="preserve">[39]</w:t>
        </w:r>
      </w:hyperlink>
      <w:r>
        <w:t xml:space="preserve"> </w:t>
      </w:r>
      <w:hyperlink r:id="rId79">
        <w:r>
          <w:rPr>
            <w:rStyle w:val="Hyperlink"/>
          </w:rPr>
          <w:t xml:space="preserve">[41]</w:t>
        </w:r>
      </w:hyperlink>
      <w:r>
        <w:t xml:space="preserve"> </w:t>
      </w:r>
      <w:hyperlink r:id="rId86">
        <w:r>
          <w:rPr>
            <w:rStyle w:val="Hyperlink"/>
          </w:rPr>
          <w:t xml:space="preserve">[43]</w:t>
        </w:r>
      </w:hyperlink>
      <w:r>
        <w:t xml:space="preserve"> </w:t>
      </w:r>
      <w:r>
        <w:t xml:space="preserve">18_final_build_readiness_assessment_for_life_os_and_becomingos.md</w:t>
      </w:r>
    </w:p>
    <w:p>
      <w:pPr>
        <w:pStyle w:val="BodyText"/>
      </w:pPr>
      <w:hyperlink r:id="rId92">
        <w:r>
          <w:rPr>
            <w:rStyle w:val="Hyperlink"/>
          </w:rPr>
          <w:t xml:space="preserve">https://github.com/gasekerci1/lifeOS/blob/main/docs/00_inbox/extracted_text/18_final_build_readiness_assessment_for_life_os_and_becomingos.md</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4">
        <w:r>
          <w:rPr>
            <w:rStyle w:val="Hyperlink"/>
          </w:rPr>
          <w:t xml:space="preserve">[11]</w:t>
        </w:r>
      </w:hyperlink>
      <w:r>
        <w:t xml:space="preserve"> </w:t>
      </w:r>
      <w:hyperlink r:id="rId40">
        <w:r>
          <w:rPr>
            <w:rStyle w:val="Hyperlink"/>
          </w:rPr>
          <w:t xml:space="preserve">[15]</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6">
        <w:r>
          <w:rPr>
            <w:rStyle w:val="Hyperlink"/>
          </w:rPr>
          <w:t xml:space="preserve">[20]</w:t>
        </w:r>
      </w:hyperlink>
      <w:r>
        <w:t xml:space="preserve"> </w:t>
      </w:r>
      <w:hyperlink r:id="rId50">
        <w:r>
          <w:rPr>
            <w:rStyle w:val="Hyperlink"/>
          </w:rPr>
          <w:t xml:space="preserve">[23]</w:t>
        </w:r>
      </w:hyperlink>
      <w:r>
        <w:t xml:space="preserve"> </w:t>
      </w:r>
      <w:hyperlink r:id="rId57">
        <w:r>
          <w:rPr>
            <w:rStyle w:val="Hyperlink"/>
          </w:rPr>
          <w:t xml:space="preserve">[27]</w:t>
        </w:r>
      </w:hyperlink>
      <w:r>
        <w:t xml:space="preserve"> </w:t>
      </w:r>
      <w:hyperlink r:id="rId71">
        <w:r>
          <w:rPr>
            <w:rStyle w:val="Hyperlink"/>
          </w:rPr>
          <w:t xml:space="preserve">[36]</w:t>
        </w:r>
      </w:hyperlink>
      <w:r>
        <w:t xml:space="preserve"> </w:t>
      </w:r>
      <w:hyperlink r:id="rId73">
        <w:r>
          <w:rPr>
            <w:rStyle w:val="Hyperlink"/>
          </w:rPr>
          <w:t xml:space="preserve">[37]</w:t>
        </w:r>
      </w:hyperlink>
      <w:r>
        <w:t xml:space="preserve"> </w:t>
      </w:r>
      <w:hyperlink r:id="rId74">
        <w:r>
          <w:rPr>
            <w:rStyle w:val="Hyperlink"/>
          </w:rPr>
          <w:t xml:space="preserve">[38]</w:t>
        </w:r>
      </w:hyperlink>
      <w:r>
        <w:t xml:space="preserve"> </w:t>
      </w:r>
      <w:hyperlink r:id="rId77">
        <w:r>
          <w:rPr>
            <w:rStyle w:val="Hyperlink"/>
          </w:rPr>
          <w:t xml:space="preserve">[40]</w:t>
        </w:r>
      </w:hyperlink>
      <w:r>
        <w:t xml:space="preserve"> </w:t>
      </w:r>
      <w:hyperlink r:id="rId85">
        <w:r>
          <w:rPr>
            <w:rStyle w:val="Hyperlink"/>
          </w:rPr>
          <w:t xml:space="preserve">[42]</w:t>
        </w:r>
      </w:hyperlink>
      <w:r>
        <w:t xml:space="preserve"> </w:t>
      </w:r>
      <w:r>
        <w:t xml:space="preserve">08_becomingos_safety_and_boundary_policies.md</w:t>
      </w:r>
    </w:p>
    <w:p>
      <w:pPr>
        <w:pStyle w:val="BodyText"/>
      </w:pPr>
      <w:hyperlink r:id="rId93">
        <w:r>
          <w:rPr>
            <w:rStyle w:val="Hyperlink"/>
          </w:rPr>
          <w:t xml:space="preserve">https://github.com/gasekerci1/lifeOS/blob/main/docs/00_inbox/extracted_text/08_becomingos_safety_and_boundary_policies.md</w:t>
        </w:r>
      </w:hyperlink>
    </w:p>
    <w:p>
      <w:pPr>
        <w:pStyle w:val="BodyText"/>
      </w:pPr>
      <w:hyperlink r:id="rId24">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8">
        <w:r>
          <w:rPr>
            <w:rStyle w:val="Hyperlink"/>
          </w:rPr>
          <w:t xml:space="preserve">[21]</w:t>
        </w:r>
      </w:hyperlink>
      <w:r>
        <w:t xml:space="preserve"> </w:t>
      </w:r>
      <w:hyperlink r:id="rId54">
        <w:r>
          <w:rPr>
            <w:rStyle w:val="Hyperlink"/>
          </w:rPr>
          <w:t xml:space="preserve">[26]</w:t>
        </w:r>
      </w:hyperlink>
      <w:r>
        <w:t xml:space="preserve"> </w:t>
      </w:r>
      <w:hyperlink r:id="rId59">
        <w:r>
          <w:rPr>
            <w:rStyle w:val="Hyperlink"/>
          </w:rPr>
          <w:t xml:space="preserve">[28]</w:t>
        </w:r>
      </w:hyperlink>
      <w:r>
        <w:t xml:space="preserve"> </w:t>
      </w:r>
      <w:hyperlink r:id="rId63">
        <w:r>
          <w:rPr>
            <w:rStyle w:val="Hyperlink"/>
          </w:rPr>
          <w:t xml:space="preserve">[30]</w:t>
        </w:r>
      </w:hyperlink>
      <w:r>
        <w:t xml:space="preserve"> </w:t>
      </w:r>
      <w:hyperlink r:id="rId64">
        <w:r>
          <w:rPr>
            <w:rStyle w:val="Hyperlink"/>
          </w:rPr>
          <w:t xml:space="preserve">[31]</w:t>
        </w:r>
      </w:hyperlink>
      <w:r>
        <w:t xml:space="preserve"> </w:t>
      </w:r>
      <w:hyperlink r:id="rId65">
        <w:r>
          <w:rPr>
            <w:rStyle w:val="Hyperlink"/>
          </w:rPr>
          <w:t xml:space="preserve">[32]</w:t>
        </w:r>
      </w:hyperlink>
      <w:r>
        <w:t xml:space="preserve"> </w:t>
      </w:r>
      <w:hyperlink r:id="rId66">
        <w:r>
          <w:rPr>
            <w:rStyle w:val="Hyperlink"/>
          </w:rPr>
          <w:t xml:space="preserve">[33]</w:t>
        </w:r>
      </w:hyperlink>
      <w:r>
        <w:t xml:space="preserve"> </w:t>
      </w:r>
      <w:r>
        <w:t xml:space="preserve">07_becomingos_research_plan.md</w:t>
      </w:r>
    </w:p>
    <w:p>
      <w:pPr>
        <w:pStyle w:val="BodyText"/>
      </w:pPr>
      <w:hyperlink r:id="rId94">
        <w:r>
          <w:rPr>
            <w:rStyle w:val="Hyperlink"/>
          </w:rPr>
          <w:t xml:space="preserve">https://github.com/gasekerci1/lifeOS/blob/main/docs/00_inbox/extracted_text/07_becomingos_research_plan.md</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github.com/gasekerci1/lifeOS/blob/main/docs/00_inbox/extracted_text/07_becomingos_research_plan.md" TargetMode="External" /><Relationship Type="http://schemas.openxmlformats.org/officeDocument/2006/relationships/hyperlink" Id="rId28" Target="https://github.com/gasekerci1/lifeOS/blob/main/docs/00_inbox/extracted_text/07_becomingos_research_plan.md#L116-L132" TargetMode="External" /><Relationship Type="http://schemas.openxmlformats.org/officeDocument/2006/relationships/hyperlink" Id="rId63" Target="https://github.com/gasekerci1/lifeOS/blob/main/docs/00_inbox/extracted_text/07_becomingos_research_plan.md#L143-L213" TargetMode="External" /><Relationship Type="http://schemas.openxmlformats.org/officeDocument/2006/relationships/hyperlink" Id="rId66" Target="https://github.com/gasekerci1/lifeOS/blob/main/docs/00_inbox/extracted_text/07_becomingos_research_plan.md#L204-L213" TargetMode="External" /><Relationship Type="http://schemas.openxmlformats.org/officeDocument/2006/relationships/hyperlink" Id="rId48" Target="https://github.com/gasekerci1/lifeOS/blob/main/docs/00_inbox/extracted_text/07_becomingos_research_plan.md#L215-L234" TargetMode="External" /><Relationship Type="http://schemas.openxmlformats.org/officeDocument/2006/relationships/hyperlink" Id="rId54" Target="https://github.com/gasekerci1/lifeOS/blob/main/docs/00_inbox/extracted_text/07_becomingos_research_plan.md#L235-L257" TargetMode="External" /><Relationship Type="http://schemas.openxmlformats.org/officeDocument/2006/relationships/hyperlink" Id="rId38" Target="https://github.com/gasekerci1/lifeOS/blob/main/docs/00_inbox/extracted_text/07_becomingos_research_plan.md#L260-L368" TargetMode="External" /><Relationship Type="http://schemas.openxmlformats.org/officeDocument/2006/relationships/hyperlink" Id="rId59" Target="https://github.com/gasekerci1/lifeOS/blob/main/docs/00_inbox/extracted_text/07_becomingos_research_plan.md#L269-L280" TargetMode="External" /><Relationship Type="http://schemas.openxmlformats.org/officeDocument/2006/relationships/hyperlink" Id="rId64" Target="https://github.com/gasekerci1/lifeOS/blob/main/docs/00_inbox/extracted_text/07_becomingos_research_plan.md#L269-L401" TargetMode="External" /><Relationship Type="http://schemas.openxmlformats.org/officeDocument/2006/relationships/hyperlink" Id="rId29" Target="https://github.com/gasekerci1/lifeOS/blob/main/docs/00_inbox/extracted_text/07_becomingos_research_plan.md#L53-L59" TargetMode="External" /><Relationship Type="http://schemas.openxmlformats.org/officeDocument/2006/relationships/hyperlink" Id="rId65" Target="https://github.com/gasekerci1/lifeOS/blob/main/docs/00_inbox/extracted_text/07_becomingos_research_plan.md#L53-L61" TargetMode="External" /><Relationship Type="http://schemas.openxmlformats.org/officeDocument/2006/relationships/hyperlink" Id="rId24" Target="https://github.com/gasekerci1/lifeOS/blob/main/docs/00_inbox/extracted_text/07_becomingos_research_plan.md#L65-L73" TargetMode="External" /><Relationship Type="http://schemas.openxmlformats.org/officeDocument/2006/relationships/hyperlink" Id="rId39" Target="https://github.com/gasekerci1/lifeOS/blob/main/docs/00_inbox/extracted_text/07_becomingos_research_plan.md#L75-L83" TargetMode="External" /><Relationship Type="http://schemas.openxmlformats.org/officeDocument/2006/relationships/hyperlink" Id="rId27" Target="https://github.com/gasekerci1/lifeOS/blob/main/docs/00_inbox/extracted_text/07_becomingos_research_plan.md#L93-L113" TargetMode="External" /><Relationship Type="http://schemas.openxmlformats.org/officeDocument/2006/relationships/hyperlink" Id="rId93" Target="https://github.com/gasekerci1/lifeOS/blob/main/docs/00_inbox/extracted_text/08_becomingos_safety_and_boundary_policies.md" TargetMode="External" /><Relationship Type="http://schemas.openxmlformats.org/officeDocument/2006/relationships/hyperlink" Id="rId23" Target="https://github.com/gasekerci1/lifeOS/blob/main/docs/00_inbox/extracted_text/08_becomingos_safety_and_boundary_policies.md#L14-L22" TargetMode="External" /><Relationship Type="http://schemas.openxmlformats.org/officeDocument/2006/relationships/hyperlink" Id="rId34" Target="https://github.com/gasekerci1/lifeOS/blob/main/docs/00_inbox/extracted_text/08_becomingos_safety_and_boundary_policies.md#L15-L23" TargetMode="External" /><Relationship Type="http://schemas.openxmlformats.org/officeDocument/2006/relationships/hyperlink" Id="rId57" Target="https://github.com/gasekerci1/lifeOS/blob/main/docs/00_inbox/extracted_text/08_becomingos_safety_and_boundary_policies.md#L34-L42" TargetMode="External" /><Relationship Type="http://schemas.openxmlformats.org/officeDocument/2006/relationships/hyperlink" Id="rId74" Target="https://github.com/gasekerci1/lifeOS/blob/main/docs/00_inbox/extracted_text/08_becomingos_safety_and_boundary_policies.md#L51-L53" TargetMode="External" /><Relationship Type="http://schemas.openxmlformats.org/officeDocument/2006/relationships/hyperlink" Id="rId43" Target="https://github.com/gasekerci1/lifeOS/blob/main/docs/00_inbox/extracted_text/08_becomingos_safety_and_boundary_policies.md#L63-L75" TargetMode="External" /><Relationship Type="http://schemas.openxmlformats.org/officeDocument/2006/relationships/hyperlink" Id="rId50" Target="https://github.com/gasekerci1/lifeOS/blob/main/docs/00_inbox/extracted_text/08_becomingos_safety_and_boundary_policies.md#L7-L12" TargetMode="External" /><Relationship Type="http://schemas.openxmlformats.org/officeDocument/2006/relationships/hyperlink" Id="rId22" Target="https://github.com/gasekerci1/lifeOS/blob/main/docs/00_inbox/extracted_text/08_becomingos_safety_and_boundary_policies.md#L7-L13" TargetMode="External" /><Relationship Type="http://schemas.openxmlformats.org/officeDocument/2006/relationships/hyperlink" Id="rId40" Target="https://github.com/gasekerci1/lifeOS/blob/main/docs/00_inbox/extracted_text/08_becomingos_safety_and_boundary_policies.md#L71-L74" TargetMode="External" /><Relationship Type="http://schemas.openxmlformats.org/officeDocument/2006/relationships/hyperlink" Id="rId73" Target="https://github.com/gasekerci1/lifeOS/blob/main/docs/00_inbox/extracted_text/08_becomingos_safety_and_boundary_policies.md#L71-L75" TargetMode="External" /><Relationship Type="http://schemas.openxmlformats.org/officeDocument/2006/relationships/hyperlink" Id="rId44" Target="https://github.com/gasekerci1/lifeOS/blob/main/docs/00_inbox/extracted_text/08_becomingos_safety_and_boundary_policies.md#L71-L79" TargetMode="External" /><Relationship Type="http://schemas.openxmlformats.org/officeDocument/2006/relationships/hyperlink" Id="rId85" Target="https://github.com/gasekerci1/lifeOS/blob/main/docs/00_inbox/extracted_text/08_becomingos_safety_and_boundary_policies.md#L71-L82" TargetMode="External" /><Relationship Type="http://schemas.openxmlformats.org/officeDocument/2006/relationships/hyperlink" Id="rId77" Target="https://github.com/gasekerci1/lifeOS/blob/main/docs/00_inbox/extracted_text/08_becomingos_safety_and_boundary_policies.md#L75-L82" TargetMode="External" /><Relationship Type="http://schemas.openxmlformats.org/officeDocument/2006/relationships/hyperlink" Id="rId46" Target="https://github.com/gasekerci1/lifeOS/blob/main/docs/00_inbox/extracted_text/08_becomingos_safety_and_boundary_policies.md#L76-L82" TargetMode="External" /><Relationship Type="http://schemas.openxmlformats.org/officeDocument/2006/relationships/hyperlink" Id="rId71" Target="https://github.com/gasekerci1/lifeOS/blob/main/docs/00_inbox/extracted_text/08_becomingos_safety_and_boundary_policies.md#L76-L84" TargetMode="External" /><Relationship Type="http://schemas.openxmlformats.org/officeDocument/2006/relationships/hyperlink" Id="rId92" Target="https://github.com/gasekerci1/lifeOS/blob/main/docs/00_inbox/extracted_text/18_final_build_readiness_assessment_for_life_os_and_becomingos.md" TargetMode="External" /><Relationship Type="http://schemas.openxmlformats.org/officeDocument/2006/relationships/hyperlink" Id="rId70" Target="https://github.com/gasekerci1/lifeOS/blob/main/docs/00_inbox/extracted_text/18_final_build_readiness_assessment_for_life_os_and_becomingos.md#L11-L14" TargetMode="External" /><Relationship Type="http://schemas.openxmlformats.org/officeDocument/2006/relationships/hyperlink" Id="rId45" Target="https://github.com/gasekerci1/lifeOS/blob/main/docs/00_inbox/extracted_text/18_final_build_readiness_assessment_for_life_os_and_becomingos.md#L12-L15" TargetMode="External" /><Relationship Type="http://schemas.openxmlformats.org/officeDocument/2006/relationships/hyperlink" Id="rId26" Target="https://github.com/gasekerci1/lifeOS/blob/main/docs/00_inbox/extracted_text/18_final_build_readiness_assessment_for_life_os_and_becomingos.md#L22-L24" TargetMode="External" /><Relationship Type="http://schemas.openxmlformats.org/officeDocument/2006/relationships/hyperlink" Id="rId53" Target="https://github.com/gasekerci1/lifeOS/blob/main/docs/00_inbox/extracted_text/18_final_build_readiness_assessment_for_life_os_and_becomingos.md#L24-L25" TargetMode="External" /><Relationship Type="http://schemas.openxmlformats.org/officeDocument/2006/relationships/hyperlink" Id="rId61" Target="https://github.com/gasekerci1/lifeOS/blob/main/docs/00_inbox/extracted_text/18_final_build_readiness_assessment_for_life_os_and_becomingos.md#L27-L32" TargetMode="External" /><Relationship Type="http://schemas.openxmlformats.org/officeDocument/2006/relationships/hyperlink" Id="rId69" Target="https://github.com/gasekerci1/lifeOS/blob/main/docs/00_inbox/extracted_text/18_final_build_readiness_assessment_for_life_os_and_becomingos.md#L28-L29" TargetMode="External" /><Relationship Type="http://schemas.openxmlformats.org/officeDocument/2006/relationships/hyperlink" Id="rId33" Target="https://github.com/gasekerci1/lifeOS/blob/main/docs/00_inbox/extracted_text/18_final_build_readiness_assessment_for_life_os_and_becomingos.md#L33-L35" TargetMode="External" /><Relationship Type="http://schemas.openxmlformats.org/officeDocument/2006/relationships/hyperlink" Id="rId42" Target="https://github.com/gasekerci1/lifeOS/blob/main/docs/00_inbox/extracted_text/18_final_build_readiness_assessment_for_life_os_and_becomingos.md#L42-L45" TargetMode="External" /><Relationship Type="http://schemas.openxmlformats.org/officeDocument/2006/relationships/hyperlink" Id="rId52" Target="https://github.com/gasekerci1/lifeOS/blob/main/docs/00_inbox/extracted_text/18_final_build_readiness_assessment_for_life_os_and_becomingos.md#L45-L46" TargetMode="External" /><Relationship Type="http://schemas.openxmlformats.org/officeDocument/2006/relationships/hyperlink" Id="rId76" Target="https://github.com/gasekerci1/lifeOS/blob/main/docs/00_inbox/extracted_text/18_final_build_readiness_assessment_for_life_os_and_becomingos.md#L51-L55" TargetMode="External" /><Relationship Type="http://schemas.openxmlformats.org/officeDocument/2006/relationships/hyperlink" Id="rId49" Target="https://github.com/gasekerci1/lifeOS/blob/main/docs/00_inbox/extracted_text/18_final_build_readiness_assessment_for_life_os_and_becomingos.md#L52-L53" TargetMode="External" /><Relationship Type="http://schemas.openxmlformats.org/officeDocument/2006/relationships/hyperlink" Id="rId32" Target="https://github.com/gasekerci1/lifeOS/blob/main/docs/00_inbox/extracted_text/18_final_build_readiness_assessment_for_life_os_and_becomingos.md#L77-L80" TargetMode="External" /><Relationship Type="http://schemas.openxmlformats.org/officeDocument/2006/relationships/hyperlink" Id="rId36" Target="https://github.com/gasekerci1/lifeOS/blob/main/docs/00_inbox/extracted_text/18_final_build_readiness_assessment_for_life_os_and_becomingos.md#L79-L81" TargetMode="External" /><Relationship Type="http://schemas.openxmlformats.org/officeDocument/2006/relationships/hyperlink" Id="rId79" Target="https://github.com/gasekerci1/lifeOS/blob/main/docs/00_inbox/extracted_text/18_final_build_readiness_assessment_for_life_os_and_becomingos.md#L88-L89" TargetMode="External" /><Relationship Type="http://schemas.openxmlformats.org/officeDocument/2006/relationships/hyperlink" Id="rId21" Target="https://github.com/gasekerci1/lifeOS/blob/main/docs/00_inbox/extracted_text/18_final_build_readiness_assessment_for_life_os_and_becomingos.md#L9-L17" TargetMode="External" /><Relationship Type="http://schemas.openxmlformats.org/officeDocument/2006/relationships/hyperlink" Id="rId86" Target="https://github.com/gasekerci1/lifeOS/blob/main/docs/00_inbox/extracted_text/18_final_build_readiness_assessment_for_life_os_and_becomingos.md#L90-L90" TargetMode="External" /></Relationships>
</file>

<file path=word/_rels/footnotes.xml.rels><?xml version="1.0" encoding="UTF-8"?><Relationships xmlns="http://schemas.openxmlformats.org/package/2006/relationships"><Relationship Type="http://schemas.openxmlformats.org/officeDocument/2006/relationships/hyperlink" Id="rId94" Target="https://github.com/gasekerci1/lifeOS/blob/main/docs/00_inbox/extracted_text/07_becomingos_research_plan.md" TargetMode="External" /><Relationship Type="http://schemas.openxmlformats.org/officeDocument/2006/relationships/hyperlink" Id="rId28" Target="https://github.com/gasekerci1/lifeOS/blob/main/docs/00_inbox/extracted_text/07_becomingos_research_plan.md#L116-L132" TargetMode="External" /><Relationship Type="http://schemas.openxmlformats.org/officeDocument/2006/relationships/hyperlink" Id="rId63" Target="https://github.com/gasekerci1/lifeOS/blob/main/docs/00_inbox/extracted_text/07_becomingos_research_plan.md#L143-L213" TargetMode="External" /><Relationship Type="http://schemas.openxmlformats.org/officeDocument/2006/relationships/hyperlink" Id="rId66" Target="https://github.com/gasekerci1/lifeOS/blob/main/docs/00_inbox/extracted_text/07_becomingos_research_plan.md#L204-L213" TargetMode="External" /><Relationship Type="http://schemas.openxmlformats.org/officeDocument/2006/relationships/hyperlink" Id="rId48" Target="https://github.com/gasekerci1/lifeOS/blob/main/docs/00_inbox/extracted_text/07_becomingos_research_plan.md#L215-L234" TargetMode="External" /><Relationship Type="http://schemas.openxmlformats.org/officeDocument/2006/relationships/hyperlink" Id="rId54" Target="https://github.com/gasekerci1/lifeOS/blob/main/docs/00_inbox/extracted_text/07_becomingos_research_plan.md#L235-L257" TargetMode="External" /><Relationship Type="http://schemas.openxmlformats.org/officeDocument/2006/relationships/hyperlink" Id="rId38" Target="https://github.com/gasekerci1/lifeOS/blob/main/docs/00_inbox/extracted_text/07_becomingos_research_plan.md#L260-L368" TargetMode="External" /><Relationship Type="http://schemas.openxmlformats.org/officeDocument/2006/relationships/hyperlink" Id="rId59" Target="https://github.com/gasekerci1/lifeOS/blob/main/docs/00_inbox/extracted_text/07_becomingos_research_plan.md#L269-L280" TargetMode="External" /><Relationship Type="http://schemas.openxmlformats.org/officeDocument/2006/relationships/hyperlink" Id="rId64" Target="https://github.com/gasekerci1/lifeOS/blob/main/docs/00_inbox/extracted_text/07_becomingos_research_plan.md#L269-L401" TargetMode="External" /><Relationship Type="http://schemas.openxmlformats.org/officeDocument/2006/relationships/hyperlink" Id="rId29" Target="https://github.com/gasekerci1/lifeOS/blob/main/docs/00_inbox/extracted_text/07_becomingos_research_plan.md#L53-L59" TargetMode="External" /><Relationship Type="http://schemas.openxmlformats.org/officeDocument/2006/relationships/hyperlink" Id="rId65" Target="https://github.com/gasekerci1/lifeOS/blob/main/docs/00_inbox/extracted_text/07_becomingos_research_plan.md#L53-L61" TargetMode="External" /><Relationship Type="http://schemas.openxmlformats.org/officeDocument/2006/relationships/hyperlink" Id="rId24" Target="https://github.com/gasekerci1/lifeOS/blob/main/docs/00_inbox/extracted_text/07_becomingos_research_plan.md#L65-L73" TargetMode="External" /><Relationship Type="http://schemas.openxmlformats.org/officeDocument/2006/relationships/hyperlink" Id="rId39" Target="https://github.com/gasekerci1/lifeOS/blob/main/docs/00_inbox/extracted_text/07_becomingos_research_plan.md#L75-L83" TargetMode="External" /><Relationship Type="http://schemas.openxmlformats.org/officeDocument/2006/relationships/hyperlink" Id="rId27" Target="https://github.com/gasekerci1/lifeOS/blob/main/docs/00_inbox/extracted_text/07_becomingos_research_plan.md#L93-L113" TargetMode="External" /><Relationship Type="http://schemas.openxmlformats.org/officeDocument/2006/relationships/hyperlink" Id="rId93" Target="https://github.com/gasekerci1/lifeOS/blob/main/docs/00_inbox/extracted_text/08_becomingos_safety_and_boundary_policies.md" TargetMode="External" /><Relationship Type="http://schemas.openxmlformats.org/officeDocument/2006/relationships/hyperlink" Id="rId23" Target="https://github.com/gasekerci1/lifeOS/blob/main/docs/00_inbox/extracted_text/08_becomingos_safety_and_boundary_policies.md#L14-L22" TargetMode="External" /><Relationship Type="http://schemas.openxmlformats.org/officeDocument/2006/relationships/hyperlink" Id="rId34" Target="https://github.com/gasekerci1/lifeOS/blob/main/docs/00_inbox/extracted_text/08_becomingos_safety_and_boundary_policies.md#L15-L23" TargetMode="External" /><Relationship Type="http://schemas.openxmlformats.org/officeDocument/2006/relationships/hyperlink" Id="rId57" Target="https://github.com/gasekerci1/lifeOS/blob/main/docs/00_inbox/extracted_text/08_becomingos_safety_and_boundary_policies.md#L34-L42" TargetMode="External" /><Relationship Type="http://schemas.openxmlformats.org/officeDocument/2006/relationships/hyperlink" Id="rId74" Target="https://github.com/gasekerci1/lifeOS/blob/main/docs/00_inbox/extracted_text/08_becomingos_safety_and_boundary_policies.md#L51-L53" TargetMode="External" /><Relationship Type="http://schemas.openxmlformats.org/officeDocument/2006/relationships/hyperlink" Id="rId43" Target="https://github.com/gasekerci1/lifeOS/blob/main/docs/00_inbox/extracted_text/08_becomingos_safety_and_boundary_policies.md#L63-L75" TargetMode="External" /><Relationship Type="http://schemas.openxmlformats.org/officeDocument/2006/relationships/hyperlink" Id="rId50" Target="https://github.com/gasekerci1/lifeOS/blob/main/docs/00_inbox/extracted_text/08_becomingos_safety_and_boundary_policies.md#L7-L12" TargetMode="External" /><Relationship Type="http://schemas.openxmlformats.org/officeDocument/2006/relationships/hyperlink" Id="rId22" Target="https://github.com/gasekerci1/lifeOS/blob/main/docs/00_inbox/extracted_text/08_becomingos_safety_and_boundary_policies.md#L7-L13" TargetMode="External" /><Relationship Type="http://schemas.openxmlformats.org/officeDocument/2006/relationships/hyperlink" Id="rId40" Target="https://github.com/gasekerci1/lifeOS/blob/main/docs/00_inbox/extracted_text/08_becomingos_safety_and_boundary_policies.md#L71-L74" TargetMode="External" /><Relationship Type="http://schemas.openxmlformats.org/officeDocument/2006/relationships/hyperlink" Id="rId73" Target="https://github.com/gasekerci1/lifeOS/blob/main/docs/00_inbox/extracted_text/08_becomingos_safety_and_boundary_policies.md#L71-L75" TargetMode="External" /><Relationship Type="http://schemas.openxmlformats.org/officeDocument/2006/relationships/hyperlink" Id="rId44" Target="https://github.com/gasekerci1/lifeOS/blob/main/docs/00_inbox/extracted_text/08_becomingos_safety_and_boundary_policies.md#L71-L79" TargetMode="External" /><Relationship Type="http://schemas.openxmlformats.org/officeDocument/2006/relationships/hyperlink" Id="rId85" Target="https://github.com/gasekerci1/lifeOS/blob/main/docs/00_inbox/extracted_text/08_becomingos_safety_and_boundary_policies.md#L71-L82" TargetMode="External" /><Relationship Type="http://schemas.openxmlformats.org/officeDocument/2006/relationships/hyperlink" Id="rId77" Target="https://github.com/gasekerci1/lifeOS/blob/main/docs/00_inbox/extracted_text/08_becomingos_safety_and_boundary_policies.md#L75-L82" TargetMode="External" /><Relationship Type="http://schemas.openxmlformats.org/officeDocument/2006/relationships/hyperlink" Id="rId46" Target="https://github.com/gasekerci1/lifeOS/blob/main/docs/00_inbox/extracted_text/08_becomingos_safety_and_boundary_policies.md#L76-L82" TargetMode="External" /><Relationship Type="http://schemas.openxmlformats.org/officeDocument/2006/relationships/hyperlink" Id="rId71" Target="https://github.com/gasekerci1/lifeOS/blob/main/docs/00_inbox/extracted_text/08_becomingos_safety_and_boundary_policies.md#L76-L84" TargetMode="External" /><Relationship Type="http://schemas.openxmlformats.org/officeDocument/2006/relationships/hyperlink" Id="rId92" Target="https://github.com/gasekerci1/lifeOS/blob/main/docs/00_inbox/extracted_text/18_final_build_readiness_assessment_for_life_os_and_becomingos.md" TargetMode="External" /><Relationship Type="http://schemas.openxmlformats.org/officeDocument/2006/relationships/hyperlink" Id="rId70" Target="https://github.com/gasekerci1/lifeOS/blob/main/docs/00_inbox/extracted_text/18_final_build_readiness_assessment_for_life_os_and_becomingos.md#L11-L14" TargetMode="External" /><Relationship Type="http://schemas.openxmlformats.org/officeDocument/2006/relationships/hyperlink" Id="rId45" Target="https://github.com/gasekerci1/lifeOS/blob/main/docs/00_inbox/extracted_text/18_final_build_readiness_assessment_for_life_os_and_becomingos.md#L12-L15" TargetMode="External" /><Relationship Type="http://schemas.openxmlformats.org/officeDocument/2006/relationships/hyperlink" Id="rId26" Target="https://github.com/gasekerci1/lifeOS/blob/main/docs/00_inbox/extracted_text/18_final_build_readiness_assessment_for_life_os_and_becomingos.md#L22-L24" TargetMode="External" /><Relationship Type="http://schemas.openxmlformats.org/officeDocument/2006/relationships/hyperlink" Id="rId53" Target="https://github.com/gasekerci1/lifeOS/blob/main/docs/00_inbox/extracted_text/18_final_build_readiness_assessment_for_life_os_and_becomingos.md#L24-L25" TargetMode="External" /><Relationship Type="http://schemas.openxmlformats.org/officeDocument/2006/relationships/hyperlink" Id="rId61" Target="https://github.com/gasekerci1/lifeOS/blob/main/docs/00_inbox/extracted_text/18_final_build_readiness_assessment_for_life_os_and_becomingos.md#L27-L32" TargetMode="External" /><Relationship Type="http://schemas.openxmlformats.org/officeDocument/2006/relationships/hyperlink" Id="rId69" Target="https://github.com/gasekerci1/lifeOS/blob/main/docs/00_inbox/extracted_text/18_final_build_readiness_assessment_for_life_os_and_becomingos.md#L28-L29" TargetMode="External" /><Relationship Type="http://schemas.openxmlformats.org/officeDocument/2006/relationships/hyperlink" Id="rId33" Target="https://github.com/gasekerci1/lifeOS/blob/main/docs/00_inbox/extracted_text/18_final_build_readiness_assessment_for_life_os_and_becomingos.md#L33-L35" TargetMode="External" /><Relationship Type="http://schemas.openxmlformats.org/officeDocument/2006/relationships/hyperlink" Id="rId42" Target="https://github.com/gasekerci1/lifeOS/blob/main/docs/00_inbox/extracted_text/18_final_build_readiness_assessment_for_life_os_and_becomingos.md#L42-L45" TargetMode="External" /><Relationship Type="http://schemas.openxmlformats.org/officeDocument/2006/relationships/hyperlink" Id="rId52" Target="https://github.com/gasekerci1/lifeOS/blob/main/docs/00_inbox/extracted_text/18_final_build_readiness_assessment_for_life_os_and_becomingos.md#L45-L46" TargetMode="External" /><Relationship Type="http://schemas.openxmlformats.org/officeDocument/2006/relationships/hyperlink" Id="rId76" Target="https://github.com/gasekerci1/lifeOS/blob/main/docs/00_inbox/extracted_text/18_final_build_readiness_assessment_for_life_os_and_becomingos.md#L51-L55" TargetMode="External" /><Relationship Type="http://schemas.openxmlformats.org/officeDocument/2006/relationships/hyperlink" Id="rId49" Target="https://github.com/gasekerci1/lifeOS/blob/main/docs/00_inbox/extracted_text/18_final_build_readiness_assessment_for_life_os_and_becomingos.md#L52-L53" TargetMode="External" /><Relationship Type="http://schemas.openxmlformats.org/officeDocument/2006/relationships/hyperlink" Id="rId32" Target="https://github.com/gasekerci1/lifeOS/blob/main/docs/00_inbox/extracted_text/18_final_build_readiness_assessment_for_life_os_and_becomingos.md#L77-L80" TargetMode="External" /><Relationship Type="http://schemas.openxmlformats.org/officeDocument/2006/relationships/hyperlink" Id="rId36" Target="https://github.com/gasekerci1/lifeOS/blob/main/docs/00_inbox/extracted_text/18_final_build_readiness_assessment_for_life_os_and_becomingos.md#L79-L81" TargetMode="External" /><Relationship Type="http://schemas.openxmlformats.org/officeDocument/2006/relationships/hyperlink" Id="rId79" Target="https://github.com/gasekerci1/lifeOS/blob/main/docs/00_inbox/extracted_text/18_final_build_readiness_assessment_for_life_os_and_becomingos.md#L88-L89" TargetMode="External" /><Relationship Type="http://schemas.openxmlformats.org/officeDocument/2006/relationships/hyperlink" Id="rId21" Target="https://github.com/gasekerci1/lifeOS/blob/main/docs/00_inbox/extracted_text/18_final_build_readiness_assessment_for_life_os_and_becomingos.md#L9-L17" TargetMode="External" /><Relationship Type="http://schemas.openxmlformats.org/officeDocument/2006/relationships/hyperlink" Id="rId86" Target="https://github.com/gasekerci1/lifeOS/blob/main/docs/00_inbox/extracted_text/18_final_build_readiness_assessment_for_life_os_and_becomingos.md#L90-L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2026-05-16T08:33:31Z</dcterms:created>
  <dcterms:modified xsi:type="dcterms:W3CDTF">2026-05-16T08:33:31Z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