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becomingos-research-plan"/>
    <w:p>
      <w:pPr>
        <w:pStyle w:val="Heading1"/>
      </w:pPr>
      <w:r>
        <w:t xml:space="preserve">BecomingOS Research Plan</w:t>
      </w:r>
    </w:p>
    <w:bookmarkStart w:id="21" w:name="research-goals"/>
    <w:p>
      <w:pPr>
        <w:pStyle w:val="Heading2"/>
      </w:pPr>
      <w:r>
        <w:t xml:space="preserve">Research Goals</w:t>
      </w:r>
    </w:p>
    <w:p>
      <w:pPr>
        <w:pStyle w:val="FirstParagraph"/>
      </w:pPr>
      <w:r>
        <w:t xml:space="preserve">BecomingOS is envisioned as a module‑led personal operating system builder for self‑discovery and life alignment. In this phase we want to ensure the educational content, question design, wording style, AI interpretation and safety limits are evidence‑based, accurate and appropriately sequenced. The research will investigate behaviour change, motivation, values and identity work, educational design, question design, wording style, AI interpretation and safety boundaries. The aim is to identify best practices, gaps and risks in the current approach before any software is built.</w:t>
      </w:r>
    </w:p>
    <w:bookmarkEnd w:id="21"/>
    <w:bookmarkStart w:id="46" w:name="research-questions"/>
    <w:p>
      <w:pPr>
        <w:pStyle w:val="Heading2"/>
      </w:pPr>
      <w:r>
        <w:t xml:space="preserve">1. Research Questions</w:t>
      </w:r>
    </w:p>
    <w:p>
      <w:pPr>
        <w:pStyle w:val="FirstParagraph"/>
      </w:pPr>
      <w:r>
        <w:t xml:space="preserve">For each research area the following questions will guide literature searches and expert interviews: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Research area</w:t>
            </w:r>
          </w:p>
        </w:tc>
        <w:tc>
          <w:tcPr/>
          <w:p>
            <w:pPr>
              <w:pStyle w:val="Compact"/>
            </w:pPr>
            <w:r>
              <w:t xml:space="preserve">Key research questions</w:t>
            </w:r>
          </w:p>
        </w:tc>
      </w:tr>
      <w:tr>
        <w:tc>
          <w:tcPr/>
          <w:p>
            <w:pPr>
              <w:pStyle w:val="Compact"/>
            </w:pPr>
            <w:r>
              <w:rPr>
                <w:b/>
                <w:bCs/>
              </w:rPr>
              <w:t xml:space="preserve">Behaviour change</w:t>
            </w:r>
          </w:p>
        </w:tc>
        <w:tc>
          <w:tcPr/>
          <w:p>
            <w:pPr>
              <w:pStyle w:val="Compact"/>
            </w:pPr>
            <w:r>
              <w:t xml:space="preserve">How does the COM‑B system (capability, opportunity and motivation) explain the conditions needed for behaviour change</w:t>
            </w:r>
            <w:hyperlink r:id="rId22">
              <w:r>
                <w:rPr>
                  <w:rStyle w:val="Hyperlink"/>
                </w:rPr>
                <w:t xml:space="preserve">[1]</w:t>
              </w:r>
            </w:hyperlink>
            <w:r>
              <w:t xml:space="preserve">? What intervention functions and policy categories from the Behaviour Change Wheel (BCW) are relevant to BecomingOS? How can implementation intentions (if–then plans) help users translate goals into action and bridge the intention–behaviour gap</w:t>
            </w:r>
            <w:hyperlink r:id="rId23">
              <w:r>
                <w:rPr>
                  <w:rStyle w:val="Hyperlink"/>
                </w:rPr>
                <w:t xml:space="preserve">[2]</w:t>
              </w:r>
            </w:hyperlink>
            <w:r>
              <w:t xml:space="preserve">? What does recent evidence say about habit formation (duration to automaticity</w:t>
            </w:r>
            <w:hyperlink r:id="rId24">
              <w:r>
                <w:rPr>
                  <w:rStyle w:val="Hyperlink"/>
                </w:rPr>
                <w:t xml:space="preserve">[3]</w:t>
              </w:r>
            </w:hyperlink>
            <w:r>
              <w:t xml:space="preserve">, context cues</w:t>
            </w:r>
            <w:hyperlink r:id="rId25">
              <w:r>
                <w:rPr>
                  <w:rStyle w:val="Hyperlink"/>
                </w:rPr>
                <w:t xml:space="preserve">[4]</w:t>
              </w:r>
            </w:hyperlink>
            <w:r>
              <w:t xml:space="preserve">, simplicity of actions and identity‑based habits</w:t>
            </w:r>
            <w:hyperlink r:id="rId26">
              <w:r>
                <w:rPr>
                  <w:rStyle w:val="Hyperlink"/>
                </w:rPr>
                <w:t xml:space="preserve">[5]</w:t>
              </w:r>
            </w:hyperlink>
            <w:r>
              <w:t xml:space="preserve">)? How do goal‑setting theory principles (clarity, challenge, commitment, feedback, task complexity) apply to module design</w:t>
            </w:r>
            <w:hyperlink r:id="rId27">
              <w:r>
                <w:rPr>
                  <w:rStyle w:val="Hyperlink"/>
                </w:rPr>
                <w:t xml:space="preserve">[6]</w:t>
              </w:r>
            </w:hyperlink>
            <w:r>
              <w:t xml:space="preserve">? What design considerations arise when using cues and triggers?</w:t>
            </w:r>
          </w:p>
        </w:tc>
      </w:tr>
      <w:tr>
        <w:tc>
          <w:tcPr/>
          <w:p>
            <w:pPr>
              <w:pStyle w:val="Compact"/>
            </w:pPr>
            <w:r>
              <w:rPr>
                <w:b/>
                <w:bCs/>
              </w:rPr>
              <w:t xml:space="preserve">Motivation</w:t>
            </w:r>
          </w:p>
        </w:tc>
        <w:tc>
          <w:tcPr/>
          <w:p>
            <w:pPr>
              <w:pStyle w:val="Compact"/>
            </w:pPr>
            <w:r>
              <w:t xml:space="preserve">What are the core components of Self‑Determination Theory (SDT)—autonomy, competence and relatedness—and how do they influence intrinsic and extrinsic motivation</w:t>
            </w:r>
            <w:hyperlink r:id="rId28">
              <w:r>
                <w:rPr>
                  <w:rStyle w:val="Hyperlink"/>
                </w:rPr>
                <w:t xml:space="preserve">[7]</w:t>
              </w:r>
            </w:hyperlink>
            <w:r>
              <w:t xml:space="preserve">? What are the strengths and weaknesses of alternative models such as Tony Robbins’ six human needs</w:t>
            </w:r>
            <w:hyperlink r:id="rId29">
              <w:r>
                <w:rPr>
                  <w:rStyle w:val="Hyperlink"/>
                </w:rPr>
                <w:t xml:space="preserve">[8]</w:t>
              </w:r>
            </w:hyperlink>
            <w:r>
              <w:t xml:space="preserve">? How do incentives or extrinsic rewards impact autonomous motivation?</w:t>
            </w:r>
          </w:p>
        </w:tc>
      </w:tr>
      <w:tr>
        <w:tc>
          <w:tcPr/>
          <w:p>
            <w:pPr>
              <w:pStyle w:val="Compact"/>
            </w:pPr>
            <w:r>
              <w:rPr>
                <w:b/>
                <w:bCs/>
              </w:rPr>
              <w:t xml:space="preserve">Values and identity</w:t>
            </w:r>
          </w:p>
        </w:tc>
        <w:tc>
          <w:tcPr/>
          <w:p>
            <w:pPr>
              <w:pStyle w:val="Compact"/>
            </w:pPr>
            <w:r>
              <w:t xml:space="preserve">How is values clarification defined in Acceptance and Commitment Therapy (ACT) and what exercises are effective for helping users articulate personal values</w:t>
            </w:r>
            <w:hyperlink r:id="rId30">
              <w:r>
                <w:rPr>
                  <w:rStyle w:val="Hyperlink"/>
                </w:rPr>
                <w:t xml:space="preserve">[9]</w:t>
              </w:r>
            </w:hyperlink>
            <w:r>
              <w:t xml:space="preserve">? What is committed action and how does it relate to living in line with one’s values</w:t>
            </w:r>
            <w:hyperlink r:id="rId31">
              <w:r>
                <w:rPr>
                  <w:rStyle w:val="Hyperlink"/>
                </w:rPr>
                <w:t xml:space="preserve">[10]</w:t>
              </w:r>
            </w:hyperlink>
            <w:r>
              <w:t xml:space="preserve">? How does future‑self continuity affect motivation and behaviour</w:t>
            </w:r>
            <w:hyperlink r:id="rId32">
              <w:r>
                <w:rPr>
                  <w:rStyle w:val="Hyperlink"/>
                </w:rPr>
                <w:t xml:space="preserve">[11]</w:t>
              </w:r>
            </w:hyperlink>
            <w:r>
              <w:t xml:space="preserve">? What role do personal rules or internal commitments play in self‑control and self‑reputation? How can identity statements and moral boundaries be incorporated safely into the system?</w:t>
            </w:r>
          </w:p>
        </w:tc>
      </w:tr>
      <w:tr>
        <w:tc>
          <w:tcPr/>
          <w:p>
            <w:pPr>
              <w:pStyle w:val="Compact"/>
            </w:pPr>
            <w:r>
              <w:rPr>
                <w:b/>
                <w:bCs/>
              </w:rPr>
              <w:t xml:space="preserve">Educational design</w:t>
            </w:r>
          </w:p>
        </w:tc>
        <w:tc>
          <w:tcPr/>
          <w:p>
            <w:pPr>
              <w:pStyle w:val="Compact"/>
            </w:pPr>
            <w:r>
              <w:t xml:space="preserve">What principles of adult learning and andragogy are relevant to BecomingOS (need for autonomy, relevancy, experiential learning, readiness to learn)</w:t>
            </w:r>
            <w:hyperlink r:id="rId33">
              <w:r>
                <w:rPr>
                  <w:rStyle w:val="Hyperlink"/>
                </w:rPr>
                <w:t xml:space="preserve">[12]</w:t>
              </w:r>
            </w:hyperlink>
            <w:r>
              <w:t xml:space="preserve">? How should micro‑learning be delivered to balance cognitive load and retention</w:t>
            </w:r>
            <w:hyperlink r:id="rId34">
              <w:r>
                <w:rPr>
                  <w:rStyle w:val="Hyperlink"/>
                </w:rPr>
                <w:t xml:space="preserve">[13]</w:t>
              </w:r>
            </w:hyperlink>
            <w:r>
              <w:t xml:space="preserve">? What is the evidence on video versus text for engagement and social presence</w:t>
            </w:r>
            <w:hyperlink r:id="rId35">
              <w:r>
                <w:rPr>
                  <w:rStyle w:val="Hyperlink"/>
                </w:rPr>
                <w:t xml:space="preserve">[14]</w:t>
              </w:r>
            </w:hyperlink>
            <w:r>
              <w:t xml:space="preserve">? How should reflection prompts, progressive disclosure and accessibility be integrated?</w:t>
            </w:r>
          </w:p>
        </w:tc>
      </w:tr>
      <w:tr>
        <w:tc>
          <w:tcPr/>
          <w:p>
            <w:pPr>
              <w:pStyle w:val="Compact"/>
            </w:pPr>
            <w:r>
              <w:rPr>
                <w:b/>
                <w:bCs/>
              </w:rPr>
              <w:t xml:space="preserve">Question design</w:t>
            </w:r>
          </w:p>
        </w:tc>
        <w:tc>
          <w:tcPr/>
          <w:p>
            <w:pPr>
              <w:pStyle w:val="Compact"/>
            </w:pPr>
            <w:r>
              <w:t xml:space="preserve">What types of questions (open, reflective, rating, ranking, slider, forced‑choice) are best suited to eliciting self‑reflection and accurate data? How do forced‑choice yes/no formats improve accuracy compared to select‑all questions</w:t>
            </w:r>
            <w:hyperlink r:id="rId36">
              <w:r>
                <w:rPr>
                  <w:rStyle w:val="Hyperlink"/>
                </w:rPr>
                <w:t xml:space="preserve">[15]</w:t>
              </w:r>
            </w:hyperlink>
            <w:r>
              <w:t xml:space="preserve">? When should ranking questions be used (advantages/disadvantages</w:t>
            </w:r>
            <w:hyperlink r:id="rId37">
              <w:r>
                <w:rPr>
                  <w:rStyle w:val="Hyperlink"/>
                </w:rPr>
                <w:t xml:space="preserve">[16]</w:t>
              </w:r>
            </w:hyperlink>
            <w:r>
              <w:t xml:space="preserve">)? What research exists on question fatigue and emotional intensity limits in surveys</w:t>
            </w:r>
            <w:hyperlink r:id="rId38">
              <w:r>
                <w:rPr>
                  <w:rStyle w:val="Hyperlink"/>
                </w:rPr>
                <w:t xml:space="preserve">[17]</w:t>
              </w:r>
            </w:hyperlink>
            <w:r>
              <w:t xml:space="preserve">? How should safety boundaries be set to avoid distress?</w:t>
            </w:r>
          </w:p>
        </w:tc>
      </w:tr>
      <w:tr>
        <w:tc>
          <w:tcPr/>
          <w:p>
            <w:pPr>
              <w:pStyle w:val="Compact"/>
            </w:pPr>
            <w:r>
              <w:rPr>
                <w:b/>
                <w:bCs/>
              </w:rPr>
              <w:t xml:space="preserve">Wording style</w:t>
            </w:r>
          </w:p>
        </w:tc>
        <w:tc>
          <w:tcPr/>
          <w:p>
            <w:pPr>
              <w:pStyle w:val="Compact"/>
            </w:pPr>
            <w:r>
              <w:t xml:space="preserve">What guidelines exist for plain‑language communications, including definitions and benefits</w:t>
            </w:r>
            <w:hyperlink r:id="rId39">
              <w:r>
                <w:rPr>
                  <w:rStyle w:val="Hyperlink"/>
                </w:rPr>
                <w:t xml:space="preserve">[18]</w:t>
              </w:r>
            </w:hyperlink>
            <w:r>
              <w:t xml:space="preserve">? How should wording avoid shaming and support autonomy? What does motivational interviewing (MI) teach about open questions, affirmations, reflective listening and summarizing</w:t>
            </w:r>
            <w:hyperlink r:id="rId40">
              <w:r>
                <w:rPr>
                  <w:rStyle w:val="Hyperlink"/>
                </w:rPr>
                <w:t xml:space="preserve">[19]</w:t>
              </w:r>
            </w:hyperlink>
            <w:r>
              <w:t xml:space="preserve">? What do studies on autonomy‑supportive language show about perceptions of fairness, engagement and student‑centredness</w:t>
            </w:r>
            <w:hyperlink r:id="rId41">
              <w:r>
                <w:rPr>
                  <w:rStyle w:val="Hyperlink"/>
                </w:rPr>
                <w:t xml:space="preserve">[20]</w:t>
              </w:r>
            </w:hyperlink>
            <w:r>
              <w:t xml:space="preserve">? How should non‑shaming or non‑judgmental language be implemented (e.g., teach‑back guidelines emphasising a caring tone and inviting patients to repeat information without feeling tested</w:t>
            </w:r>
            <w:hyperlink r:id="rId42">
              <w:r>
                <w:rPr>
                  <w:rStyle w:val="Hyperlink"/>
                </w:rPr>
                <w:t xml:space="preserve">[21]</w:t>
              </w:r>
            </w:hyperlink>
            <w:r>
              <w:t xml:space="preserve">)?</w:t>
            </w:r>
          </w:p>
        </w:tc>
      </w:tr>
      <w:tr>
        <w:tc>
          <w:tcPr/>
          <w:p>
            <w:pPr>
              <w:pStyle w:val="Compact"/>
            </w:pPr>
            <w:r>
              <w:rPr>
                <w:b/>
                <w:bCs/>
              </w:rPr>
              <w:t xml:space="preserve">AI interpretation</w:t>
            </w:r>
          </w:p>
        </w:tc>
        <w:tc>
          <w:tcPr/>
          <w:p>
            <w:pPr>
              <w:pStyle w:val="Compact"/>
            </w:pPr>
            <w:r>
              <w:t xml:space="preserve">What methods exist for structuring large language model (LLM) outputs (structured JSON, schema validation) and computing confidence scores? How can user confirmation loops and transparency (showing sources and summarising reasoning) increase trust? What are the key elements of AI safety—human‑centrism, fairness, privacy, security, transparency and robustness</w:t>
            </w:r>
            <w:hyperlink r:id="rId43">
              <w:r>
                <w:rPr>
                  <w:rStyle w:val="Hyperlink"/>
                </w:rPr>
                <w:t xml:space="preserve">[22]</w:t>
              </w:r>
            </w:hyperlink>
            <w:r>
              <w:t xml:space="preserve">? How can memory safety be implemented (e.g., user‑owned memory, ability to delete or reject AI‑generated memories)? What regulatory guidelines or evaluation perspectives exist for AI safety (e.g., Japan AI Safety Institute guidelines</w:t>
            </w:r>
            <w:hyperlink r:id="rId43">
              <w:r>
                <w:rPr>
                  <w:rStyle w:val="Hyperlink"/>
                </w:rPr>
                <w:t xml:space="preserve">[22]</w:t>
              </w:r>
            </w:hyperlink>
            <w:r>
              <w:t xml:space="preserve">)?</w:t>
            </w:r>
          </w:p>
        </w:tc>
      </w:tr>
      <w:tr>
        <w:tc>
          <w:tcPr/>
          <w:p>
            <w:pPr>
              <w:pStyle w:val="Compact"/>
            </w:pPr>
            <w:r>
              <w:rPr>
                <w:b/>
                <w:bCs/>
              </w:rPr>
              <w:t xml:space="preserve">Safety and limits</w:t>
            </w:r>
          </w:p>
        </w:tc>
        <w:tc>
          <w:tcPr/>
          <w:p>
            <w:pPr>
              <w:pStyle w:val="Compact"/>
            </w:pPr>
            <w:r>
              <w:t xml:space="preserve">What are the ethical and safety concerns associated with mental health and self‑help apps? Why must apps include clear, concise, easy‑to‑read safety notices and emergency contacts and state that they do not replace therapy</w:t>
            </w:r>
            <w:hyperlink r:id="rId44">
              <w:r>
                <w:rPr>
                  <w:rStyle w:val="Hyperlink"/>
                </w:rPr>
                <w:t xml:space="preserve">[23]</w:t>
              </w:r>
            </w:hyperlink>
            <w:r>
              <w:t xml:space="preserve">? What additional legal or regulatory requirements apply to content that could be interpreted as medical, legal or financial advice? How can crisis wording and boundaries be built into prompts? What guidance exists on privacy and data sharing to protect user information</w:t>
            </w:r>
            <w:hyperlink r:id="rId45">
              <w:r>
                <w:rPr>
                  <w:rStyle w:val="Hyperlink"/>
                </w:rPr>
                <w:t xml:space="preserve">[24]</w:t>
              </w:r>
            </w:hyperlink>
            <w:r>
              <w:t xml:space="preserve">?</w:t>
            </w:r>
          </w:p>
        </w:tc>
      </w:tr>
    </w:tbl>
    <w:bookmarkEnd w:id="46"/>
    <w:bookmarkStart w:id="51" w:name="source-list-to-investigate"/>
    <w:p>
      <w:pPr>
        <w:pStyle w:val="Heading2"/>
      </w:pPr>
      <w:r>
        <w:t xml:space="preserve">2. Source List to Investigate</w:t>
      </w:r>
    </w:p>
    <w:p>
      <w:pPr>
        <w:pStyle w:val="FirstParagraph"/>
      </w:pPr>
      <w:r>
        <w:t xml:space="preserve">The research team should collect evidence from a range of peer‑reviewed journals, systematic reviews, and authoritative guides. Key initial sources include:</w:t>
      </w:r>
    </w:p>
    <w:p>
      <w:pPr>
        <w:numPr>
          <w:ilvl w:val="0"/>
          <w:numId w:val="1001"/>
        </w:numPr>
      </w:pPr>
      <w:r>
        <w:rPr>
          <w:b/>
          <w:bCs/>
        </w:rPr>
        <w:t xml:space="preserve">Behaviour change</w:t>
      </w:r>
      <w:r>
        <w:t xml:space="preserve">:</w:t>
      </w:r>
    </w:p>
    <w:p>
      <w:pPr>
        <w:numPr>
          <w:ilvl w:val="0"/>
          <w:numId w:val="1001"/>
        </w:numPr>
      </w:pPr>
      <w:r>
        <w:t xml:space="preserve">Michie et al. (2011)</w:t>
      </w:r>
      <w:r>
        <w:t xml:space="preserve"> </w:t>
      </w:r>
      <w:r>
        <w:rPr>
          <w:i/>
          <w:iCs/>
        </w:rPr>
        <w:t xml:space="preserve">The Behaviour Change Wheel</w:t>
      </w:r>
      <w:r>
        <w:t xml:space="preserve"> </w:t>
      </w:r>
      <w:r>
        <w:t xml:space="preserve">– definitions of COM‑B and intervention functions</w:t>
      </w:r>
      <w:hyperlink r:id="rId22">
        <w:r>
          <w:rPr>
            <w:rStyle w:val="Hyperlink"/>
          </w:rPr>
          <w:t xml:space="preserve">[1]</w:t>
        </w:r>
      </w:hyperlink>
      <w:r>
        <w:t xml:space="preserve">.</w:t>
      </w:r>
    </w:p>
    <w:p>
      <w:pPr>
        <w:pStyle w:val="Compact"/>
        <w:numPr>
          <w:ilvl w:val="0"/>
          <w:numId w:val="1001"/>
        </w:numPr>
      </w:pPr>
      <w:r>
        <w:t xml:space="preserve">Gollwitzer &amp; Sheeran (meta‑analysis on implementation intentions) – overview of if–then plans and their effectiveness</w:t>
      </w:r>
      <w:hyperlink r:id="rId23">
        <w:r>
          <w:rPr>
            <w:rStyle w:val="Hyperlink"/>
          </w:rPr>
          <w:t xml:space="preserve">[2]</w:t>
        </w:r>
      </w:hyperlink>
      <w:r>
        <w:t xml:space="preserve">.</w:t>
      </w:r>
    </w:p>
    <w:p>
      <w:pPr>
        <w:pStyle w:val="Compact"/>
        <w:numPr>
          <w:ilvl w:val="0"/>
          <w:numId w:val="1001"/>
        </w:numPr>
      </w:pPr>
      <w:r>
        <w:t xml:space="preserve">Gardner et al. (2012)</w:t>
      </w:r>
      <w:r>
        <w:t xml:space="preserve"> </w:t>
      </w:r>
      <w:r>
        <w:rPr>
          <w:i/>
          <w:iCs/>
        </w:rPr>
        <w:t xml:space="preserve">Making health habitual</w:t>
      </w:r>
      <w:r>
        <w:t xml:space="preserve"> </w:t>
      </w:r>
      <w:r>
        <w:t xml:space="preserve">– details on habit formation timelines, context cues and automaticity</w:t>
      </w:r>
      <w:hyperlink r:id="rId47">
        <w:r>
          <w:rPr>
            <w:rStyle w:val="Hyperlink"/>
          </w:rPr>
          <w:t xml:space="preserve">[25]</w:t>
        </w:r>
      </w:hyperlink>
      <w:r>
        <w:t xml:space="preserve">.</w:t>
      </w:r>
    </w:p>
    <w:p>
      <w:pPr>
        <w:pStyle w:val="Compact"/>
        <w:numPr>
          <w:ilvl w:val="0"/>
          <w:numId w:val="1001"/>
        </w:numPr>
      </w:pPr>
      <w:r>
        <w:t xml:space="preserve">Verplanken &amp; Sui (2019) – relationship between habitual behaviour and identity</w:t>
      </w:r>
      <w:hyperlink r:id="rId26">
        <w:r>
          <w:rPr>
            <w:rStyle w:val="Hyperlink"/>
          </w:rPr>
          <w:t xml:space="preserve">[5]</w:t>
        </w:r>
      </w:hyperlink>
      <w:r>
        <w:t xml:space="preserve">.</w:t>
      </w:r>
    </w:p>
    <w:p>
      <w:pPr>
        <w:pStyle w:val="Compact"/>
        <w:numPr>
          <w:ilvl w:val="0"/>
          <w:numId w:val="1001"/>
        </w:numPr>
      </w:pPr>
      <w:r>
        <w:t xml:space="preserve">Hershfield et al. (PLOS ONE 2024) – research on future‑self continuity</w:t>
      </w:r>
      <w:hyperlink r:id="rId32">
        <w:r>
          <w:rPr>
            <w:rStyle w:val="Hyperlink"/>
          </w:rPr>
          <w:t xml:space="preserve">[11]</w:t>
        </w:r>
      </w:hyperlink>
      <w:r>
        <w:t xml:space="preserve">.</w:t>
      </w:r>
    </w:p>
    <w:p>
      <w:pPr>
        <w:numPr>
          <w:ilvl w:val="0"/>
          <w:numId w:val="1001"/>
        </w:numPr>
      </w:pPr>
      <w:r>
        <w:t xml:space="preserve">Locke &amp; Latham – goal‑setting theory principles</w:t>
      </w:r>
      <w:hyperlink r:id="rId27">
        <w:r>
          <w:rPr>
            <w:rStyle w:val="Hyperlink"/>
          </w:rPr>
          <w:t xml:space="preserve">[6]</w:t>
        </w:r>
      </w:hyperlink>
      <w:r>
        <w:t xml:space="preserve">.</w:t>
      </w:r>
    </w:p>
    <w:p>
      <w:pPr>
        <w:numPr>
          <w:ilvl w:val="0"/>
          <w:numId w:val="1001"/>
        </w:numPr>
      </w:pPr>
      <w:r>
        <w:rPr>
          <w:b/>
          <w:bCs/>
        </w:rPr>
        <w:t xml:space="preserve">Motivation</w:t>
      </w:r>
      <w:r>
        <w:t xml:space="preserve">:</w:t>
      </w:r>
    </w:p>
    <w:p>
      <w:pPr>
        <w:numPr>
          <w:ilvl w:val="0"/>
          <w:numId w:val="1001"/>
        </w:numPr>
      </w:pPr>
      <w:r>
        <w:t xml:space="preserve">Ryan &amp; Deci (2000) – Self‑Determination Theory and psychological needs</w:t>
      </w:r>
      <w:hyperlink r:id="rId28">
        <w:r>
          <w:rPr>
            <w:rStyle w:val="Hyperlink"/>
          </w:rPr>
          <w:t xml:space="preserve">[7]</w:t>
        </w:r>
      </w:hyperlink>
      <w:r>
        <w:t xml:space="preserve">.</w:t>
      </w:r>
    </w:p>
    <w:p>
      <w:pPr>
        <w:pStyle w:val="Compact"/>
        <w:numPr>
          <w:ilvl w:val="0"/>
          <w:numId w:val="1001"/>
        </w:numPr>
      </w:pPr>
      <w:r>
        <w:t xml:space="preserve">Tony Robbins’ six human needs description – analysis of the model</w:t>
      </w:r>
      <w:hyperlink r:id="rId29">
        <w:r>
          <w:rPr>
            <w:rStyle w:val="Hyperlink"/>
          </w:rPr>
          <w:t xml:space="preserve">[8]</w:t>
        </w:r>
      </w:hyperlink>
      <w:r>
        <w:t xml:space="preserve">.</w:t>
      </w:r>
    </w:p>
    <w:p>
      <w:pPr>
        <w:numPr>
          <w:ilvl w:val="0"/>
          <w:numId w:val="1001"/>
        </w:numPr>
      </w:pPr>
      <w:r>
        <w:t xml:space="preserve">Research on extrinsic vs intrinsic motivation (search for more recent systematic reviews).</w:t>
      </w:r>
    </w:p>
    <w:p>
      <w:pPr>
        <w:numPr>
          <w:ilvl w:val="0"/>
          <w:numId w:val="1001"/>
        </w:numPr>
      </w:pPr>
      <w:r>
        <w:rPr>
          <w:b/>
          <w:bCs/>
        </w:rPr>
        <w:t xml:space="preserve">Values and identity</w:t>
      </w:r>
      <w:r>
        <w:t xml:space="preserve">:</w:t>
      </w:r>
    </w:p>
    <w:p>
      <w:pPr>
        <w:numPr>
          <w:ilvl w:val="0"/>
          <w:numId w:val="1001"/>
        </w:numPr>
      </w:pPr>
      <w:r>
        <w:t xml:space="preserve">Berkout (2021)</w:t>
      </w:r>
      <w:r>
        <w:t xml:space="preserve"> </w:t>
      </w:r>
      <w:r>
        <w:rPr>
          <w:i/>
          <w:iCs/>
        </w:rPr>
        <w:t xml:space="preserve">Working with Values</w:t>
      </w:r>
      <w:r>
        <w:t xml:space="preserve"> </w:t>
      </w:r>
      <w:r>
        <w:t xml:space="preserve">– description of values, psychological flexibility processes and committed action</w:t>
      </w:r>
      <w:hyperlink r:id="rId30">
        <w:r>
          <w:rPr>
            <w:rStyle w:val="Hyperlink"/>
          </w:rPr>
          <w:t xml:space="preserve">[9]</w:t>
        </w:r>
      </w:hyperlink>
      <w:r>
        <w:t xml:space="preserve">.</w:t>
      </w:r>
    </w:p>
    <w:p>
      <w:pPr>
        <w:pStyle w:val="Compact"/>
        <w:numPr>
          <w:ilvl w:val="0"/>
          <w:numId w:val="1001"/>
        </w:numPr>
      </w:pPr>
      <w:r>
        <w:t xml:space="preserve">ACT values exercises (Bull’s‑Eye Values Survey, Valued Living Questionnaire) – design details</w:t>
      </w:r>
      <w:hyperlink r:id="rId48">
        <w:r>
          <w:rPr>
            <w:rStyle w:val="Hyperlink"/>
          </w:rPr>
          <w:t xml:space="preserve">[26]</w:t>
        </w:r>
      </w:hyperlink>
      <w:r>
        <w:t xml:space="preserve">.</w:t>
      </w:r>
    </w:p>
    <w:p>
      <w:pPr>
        <w:numPr>
          <w:ilvl w:val="0"/>
          <w:numId w:val="1001"/>
        </w:numPr>
      </w:pPr>
      <w:r>
        <w:t xml:space="preserve">Bénabou &amp; Tirole (2004)</w:t>
      </w:r>
      <w:r>
        <w:t xml:space="preserve"> </w:t>
      </w:r>
      <w:r>
        <w:rPr>
          <w:i/>
          <w:iCs/>
        </w:rPr>
        <w:t xml:space="preserve">Willpower and Personal Rules</w:t>
      </w:r>
      <w:r>
        <w:t xml:space="preserve"> </w:t>
      </w:r>
      <w:r>
        <w:t xml:space="preserve">– theory of internal commitments and self‑reputation.</w:t>
      </w:r>
    </w:p>
    <w:p>
      <w:pPr>
        <w:numPr>
          <w:ilvl w:val="0"/>
          <w:numId w:val="1001"/>
        </w:numPr>
      </w:pPr>
      <w:r>
        <w:rPr>
          <w:b/>
          <w:bCs/>
        </w:rPr>
        <w:t xml:space="preserve">Educational design</w:t>
      </w:r>
      <w:r>
        <w:t xml:space="preserve">:</w:t>
      </w:r>
    </w:p>
    <w:p>
      <w:pPr>
        <w:numPr>
          <w:ilvl w:val="0"/>
          <w:numId w:val="1001"/>
        </w:numPr>
      </w:pPr>
      <w:r>
        <w:t xml:space="preserve">CDC/WHO and adult learning principle summaries – need for self‑direction and relevance</w:t>
      </w:r>
      <w:hyperlink r:id="rId33">
        <w:r>
          <w:rPr>
            <w:rStyle w:val="Hyperlink"/>
          </w:rPr>
          <w:t xml:space="preserve">[12]</w:t>
        </w:r>
      </w:hyperlink>
      <w:r>
        <w:t xml:space="preserve">.</w:t>
      </w:r>
    </w:p>
    <w:p>
      <w:pPr>
        <w:pStyle w:val="Compact"/>
        <w:numPr>
          <w:ilvl w:val="0"/>
          <w:numId w:val="1001"/>
        </w:numPr>
      </w:pPr>
      <w:r>
        <w:t xml:space="preserve">Knowles’ andragogy critiques and adaptation for digital learning</w:t>
      </w:r>
      <w:hyperlink r:id="rId49">
        <w:r>
          <w:rPr>
            <w:rStyle w:val="Hyperlink"/>
          </w:rPr>
          <w:t xml:space="preserve">[27]</w:t>
        </w:r>
      </w:hyperlink>
      <w:r>
        <w:t xml:space="preserve">.</w:t>
      </w:r>
    </w:p>
    <w:p>
      <w:pPr>
        <w:pStyle w:val="Compact"/>
        <w:numPr>
          <w:ilvl w:val="0"/>
          <w:numId w:val="1001"/>
        </w:numPr>
      </w:pPr>
      <w:r>
        <w:t xml:space="preserve">Microlearning meta‑reviews showing advantages and limitations</w:t>
      </w:r>
      <w:hyperlink r:id="rId34">
        <w:r>
          <w:rPr>
            <w:rStyle w:val="Hyperlink"/>
          </w:rPr>
          <w:t xml:space="preserve">[13]</w:t>
        </w:r>
      </w:hyperlink>
      <w:r>
        <w:t xml:space="preserve">.</w:t>
      </w:r>
    </w:p>
    <w:p>
      <w:pPr>
        <w:pStyle w:val="Compact"/>
        <w:numPr>
          <w:ilvl w:val="0"/>
          <w:numId w:val="1001"/>
        </w:numPr>
      </w:pPr>
      <w:r>
        <w:t xml:space="preserve">Studies comparing video vs text discussions for engagement and social presence</w:t>
      </w:r>
      <w:hyperlink r:id="rId50">
        <w:r>
          <w:rPr>
            <w:rStyle w:val="Hyperlink"/>
          </w:rPr>
          <w:t xml:space="preserve">[28]</w:t>
        </w:r>
      </w:hyperlink>
      <w:r>
        <w:t xml:space="preserve">.</w:t>
      </w:r>
    </w:p>
    <w:p>
      <w:pPr>
        <w:numPr>
          <w:ilvl w:val="0"/>
          <w:numId w:val="1001"/>
        </w:numPr>
      </w:pPr>
      <w:r>
        <w:t xml:space="preserve">Additional research on accessibility and inclusive learning (e.g., plain language standard</w:t>
      </w:r>
      <w:hyperlink r:id="rId39">
        <w:r>
          <w:rPr>
            <w:rStyle w:val="Hyperlink"/>
          </w:rPr>
          <w:t xml:space="preserve">[18]</w:t>
        </w:r>
      </w:hyperlink>
      <w:r>
        <w:t xml:space="preserve">).</w:t>
      </w:r>
    </w:p>
    <w:p>
      <w:pPr>
        <w:numPr>
          <w:ilvl w:val="0"/>
          <w:numId w:val="1001"/>
        </w:numPr>
      </w:pPr>
      <w:r>
        <w:rPr>
          <w:b/>
          <w:bCs/>
        </w:rPr>
        <w:t xml:space="preserve">Question design</w:t>
      </w:r>
      <w:r>
        <w:t xml:space="preserve">:</w:t>
      </w:r>
    </w:p>
    <w:p>
      <w:pPr>
        <w:numPr>
          <w:ilvl w:val="0"/>
          <w:numId w:val="1001"/>
        </w:numPr>
      </w:pPr>
      <w:r>
        <w:t xml:space="preserve">Pew Research Center methodological report on forced‑choice vs select‑all questions</w:t>
      </w:r>
      <w:hyperlink r:id="rId36">
        <w:r>
          <w:rPr>
            <w:rStyle w:val="Hyperlink"/>
          </w:rPr>
          <w:t xml:space="preserve">[15]</w:t>
        </w:r>
      </w:hyperlink>
      <w:r>
        <w:t xml:space="preserve">.</w:t>
      </w:r>
    </w:p>
    <w:p>
      <w:pPr>
        <w:pStyle w:val="Compact"/>
        <w:numPr>
          <w:ilvl w:val="0"/>
          <w:numId w:val="1001"/>
        </w:numPr>
      </w:pPr>
      <w:r>
        <w:t xml:space="preserve">Qualtrics article on rating vs ranking question types – pros and cons</w:t>
      </w:r>
      <w:hyperlink r:id="rId37">
        <w:r>
          <w:rPr>
            <w:rStyle w:val="Hyperlink"/>
          </w:rPr>
          <w:t xml:space="preserve">[16]</w:t>
        </w:r>
      </w:hyperlink>
      <w:r>
        <w:t xml:space="preserve">.</w:t>
      </w:r>
    </w:p>
    <w:p>
      <w:pPr>
        <w:pStyle w:val="Compact"/>
        <w:numPr>
          <w:ilvl w:val="0"/>
          <w:numId w:val="1001"/>
        </w:numPr>
      </w:pPr>
      <w:r>
        <w:t xml:space="preserve">Studies on question fatigue and emotional risks – e.g., interviews on distressing topics causing temporary mood change but no long‑term harm</w:t>
      </w:r>
      <w:hyperlink r:id="rId38">
        <w:r>
          <w:rPr>
            <w:rStyle w:val="Hyperlink"/>
          </w:rPr>
          <w:t xml:space="preserve">[17]</w:t>
        </w:r>
      </w:hyperlink>
      <w:r>
        <w:t xml:space="preserve">.</w:t>
      </w:r>
    </w:p>
    <w:p>
      <w:pPr>
        <w:numPr>
          <w:ilvl w:val="0"/>
          <w:numId w:val="1001"/>
        </w:numPr>
      </w:pPr>
      <w:r>
        <w:t xml:space="preserve">Research on slider/visual analogue scales and Likert scales (to be collected).</w:t>
      </w:r>
    </w:p>
    <w:p>
      <w:pPr>
        <w:numPr>
          <w:ilvl w:val="0"/>
          <w:numId w:val="1001"/>
        </w:numPr>
      </w:pPr>
      <w:r>
        <w:rPr>
          <w:b/>
          <w:bCs/>
        </w:rPr>
        <w:t xml:space="preserve">Wording style</w:t>
      </w:r>
      <w:r>
        <w:t xml:space="preserve">:</w:t>
      </w:r>
    </w:p>
    <w:p>
      <w:pPr>
        <w:numPr>
          <w:ilvl w:val="0"/>
          <w:numId w:val="1001"/>
        </w:numPr>
      </w:pPr>
      <w:r>
        <w:t xml:space="preserve">Motivational interviewing manuals summarising OARS techniques and empathic, autonomy‑supportive tone</w:t>
      </w:r>
      <w:hyperlink r:id="rId40">
        <w:r>
          <w:rPr>
            <w:rStyle w:val="Hyperlink"/>
          </w:rPr>
          <w:t xml:space="preserve">[19]</w:t>
        </w:r>
      </w:hyperlink>
      <w:r>
        <w:t xml:space="preserve">.</w:t>
      </w:r>
    </w:p>
    <w:p>
      <w:pPr>
        <w:pStyle w:val="Compact"/>
        <w:numPr>
          <w:ilvl w:val="0"/>
          <w:numId w:val="1001"/>
        </w:numPr>
      </w:pPr>
      <w:r>
        <w:t xml:space="preserve">Research on autonomy‑supportive language in educational materials showing positive perceptions of flexibility, fairness and engagement</w:t>
      </w:r>
      <w:hyperlink r:id="rId41">
        <w:r>
          <w:rPr>
            <w:rStyle w:val="Hyperlink"/>
          </w:rPr>
          <w:t xml:space="preserve">[20]</w:t>
        </w:r>
      </w:hyperlink>
      <w:r>
        <w:t xml:space="preserve">.</w:t>
      </w:r>
    </w:p>
    <w:p>
      <w:pPr>
        <w:pStyle w:val="Compact"/>
        <w:numPr>
          <w:ilvl w:val="0"/>
          <w:numId w:val="1001"/>
        </w:numPr>
      </w:pPr>
      <w:r>
        <w:t xml:space="preserve">Government plain‑language standards describing benefits and guidelines</w:t>
      </w:r>
      <w:hyperlink r:id="rId39">
        <w:r>
          <w:rPr>
            <w:rStyle w:val="Hyperlink"/>
          </w:rPr>
          <w:t xml:space="preserve">[18]</w:t>
        </w:r>
      </w:hyperlink>
      <w:r>
        <w:t xml:space="preserve">.</w:t>
      </w:r>
    </w:p>
    <w:p>
      <w:pPr>
        <w:pStyle w:val="Compact"/>
        <w:numPr>
          <w:ilvl w:val="0"/>
          <w:numId w:val="1001"/>
        </w:numPr>
      </w:pPr>
      <w:r>
        <w:t xml:space="preserve">Teach‑back health literacy guidelines emphasising non‑shaming language and asking for understanding using a caring tone</w:t>
      </w:r>
      <w:hyperlink r:id="rId42">
        <w:r>
          <w:rPr>
            <w:rStyle w:val="Hyperlink"/>
          </w:rPr>
          <w:t xml:space="preserve">[21]</w:t>
        </w:r>
      </w:hyperlink>
      <w:r>
        <w:t xml:space="preserve">.</w:t>
      </w:r>
    </w:p>
    <w:p>
      <w:pPr>
        <w:numPr>
          <w:ilvl w:val="0"/>
          <w:numId w:val="1001"/>
        </w:numPr>
      </w:pPr>
      <w:r>
        <w:t xml:space="preserve">Additional inclusive language guides (e.g., APA, accessible Canada) to ensure non‑judgmental wording.</w:t>
      </w:r>
    </w:p>
    <w:p>
      <w:pPr>
        <w:numPr>
          <w:ilvl w:val="0"/>
          <w:numId w:val="1001"/>
        </w:numPr>
      </w:pPr>
      <w:r>
        <w:rPr>
          <w:b/>
          <w:bCs/>
        </w:rPr>
        <w:t xml:space="preserve">AI interpretation</w:t>
      </w:r>
      <w:r>
        <w:t xml:space="preserve">:</w:t>
      </w:r>
    </w:p>
    <w:p>
      <w:pPr>
        <w:numPr>
          <w:ilvl w:val="0"/>
          <w:numId w:val="1001"/>
        </w:numPr>
      </w:pPr>
      <w:r>
        <w:t xml:space="preserve">Industry white papers on structured outputs for LLMs (schema validation, confidence scores).</w:t>
      </w:r>
    </w:p>
    <w:p>
      <w:pPr>
        <w:pStyle w:val="Compact"/>
        <w:numPr>
          <w:ilvl w:val="0"/>
          <w:numId w:val="1001"/>
        </w:numPr>
      </w:pPr>
      <w:r>
        <w:t xml:space="preserve">Japan AI Safety Institute’s Guide to Evaluation Perspectives on AI Safety (2024) – definitions of AI safety elements and human‑centric principles</w:t>
      </w:r>
      <w:hyperlink r:id="rId43">
        <w:r>
          <w:rPr>
            <w:rStyle w:val="Hyperlink"/>
          </w:rPr>
          <w:t xml:space="preserve">[22]</w:t>
        </w:r>
      </w:hyperlink>
      <w:r>
        <w:t xml:space="preserve">.</w:t>
      </w:r>
    </w:p>
    <w:p>
      <w:pPr>
        <w:numPr>
          <w:ilvl w:val="0"/>
          <w:numId w:val="1001"/>
        </w:numPr>
      </w:pPr>
      <w:r>
        <w:t xml:space="preserve">Research on explainability, verifiability and robustness from AI governance literature.</w:t>
      </w:r>
    </w:p>
    <w:p>
      <w:pPr>
        <w:numPr>
          <w:ilvl w:val="0"/>
          <w:numId w:val="1001"/>
        </w:numPr>
      </w:pPr>
      <w:r>
        <w:rPr>
          <w:b/>
          <w:bCs/>
        </w:rPr>
        <w:t xml:space="preserve">Safety and limits</w:t>
      </w:r>
      <w:r>
        <w:t xml:space="preserve">:</w:t>
      </w:r>
    </w:p>
    <w:p>
      <w:pPr>
        <w:numPr>
          <w:ilvl w:val="0"/>
          <w:numId w:val="1001"/>
        </w:numPr>
      </w:pPr>
      <w:r>
        <w:t xml:space="preserve">Ethical and safety concerns regarding mental health apps – need for clear, concise, emergency‑oriented and therapy‑replacement warnings</w:t>
      </w:r>
      <w:hyperlink r:id="rId44">
        <w:r>
          <w:rPr>
            <w:rStyle w:val="Hyperlink"/>
          </w:rPr>
          <w:t xml:space="preserve">[23]</w:t>
        </w:r>
      </w:hyperlink>
      <w:r>
        <w:t xml:space="preserve">.</w:t>
      </w:r>
    </w:p>
    <w:p>
      <w:pPr>
        <w:pStyle w:val="Compact"/>
        <w:numPr>
          <w:ilvl w:val="0"/>
          <w:numId w:val="1001"/>
        </w:numPr>
      </w:pPr>
      <w:r>
        <w:t xml:space="preserve">Additional guidelines on privacy, user data and consents</w:t>
      </w:r>
      <w:hyperlink r:id="rId45">
        <w:r>
          <w:rPr>
            <w:rStyle w:val="Hyperlink"/>
          </w:rPr>
          <w:t xml:space="preserve">[24]</w:t>
        </w:r>
      </w:hyperlink>
      <w:r>
        <w:t xml:space="preserve">.</w:t>
      </w:r>
    </w:p>
    <w:p>
      <w:pPr>
        <w:pStyle w:val="Compact"/>
        <w:numPr>
          <w:ilvl w:val="0"/>
          <w:numId w:val="1001"/>
        </w:numPr>
      </w:pPr>
      <w:r>
        <w:t xml:space="preserve">Example legal/medical disclaimer templates and policies for educational apps.</w:t>
      </w:r>
    </w:p>
    <w:bookmarkEnd w:id="51"/>
    <w:bookmarkStart w:id="56" w:name="evidence-map-summary-of-current-findings"/>
    <w:p>
      <w:pPr>
        <w:pStyle w:val="Heading2"/>
      </w:pPr>
      <w:r>
        <w:t xml:space="preserve">3. Evidence Map (summary of current findings)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Evidence summary</w:t>
            </w:r>
          </w:p>
        </w:tc>
        <w:tc>
          <w:tcPr/>
          <w:p>
            <w:pPr>
              <w:pStyle w:val="Compact"/>
            </w:pPr>
            <w:r>
              <w:t xml:space="preserve">Implications</w:t>
            </w:r>
          </w:p>
        </w:tc>
      </w:tr>
      <w:tr>
        <w:tc>
          <w:tcPr/>
          <w:p>
            <w:pPr>
              <w:pStyle w:val="Compact"/>
            </w:pPr>
            <w:r>
              <w:rPr>
                <w:b/>
                <w:bCs/>
              </w:rPr>
              <w:t xml:space="preserve">COM‑B &amp; Behaviour Change Wheel</w:t>
            </w:r>
          </w:p>
        </w:tc>
        <w:tc>
          <w:tcPr/>
          <w:p>
            <w:pPr>
              <w:pStyle w:val="Compact"/>
            </w:pPr>
            <w:r>
              <w:t xml:space="preserve">Behaviour change requires capability, opportunity and motivation (COM‑B)</w:t>
            </w:r>
            <w:hyperlink r:id="rId22">
              <w:r>
                <w:rPr>
                  <w:rStyle w:val="Hyperlink"/>
                </w:rPr>
                <w:t xml:space="preserve">[1]</w:t>
              </w:r>
            </w:hyperlink>
            <w:r>
              <w:t xml:space="preserve">; each component has physical/psychological and social dimensions</w:t>
            </w:r>
            <w:hyperlink r:id="rId52">
              <w:r>
                <w:rPr>
                  <w:rStyle w:val="Hyperlink"/>
                </w:rPr>
                <w:t xml:space="preserve">[29]</w:t>
              </w:r>
            </w:hyperlink>
            <w:r>
              <w:t xml:space="preserve">. Interventions are mapped to nine functions (education, persuasion, training, incentivisation, coercion, restriction, environmental restructuring, modelling, enablement).</w:t>
            </w:r>
          </w:p>
        </w:tc>
        <w:tc>
          <w:tcPr/>
          <w:p>
            <w:pPr>
              <w:pStyle w:val="Compact"/>
            </w:pPr>
            <w:r>
              <w:t xml:space="preserve">Modules must assess whether users lack capability (knowledge/skills), opportunity (environment/social) or motivation (reflective/automatic) and tailor interventions accordingly. BecomingOS should not rely solely on motivation; building capability and restructuring opportunities are equally important.</w:t>
            </w:r>
          </w:p>
        </w:tc>
      </w:tr>
      <w:tr>
        <w:tc>
          <w:tcPr/>
          <w:p>
            <w:pPr>
              <w:pStyle w:val="Compact"/>
            </w:pPr>
            <w:r>
              <w:rPr>
                <w:b/>
                <w:bCs/>
              </w:rPr>
              <w:t xml:space="preserve">Implementation intentions &amp; habit formation</w:t>
            </w:r>
          </w:p>
        </w:tc>
        <w:tc>
          <w:tcPr/>
          <w:p>
            <w:pPr>
              <w:pStyle w:val="Compact"/>
            </w:pPr>
            <w:r>
              <w:t xml:space="preserve">If–then planning links situational cues to goal‑directed behaviour; meta‑analysis shows strong effect when people already have strong goal intentions</w:t>
            </w:r>
            <w:hyperlink r:id="rId23">
              <w:r>
                <w:rPr>
                  <w:rStyle w:val="Hyperlink"/>
                </w:rPr>
                <w:t xml:space="preserve">[2]</w:t>
              </w:r>
            </w:hyperlink>
            <w:r>
              <w:t xml:space="preserve">. Habit formation research indicates automaticity increases in a curved trajectory and can plateau around 66 days</w:t>
            </w:r>
            <w:hyperlink r:id="rId24">
              <w:r>
                <w:rPr>
                  <w:rStyle w:val="Hyperlink"/>
                </w:rPr>
                <w:t xml:space="preserve">[3]</w:t>
              </w:r>
            </w:hyperlink>
            <w:r>
              <w:t xml:space="preserve">; repeating behaviour in the same context is key</w:t>
            </w:r>
            <w:hyperlink r:id="rId47">
              <w:r>
                <w:rPr>
                  <w:rStyle w:val="Hyperlink"/>
                </w:rPr>
                <w:t xml:space="preserve">[25]</w:t>
              </w:r>
            </w:hyperlink>
            <w:r>
              <w:t xml:space="preserve">. Simple actions form habits faster than complex ones</w:t>
            </w:r>
            <w:hyperlink r:id="rId24">
              <w:r>
                <w:rPr>
                  <w:rStyle w:val="Hyperlink"/>
                </w:rPr>
                <w:t xml:space="preserve">[3]</w:t>
              </w:r>
            </w:hyperlink>
            <w:r>
              <w:t xml:space="preserve">.</w:t>
            </w:r>
          </w:p>
        </w:tc>
        <w:tc>
          <w:tcPr/>
          <w:p>
            <w:pPr>
              <w:pStyle w:val="Compact"/>
            </w:pPr>
            <w:r>
              <w:t xml:space="preserve">Modules should teach users to create implementation intentions and select consistent cues (e.g., time of day, existing routines) to support habit formation. Avoid promising quick results; emphasise long formation periods and resilience to occasional lapses.</w:t>
            </w:r>
          </w:p>
        </w:tc>
      </w:tr>
      <w:tr>
        <w:tc>
          <w:tcPr/>
          <w:p>
            <w:pPr>
              <w:pStyle w:val="Compact"/>
            </w:pPr>
            <w:r>
              <w:rPr>
                <w:b/>
                <w:bCs/>
              </w:rPr>
              <w:t xml:space="preserve">Goal setting &amp; identity-based behaviour</w:t>
            </w:r>
          </w:p>
        </w:tc>
        <w:tc>
          <w:tcPr/>
          <w:p>
            <w:pPr>
              <w:pStyle w:val="Compact"/>
            </w:pPr>
            <w:r>
              <w:t xml:space="preserve">Specific, challenging goals with feedback improve performance</w:t>
            </w:r>
            <w:hyperlink r:id="rId27">
              <w:r>
                <w:rPr>
                  <w:rStyle w:val="Hyperlink"/>
                </w:rPr>
                <w:t xml:space="preserve">[6]</w:t>
              </w:r>
            </w:hyperlink>
            <w:r>
              <w:t xml:space="preserve">. Habitual behaviours linked to personal values or identity lead to greater self‑integration and self‑esteem</w:t>
            </w:r>
            <w:hyperlink r:id="rId26">
              <w:r>
                <w:rPr>
                  <w:rStyle w:val="Hyperlink"/>
                </w:rPr>
                <w:t xml:space="preserve">[5]</w:t>
              </w:r>
            </w:hyperlink>
            <w:r>
              <w:t xml:space="preserve">. Future‑self continuity interventions (imagination, VR) can reduce impulsive behaviour by increasing perceived similarity to future self</w:t>
            </w:r>
            <w:hyperlink r:id="rId32">
              <w:r>
                <w:rPr>
                  <w:rStyle w:val="Hyperlink"/>
                </w:rPr>
                <w:t xml:space="preserve">[11]</w:t>
              </w:r>
            </w:hyperlink>
            <w:r>
              <w:t xml:space="preserve">.</w:t>
            </w:r>
          </w:p>
        </w:tc>
        <w:tc>
          <w:tcPr/>
          <w:p>
            <w:pPr>
              <w:pStyle w:val="Compact"/>
            </w:pPr>
            <w:r>
              <w:t xml:space="preserve">Modules should encourage users to set clear, challenging yet attainable goals and revisit progress regularly. Exercises should help users articulate identity statements and connect actions to values and future self.</w:t>
            </w:r>
          </w:p>
        </w:tc>
      </w:tr>
      <w:tr>
        <w:tc>
          <w:tcPr/>
          <w:p>
            <w:pPr>
              <w:pStyle w:val="Compact"/>
            </w:pPr>
            <w:r>
              <w:rPr>
                <w:b/>
                <w:bCs/>
              </w:rPr>
              <w:t xml:space="preserve">Values &amp; ACT</w:t>
            </w:r>
          </w:p>
        </w:tc>
        <w:tc>
          <w:tcPr/>
          <w:p>
            <w:pPr>
              <w:pStyle w:val="Compact"/>
            </w:pPr>
            <w:r>
              <w:t xml:space="preserve">ACT defines values as aspects of life that are meaningful; lack of values clarity leads to inaction</w:t>
            </w:r>
            <w:hyperlink r:id="rId53">
              <w:r>
                <w:rPr>
                  <w:rStyle w:val="Hyperlink"/>
                </w:rPr>
                <w:t xml:space="preserve">[30]</w:t>
              </w:r>
            </w:hyperlink>
            <w:r>
              <w:t xml:space="preserve">. Committed action is behaviour consistent with one’s values</w:t>
            </w:r>
            <w:hyperlink r:id="rId31">
              <w:r>
                <w:rPr>
                  <w:rStyle w:val="Hyperlink"/>
                </w:rPr>
                <w:t xml:space="preserve">[10]</w:t>
              </w:r>
            </w:hyperlink>
            <w:r>
              <w:t xml:space="preserve">. Values work often uses structured tools like the Valued Living Questionnaire and Bull’s‑Eye Values Survey</w:t>
            </w:r>
            <w:hyperlink r:id="rId48">
              <w:r>
                <w:rPr>
                  <w:rStyle w:val="Hyperlink"/>
                </w:rPr>
                <w:t xml:space="preserve">[26]</w:t>
              </w:r>
            </w:hyperlink>
            <w:r>
              <w:t xml:space="preserve">.</w:t>
            </w:r>
          </w:p>
        </w:tc>
        <w:tc>
          <w:tcPr/>
          <w:p>
            <w:pPr>
              <w:pStyle w:val="Compact"/>
            </w:pPr>
            <w:r>
              <w:t xml:space="preserve">BecomingOS should include values clarification exercises (e.g., card sorts, rating domains) and support users to identify mismatches between actions and values. Modules should emphasise committed action and encourage small steps toward valued directions.</w:t>
            </w:r>
          </w:p>
        </w:tc>
      </w:tr>
      <w:tr>
        <w:tc>
          <w:tcPr/>
          <w:p>
            <w:pPr>
              <w:pStyle w:val="Compact"/>
            </w:pPr>
            <w:r>
              <w:rPr>
                <w:b/>
                <w:bCs/>
              </w:rPr>
              <w:t xml:space="preserve">Personal rules &amp; self‑control</w:t>
            </w:r>
          </w:p>
        </w:tc>
        <w:tc>
          <w:tcPr/>
          <w:p>
            <w:pPr>
              <w:pStyle w:val="Compact"/>
            </w:pPr>
            <w:r>
              <w:t xml:space="preserve">Internal commitment or “personal rules” are self‑imposed standards that maintain self‑reputation; lapses undermine future self‑restraint. People may adopt rigid rules that lead to compulsive behaviours (miserliness, workaholism).</w:t>
            </w:r>
          </w:p>
        </w:tc>
        <w:tc>
          <w:tcPr/>
          <w:p>
            <w:pPr>
              <w:pStyle w:val="Compact"/>
            </w:pPr>
            <w:r>
              <w:t xml:space="preserve">The system should guide users to craft flexible personal rules and monitor the risk of over‑rigidity. Provide warnings about extremes and encourage self‑compassion if rules are broken.</w:t>
            </w:r>
          </w:p>
        </w:tc>
      </w:tr>
      <w:tr>
        <w:tc>
          <w:tcPr/>
          <w:p>
            <w:pPr>
              <w:pStyle w:val="Compact"/>
            </w:pPr>
            <w:r>
              <w:rPr>
                <w:b/>
                <w:bCs/>
              </w:rPr>
              <w:t xml:space="preserve">Adult learning &amp; micro‑learning</w:t>
            </w:r>
          </w:p>
        </w:tc>
        <w:tc>
          <w:tcPr/>
          <w:p>
            <w:pPr>
              <w:pStyle w:val="Compact"/>
            </w:pPr>
            <w:r>
              <w:t xml:space="preserve">Adults are internally motivated, self‑directed and bring life experience; they need relevant, problem‑centred learning</w:t>
            </w:r>
            <w:hyperlink r:id="rId33">
              <w:r>
                <w:rPr>
                  <w:rStyle w:val="Hyperlink"/>
                </w:rPr>
                <w:t xml:space="preserve">[12]</w:t>
              </w:r>
            </w:hyperlink>
            <w:r>
              <w:t xml:space="preserve">. Microlearning segments improve retention and reduce cognitive load</w:t>
            </w:r>
            <w:hyperlink r:id="rId34">
              <w:r>
                <w:rPr>
                  <w:rStyle w:val="Hyperlink"/>
                </w:rPr>
                <w:t xml:space="preserve">[13]</w:t>
              </w:r>
            </w:hyperlink>
            <w:r>
              <w:t xml:space="preserve">. Video discussions increase social presence but require more preparation than text</w:t>
            </w:r>
            <w:hyperlink r:id="rId50">
              <w:r>
                <w:rPr>
                  <w:rStyle w:val="Hyperlink"/>
                </w:rPr>
                <w:t xml:space="preserve">[28]</w:t>
              </w:r>
            </w:hyperlink>
            <w:r>
              <w:t xml:space="preserve">.</w:t>
            </w:r>
          </w:p>
        </w:tc>
        <w:tc>
          <w:tcPr/>
          <w:p>
            <w:pPr>
              <w:pStyle w:val="Compact"/>
            </w:pPr>
            <w:r>
              <w:t xml:space="preserve">Lessons should be concise, relevant and tied to real‑life problems. Provide both video and text options to accommodate preferences and ensure accessibility. Support self‑directed pacing and encourage learners to apply lessons to their own context.</w:t>
            </w:r>
          </w:p>
        </w:tc>
      </w:tr>
      <w:tr>
        <w:tc>
          <w:tcPr/>
          <w:p>
            <w:pPr>
              <w:pStyle w:val="Compact"/>
            </w:pPr>
            <w:r>
              <w:rPr>
                <w:b/>
                <w:bCs/>
              </w:rPr>
              <w:t xml:space="preserve">Question types</w:t>
            </w:r>
          </w:p>
        </w:tc>
        <w:tc>
          <w:tcPr/>
          <w:p>
            <w:pPr>
              <w:pStyle w:val="Compact"/>
            </w:pPr>
            <w:r>
              <w:t xml:space="preserve">Forced‑choice yes/no formats yield higher endorsement of true experiences than select‑all lists</w:t>
            </w:r>
            <w:hyperlink r:id="rId36">
              <w:r>
                <w:rPr>
                  <w:rStyle w:val="Hyperlink"/>
                </w:rPr>
                <w:t xml:space="preserve">[15]</w:t>
              </w:r>
            </w:hyperlink>
            <w:r>
              <w:t xml:space="preserve">. Rating (Likert) scales are familiar and low‑effort but may encourage satisficing; ranking scales force differentiation but are high effort and only effective with small item sets</w:t>
            </w:r>
            <w:hyperlink r:id="rId37">
              <w:r>
                <w:rPr>
                  <w:rStyle w:val="Hyperlink"/>
                </w:rPr>
                <w:t xml:space="preserve">[16]</w:t>
              </w:r>
            </w:hyperlink>
            <w:r>
              <w:t xml:space="preserve">. Emotional recall research shows that asking about distressing topics can temporarily increase stress but does not cause harm among non‑vulnerable participants</w:t>
            </w:r>
            <w:hyperlink r:id="rId38">
              <w:r>
                <w:rPr>
                  <w:rStyle w:val="Hyperlink"/>
                </w:rPr>
                <w:t xml:space="preserve">[17]</w:t>
              </w:r>
            </w:hyperlink>
            <w:r>
              <w:t xml:space="preserve">.</w:t>
            </w:r>
          </w:p>
        </w:tc>
        <w:tc>
          <w:tcPr/>
          <w:p>
            <w:pPr>
              <w:pStyle w:val="Compact"/>
            </w:pPr>
            <w:r>
              <w:t xml:space="preserve">Use a mix of open, reflective questions for self‑discovery and closed questions for measurement. Avoid long ranking tasks; use rating scales with clear anchors. Provide warnings and support when asking emotionally intense questions and avoid repeated distressing recall.</w:t>
            </w:r>
          </w:p>
        </w:tc>
      </w:tr>
      <w:tr>
        <w:tc>
          <w:tcPr/>
          <w:p>
            <w:pPr>
              <w:pStyle w:val="Compact"/>
            </w:pPr>
            <w:r>
              <w:rPr>
                <w:b/>
                <w:bCs/>
              </w:rPr>
              <w:t xml:space="preserve">Wording style</w:t>
            </w:r>
          </w:p>
        </w:tc>
        <w:tc>
          <w:tcPr/>
          <w:p>
            <w:pPr>
              <w:pStyle w:val="Compact"/>
            </w:pPr>
            <w:r>
              <w:t xml:space="preserve">Plain‑language standards define plain language as communication where readers can easily find, understand and use information</w:t>
            </w:r>
            <w:hyperlink r:id="rId39">
              <w:r>
                <w:rPr>
                  <w:rStyle w:val="Hyperlink"/>
                </w:rPr>
                <w:t xml:space="preserve">[31]</w:t>
              </w:r>
            </w:hyperlink>
            <w:r>
              <w:t xml:space="preserve">. Benefits include fewer mistakes, higher satisfaction, trust and better accessibility</w:t>
            </w:r>
            <w:hyperlink r:id="rId54">
              <w:r>
                <w:rPr>
                  <w:rStyle w:val="Hyperlink"/>
                </w:rPr>
                <w:t xml:space="preserve">[32]</w:t>
              </w:r>
            </w:hyperlink>
            <w:r>
              <w:t xml:space="preserve">. Motivational interviewing (MI) emphasises empathic, person‑centred open questions, affirmations, reflective listening and summaries</w:t>
            </w:r>
            <w:hyperlink r:id="rId40">
              <w:r>
                <w:rPr>
                  <w:rStyle w:val="Hyperlink"/>
                </w:rPr>
                <w:t xml:space="preserve">[19]</w:t>
              </w:r>
            </w:hyperlink>
            <w:r>
              <w:t xml:space="preserve">. Autonomy‑supportive language (providing choice, encouragement) leads to perceptions of fairness, engagement and warmth compared with controlling language</w:t>
            </w:r>
            <w:hyperlink r:id="rId41">
              <w:r>
                <w:rPr>
                  <w:rStyle w:val="Hyperlink"/>
                </w:rPr>
                <w:t xml:space="preserve">[20]</w:t>
              </w:r>
            </w:hyperlink>
            <w:r>
              <w:t xml:space="preserve">. Teach‑back guidelines recommend asking clients to explain information in their own words in a caring, non‑shaming way</w:t>
            </w:r>
            <w:hyperlink r:id="rId42">
              <w:r>
                <w:rPr>
                  <w:rStyle w:val="Hyperlink"/>
                </w:rPr>
                <w:t xml:space="preserve">[21]</w:t>
              </w:r>
            </w:hyperlink>
            <w:r>
              <w:t xml:space="preserve">.</w:t>
            </w:r>
          </w:p>
        </w:tc>
        <w:tc>
          <w:tcPr/>
          <w:p>
            <w:pPr>
              <w:pStyle w:val="Compact"/>
            </w:pPr>
            <w:r>
              <w:t xml:space="preserve">Language throughout BecomingOS should be clear, simple and free of jargon. Modules should avoid clinical or diagnostic terms, focusing on collaborative, autonomy‑supportive wording. Prompts should encourage self‑direction (“you might consider…”) and avoid prescriptive or shaming language. Provide opportunities for users to summarise understanding and confirm their interpretations.</w:t>
            </w:r>
          </w:p>
        </w:tc>
      </w:tr>
      <w:tr>
        <w:tc>
          <w:tcPr/>
          <w:p>
            <w:pPr>
              <w:pStyle w:val="Compact"/>
            </w:pPr>
            <w:r>
              <w:rPr>
                <w:b/>
                <w:bCs/>
              </w:rPr>
              <w:t xml:space="preserve">AI interpretation &amp; safety</w:t>
            </w:r>
          </w:p>
        </w:tc>
        <w:tc>
          <w:tcPr/>
          <w:p>
            <w:pPr>
              <w:pStyle w:val="Compact"/>
            </w:pPr>
            <w:r>
              <w:t xml:space="preserve">AI safety guidelines highlight the importance of human‑centricity, fairness, privacy, security and transparency</w:t>
            </w:r>
            <w:hyperlink r:id="rId43">
              <w:r>
                <w:rPr>
                  <w:rStyle w:val="Hyperlink"/>
                </w:rPr>
                <w:t xml:space="preserve">[22]</w:t>
              </w:r>
            </w:hyperlink>
            <w:r>
              <w:t xml:space="preserve">. AI systems must control toxic outputs, prevent misinformation, ensure fairness and protect privacy.</w:t>
            </w:r>
          </w:p>
        </w:tc>
        <w:tc>
          <w:tcPr/>
          <w:p>
            <w:pPr>
              <w:pStyle w:val="Compact"/>
            </w:pPr>
            <w:r>
              <w:t xml:space="preserve">The AI component of BecomingOS should output structured data (e.g., JSON) with confidence scores and explanations. It should cite sources used to infer recommendations and ask users to confirm or edit interpretations before storing in personal memory. Memory operations (save, edit, delete) should be under user control. Safety measures should detect sensitive or high‑impact decisions and direct users to professional support.</w:t>
            </w:r>
          </w:p>
        </w:tc>
      </w:tr>
      <w:tr>
        <w:tc>
          <w:tcPr/>
          <w:p>
            <w:pPr>
              <w:pStyle w:val="Compact"/>
            </w:pPr>
            <w:r>
              <w:rPr>
                <w:b/>
                <w:bCs/>
              </w:rPr>
              <w:t xml:space="preserve">Safety and limits</w:t>
            </w:r>
          </w:p>
        </w:tc>
        <w:tc>
          <w:tcPr/>
          <w:p>
            <w:pPr>
              <w:pStyle w:val="Compact"/>
            </w:pPr>
            <w:r>
              <w:t xml:space="preserve">Many mental health apps lack clear warnings; apps should instruct users to contact emergency services if they experience crisis</w:t>
            </w:r>
            <w:hyperlink r:id="rId44">
              <w:r>
                <w:rPr>
                  <w:rStyle w:val="Hyperlink"/>
                </w:rPr>
                <w:t xml:space="preserve">[33]</w:t>
              </w:r>
            </w:hyperlink>
            <w:r>
              <w:t xml:space="preserve">. Disclaimers should state that apps are not a substitute for therapy and provide concise emergency information</w:t>
            </w:r>
            <w:hyperlink r:id="rId44">
              <w:r>
                <w:rPr>
                  <w:rStyle w:val="Hyperlink"/>
                </w:rPr>
                <w:t xml:space="preserve">[23]</w:t>
              </w:r>
            </w:hyperlink>
            <w:r>
              <w:t xml:space="preserve">. Disclaimers should be clear and in language users can understand</w:t>
            </w:r>
            <w:hyperlink r:id="rId55">
              <w:r>
                <w:rPr>
                  <w:rStyle w:val="Hyperlink"/>
                </w:rPr>
                <w:t xml:space="preserve">[34]</w:t>
              </w:r>
            </w:hyperlink>
            <w:r>
              <w:t xml:space="preserve">. Privacy concerns include data sharing with third parties and unclear practices</w:t>
            </w:r>
            <w:hyperlink r:id="rId45">
              <w:r>
                <w:rPr>
                  <w:rStyle w:val="Hyperlink"/>
                </w:rPr>
                <w:t xml:space="preserve">[24]</w:t>
              </w:r>
            </w:hyperlink>
            <w:r>
              <w:t xml:space="preserve">.</w:t>
            </w:r>
          </w:p>
        </w:tc>
        <w:tc>
          <w:tcPr/>
          <w:p>
            <w:pPr>
              <w:pStyle w:val="Compact"/>
            </w:pPr>
            <w:r>
              <w:t xml:space="preserve">BecomingOS must include a clear, accessible disclaimer that it does not provide therapy, diagnosis, legal or financial advice and should not be used during emergencies. Provide direct links to crisis support services. Ensure privacy policies are transparent, limit data sharing, and allow users to control what data is stored or transmitted. The system must not schedule or approve events automatically (calendar approval should require user confirmation).</w:t>
            </w:r>
          </w:p>
        </w:tc>
      </w:tr>
    </w:tbl>
    <w:bookmarkEnd w:id="56"/>
    <w:bookmarkStart w:id="57" w:name="product-implications"/>
    <w:p>
      <w:pPr>
        <w:pStyle w:val="Heading2"/>
      </w:pPr>
      <w:r>
        <w:t xml:space="preserve">4. Product Implications</w:t>
      </w:r>
    </w:p>
    <w:p>
      <w:pPr>
        <w:numPr>
          <w:ilvl w:val="0"/>
          <w:numId w:val="1002"/>
        </w:numPr>
      </w:pPr>
      <w:r>
        <w:rPr>
          <w:b/>
          <w:bCs/>
        </w:rPr>
        <w:t xml:space="preserve">Module sequencing</w:t>
      </w:r>
      <w:r>
        <w:t xml:space="preserve"> </w:t>
      </w:r>
      <w:r>
        <w:t xml:space="preserve">– The research suggests starting with values clarification and identity exercises to establish purpose, followed by goal‑setting and implementation‑intention modules. Habit formation and environmental cue design should come after the user has defined meaningful goals. Modules should teach adult‑learning principles such as self‑direction and micro‑learning.</w:t>
      </w:r>
    </w:p>
    <w:p>
      <w:pPr>
        <w:numPr>
          <w:ilvl w:val="0"/>
          <w:numId w:val="1002"/>
        </w:numPr>
      </w:pPr>
      <w:r>
        <w:rPr>
          <w:b/>
          <w:bCs/>
        </w:rPr>
        <w:t xml:space="preserve">Question design</w:t>
      </w:r>
      <w:r>
        <w:t xml:space="preserve"> </w:t>
      </w:r>
      <w:r>
        <w:t xml:space="preserve">– Use open and reflective questions to explore values and identity, but limit the number of high‑intensity emotional prompts to prevent distress. For behavioural measurements, employ rating scales with clear anchors; use forced‑choice yes/no when capturing experiences (e.g., whether a habit was performed). Avoid large ranking tasks; if ranking is needed, limit to top 3–5 items.</w:t>
      </w:r>
    </w:p>
    <w:p>
      <w:pPr>
        <w:numPr>
          <w:ilvl w:val="0"/>
          <w:numId w:val="1002"/>
        </w:numPr>
      </w:pPr>
      <w:r>
        <w:rPr>
          <w:b/>
          <w:bCs/>
        </w:rPr>
        <w:t xml:space="preserve">Wording and tone</w:t>
      </w:r>
      <w:r>
        <w:t xml:space="preserve"> </w:t>
      </w:r>
      <w:r>
        <w:t xml:space="preserve">– Adopt plain language, autonomy‑supportive wording and motivational interviewing tone. Replace clinical or diagnostic labels with everyday descriptions. Use first‑person (“I”) and second‑person (“you”) to foster connection, but avoid telling users what they “should” or “must” do. Provide choices rather than directives and acknowledge the user’s agency. Include reflective prompts that summarise user input and confirm understanding.</w:t>
      </w:r>
    </w:p>
    <w:p>
      <w:pPr>
        <w:numPr>
          <w:ilvl w:val="0"/>
          <w:numId w:val="1002"/>
        </w:numPr>
      </w:pPr>
      <w:r>
        <w:rPr>
          <w:b/>
          <w:bCs/>
        </w:rPr>
        <w:t xml:space="preserve">AI interpretation</w:t>
      </w:r>
      <w:r>
        <w:t xml:space="preserve"> </w:t>
      </w:r>
      <w:r>
        <w:t xml:space="preserve">– Build structured outputs with standard schemas (e.g., JSON) for user memories, including fields such as category, summary, evidence source and confidence score. Provide the underlying reasoning and citations when making suggestions. Ask users to confirm, edit or reject interpretations before storing them. Provide memory deletion and redaction options to honour memory safety. Include bias checks and fairness evaluation for AI‑generated recommendations.</w:t>
      </w:r>
    </w:p>
    <w:p>
      <w:pPr>
        <w:numPr>
          <w:ilvl w:val="0"/>
          <w:numId w:val="1002"/>
        </w:numPr>
      </w:pPr>
      <w:r>
        <w:rPr>
          <w:b/>
          <w:bCs/>
        </w:rPr>
        <w:t xml:space="preserve">Safety</w:t>
      </w:r>
      <w:r>
        <w:t xml:space="preserve"> </w:t>
      </w:r>
      <w:r>
        <w:t xml:space="preserve">– The system should contain a clear disclaimer (visible in onboarding, settings and any mental‑health‑related modules) stating that the content is for educational purposes and does not provide therapy, medical, legal or financial advice. Provide quick access to emergency helplines and encourage users to seek professional support when needed. Implement privacy controls so that personal data is stored locally by default and shared only with explicit user consent. Calendar and life‑alignment features should always ask for confirmation before scheduling or modifying events.</w:t>
      </w:r>
    </w:p>
    <w:bookmarkEnd w:id="57"/>
    <w:bookmarkStart w:id="58" w:name="gaps-in-the-current-becomingos-plan"/>
    <w:p>
      <w:pPr>
        <w:pStyle w:val="Heading2"/>
      </w:pPr>
      <w:r>
        <w:t xml:space="preserve">5. Gaps in the Current BecomingOS Plan</w:t>
      </w:r>
    </w:p>
    <w:p>
      <w:pPr>
        <w:pStyle w:val="Compact"/>
        <w:numPr>
          <w:ilvl w:val="0"/>
          <w:numId w:val="1003"/>
        </w:numPr>
      </w:pPr>
      <w:r>
        <w:rPr>
          <w:b/>
          <w:bCs/>
        </w:rPr>
        <w:t xml:space="preserve">Evidence integration</w:t>
      </w:r>
      <w:r>
        <w:t xml:space="preserve"> </w:t>
      </w:r>
      <w:r>
        <w:t xml:space="preserve">– The current module structure may not explicitly incorporate the COM‑B system and could overemphasize motivation while neglecting capability and opportunity factors.</w:t>
      </w:r>
    </w:p>
    <w:p>
      <w:pPr>
        <w:pStyle w:val="Compact"/>
        <w:numPr>
          <w:ilvl w:val="0"/>
          <w:numId w:val="1003"/>
        </w:numPr>
      </w:pPr>
      <w:r>
        <w:rPr>
          <w:b/>
          <w:bCs/>
        </w:rPr>
        <w:t xml:space="preserve">Values emphasis</w:t>
      </w:r>
      <w:r>
        <w:t xml:space="preserve"> </w:t>
      </w:r>
      <w:r>
        <w:t xml:space="preserve">– There may be insufficient guidance on values clarification and committed action; ACT exercises like the Valued Living Questionnaire are not mentioned.</w:t>
      </w:r>
    </w:p>
    <w:p>
      <w:pPr>
        <w:pStyle w:val="Compact"/>
        <w:numPr>
          <w:ilvl w:val="0"/>
          <w:numId w:val="1003"/>
        </w:numPr>
      </w:pPr>
      <w:r>
        <w:rPr>
          <w:b/>
          <w:bCs/>
        </w:rPr>
        <w:t xml:space="preserve">Identity and future self</w:t>
      </w:r>
      <w:r>
        <w:t xml:space="preserve"> </w:t>
      </w:r>
      <w:r>
        <w:t xml:space="preserve">– The plan might not address future‑self continuity interventions or personal rules to boost self‑control.</w:t>
      </w:r>
    </w:p>
    <w:p>
      <w:pPr>
        <w:pStyle w:val="Compact"/>
        <w:numPr>
          <w:ilvl w:val="0"/>
          <w:numId w:val="1003"/>
        </w:numPr>
      </w:pPr>
      <w:r>
        <w:rPr>
          <w:b/>
          <w:bCs/>
        </w:rPr>
        <w:t xml:space="preserve">Adult learning principles</w:t>
      </w:r>
      <w:r>
        <w:t xml:space="preserve"> </w:t>
      </w:r>
      <w:r>
        <w:t xml:space="preserve">– The existing educational flow may not fully apply adult learning and micro‑learning best practices.</w:t>
      </w:r>
    </w:p>
    <w:p>
      <w:pPr>
        <w:pStyle w:val="Compact"/>
        <w:numPr>
          <w:ilvl w:val="0"/>
          <w:numId w:val="1003"/>
        </w:numPr>
      </w:pPr>
      <w:r>
        <w:rPr>
          <w:b/>
          <w:bCs/>
        </w:rPr>
        <w:t xml:space="preserve">Question design and fatigue</w:t>
      </w:r>
      <w:r>
        <w:t xml:space="preserve"> </w:t>
      </w:r>
      <w:r>
        <w:t xml:space="preserve">– The plan lacks detail on question types, ranking vs rating, and strategies to minimize question fatigue and emotional distress.</w:t>
      </w:r>
    </w:p>
    <w:p>
      <w:pPr>
        <w:pStyle w:val="Compact"/>
        <w:numPr>
          <w:ilvl w:val="0"/>
          <w:numId w:val="1003"/>
        </w:numPr>
      </w:pPr>
      <w:r>
        <w:rPr>
          <w:b/>
          <w:bCs/>
        </w:rPr>
        <w:t xml:space="preserve">Wording style</w:t>
      </w:r>
      <w:r>
        <w:t xml:space="preserve"> </w:t>
      </w:r>
      <w:r>
        <w:t xml:space="preserve">– There is a need for a consistent style guide that emphasises plain language, autonomy support and non‑shaming, as well as avoidance of clinical language.</w:t>
      </w:r>
    </w:p>
    <w:p>
      <w:pPr>
        <w:pStyle w:val="Compact"/>
        <w:numPr>
          <w:ilvl w:val="0"/>
          <w:numId w:val="1003"/>
        </w:numPr>
      </w:pPr>
      <w:r>
        <w:rPr>
          <w:b/>
          <w:bCs/>
        </w:rPr>
        <w:t xml:space="preserve">AI safety and explainability</w:t>
      </w:r>
      <w:r>
        <w:t xml:space="preserve"> </w:t>
      </w:r>
      <w:r>
        <w:t xml:space="preserve">– The current description of an AI interpretation system is vague; guidelines for structured outputs, confidence scores, user confirmation and memory safety must be defined.</w:t>
      </w:r>
    </w:p>
    <w:p>
      <w:pPr>
        <w:pStyle w:val="Compact"/>
        <w:numPr>
          <w:ilvl w:val="0"/>
          <w:numId w:val="1003"/>
        </w:numPr>
      </w:pPr>
      <w:r>
        <w:rPr>
          <w:b/>
          <w:bCs/>
        </w:rPr>
        <w:t xml:space="preserve">Disclaimers and crisis support</w:t>
      </w:r>
      <w:r>
        <w:t xml:space="preserve"> </w:t>
      </w:r>
      <w:r>
        <w:t xml:space="preserve">– The plan must explicitly state that BecomingOS is not therapy and include emergency contacts. Privacy and data sharing policies need to be articulated.</w:t>
      </w:r>
    </w:p>
    <w:bookmarkEnd w:id="58"/>
    <w:bookmarkStart w:id="59" w:name="recommended-changes"/>
    <w:p>
      <w:pPr>
        <w:pStyle w:val="Heading2"/>
      </w:pPr>
      <w:r>
        <w:t xml:space="preserve">6. Recommended Changes</w:t>
      </w:r>
    </w:p>
    <w:p>
      <w:pPr>
        <w:pStyle w:val="Compact"/>
        <w:numPr>
          <w:ilvl w:val="0"/>
          <w:numId w:val="1004"/>
        </w:numPr>
      </w:pPr>
      <w:r>
        <w:rPr>
          <w:b/>
          <w:bCs/>
        </w:rPr>
        <w:t xml:space="preserve">Embed COM‑B and BCW</w:t>
      </w:r>
      <w:r>
        <w:t xml:space="preserve"> </w:t>
      </w:r>
      <w:r>
        <w:t xml:space="preserve">– Integrate an assessment step in each module to identify which of capability, opportunity and motivation is lacking. Provide targeted suggestions (e.g., training to build capability, environmental restructuring to create opportunity).</w:t>
      </w:r>
    </w:p>
    <w:p>
      <w:pPr>
        <w:pStyle w:val="Compact"/>
        <w:numPr>
          <w:ilvl w:val="0"/>
          <w:numId w:val="1004"/>
        </w:numPr>
      </w:pPr>
      <w:r>
        <w:rPr>
          <w:b/>
          <w:bCs/>
        </w:rPr>
        <w:t xml:space="preserve">Add values clarification modules</w:t>
      </w:r>
      <w:r>
        <w:t xml:space="preserve"> </w:t>
      </w:r>
      <w:r>
        <w:t xml:space="preserve">– Incorporate exercises like the Valued Living Questionnaire and Bull’s‑Eye Values Survey. Include reflection on personal rules and identity statements, emphasising flexible committed action and future self.</w:t>
      </w:r>
    </w:p>
    <w:p>
      <w:pPr>
        <w:pStyle w:val="Compact"/>
        <w:numPr>
          <w:ilvl w:val="0"/>
          <w:numId w:val="1004"/>
        </w:numPr>
      </w:pPr>
      <w:r>
        <w:rPr>
          <w:b/>
          <w:bCs/>
        </w:rPr>
        <w:t xml:space="preserve">Apply adult learning and micro‑learning</w:t>
      </w:r>
      <w:r>
        <w:t xml:space="preserve"> </w:t>
      </w:r>
      <w:r>
        <w:t xml:space="preserve">– Break content into short lessons that link to real‑life examples. Provide options for text, audio and video. Use progressive disclosure to reveal deeper content only when needed.</w:t>
      </w:r>
    </w:p>
    <w:p>
      <w:pPr>
        <w:pStyle w:val="Compact"/>
        <w:numPr>
          <w:ilvl w:val="0"/>
          <w:numId w:val="1004"/>
        </w:numPr>
      </w:pPr>
      <w:r>
        <w:rPr>
          <w:b/>
          <w:bCs/>
        </w:rPr>
        <w:t xml:space="preserve">Revise question design</w:t>
      </w:r>
      <w:r>
        <w:t xml:space="preserve"> </w:t>
      </w:r>
      <w:r>
        <w:t xml:space="preserve">– Use forced‑choice yes/no when measuring behaviours. Limit ranking questions to small sets and include rating scales with clearly defined anchors. Provide open and reflective prompts for exploration. Implement branching logic to reduce question fatigue; allow users to skip or pause emotionally intense sections.</w:t>
      </w:r>
    </w:p>
    <w:p>
      <w:pPr>
        <w:pStyle w:val="Compact"/>
        <w:numPr>
          <w:ilvl w:val="0"/>
          <w:numId w:val="1004"/>
        </w:numPr>
      </w:pPr>
      <w:r>
        <w:rPr>
          <w:b/>
          <w:bCs/>
        </w:rPr>
        <w:t xml:space="preserve">Develop a wording style guide</w:t>
      </w:r>
      <w:r>
        <w:t xml:space="preserve"> </w:t>
      </w:r>
      <w:r>
        <w:t xml:space="preserve">– Draft guidelines specifying plain language principles (short sentences, active voice), autonomy‑supportive tone (provision of choice, encouragement), motivational interviewing techniques (open questions, affirmations, reflective summarising), and avoidance of clinical or shaming language. Train content creators to adhere to this style.</w:t>
      </w:r>
    </w:p>
    <w:p>
      <w:pPr>
        <w:pStyle w:val="Compact"/>
        <w:numPr>
          <w:ilvl w:val="0"/>
          <w:numId w:val="1004"/>
        </w:numPr>
      </w:pPr>
      <w:r>
        <w:rPr>
          <w:b/>
          <w:bCs/>
        </w:rPr>
        <w:t xml:space="preserve">Design AI interpretation architecture</w:t>
      </w:r>
      <w:r>
        <w:t xml:space="preserve"> </w:t>
      </w:r>
      <w:r>
        <w:t xml:space="preserve">– Specify the structure of user memories (e.g., JSON with fields: type, content, sources, tags, confidence). Implement algorithms to compute confidence scores and highlight uncertain inferences. Require explicit user confirmation before saving or using AI‑generated insights. Provide transparency by showing evidence citations. 7.</w:t>
      </w:r>
      <w:r>
        <w:t xml:space="preserve"> </w:t>
      </w:r>
      <w:r>
        <w:rPr>
          <w:b/>
          <w:bCs/>
        </w:rPr>
        <w:t xml:space="preserve">Strengthen safety measures</w:t>
      </w:r>
      <w:r>
        <w:t xml:space="preserve"> </w:t>
      </w:r>
      <w:r>
        <w:t xml:space="preserve">– Draft a clear disclaimer and display it prominently. Provide crisis resources and instruct users to seek professional help if they experience distress or emergency situations</w:t>
      </w:r>
      <w:hyperlink r:id="rId44">
        <w:r>
          <w:rPr>
            <w:rStyle w:val="Hyperlink"/>
          </w:rPr>
          <w:t xml:space="preserve">[23]</w:t>
        </w:r>
      </w:hyperlink>
      <w:r>
        <w:t xml:space="preserve">. 8.</w:t>
      </w:r>
      <w:r>
        <w:t xml:space="preserve"> </w:t>
      </w:r>
      <w:r>
        <w:rPr>
          <w:b/>
          <w:bCs/>
        </w:rPr>
        <w:t xml:space="preserve">Enhance privacy protections</w:t>
      </w:r>
      <w:r>
        <w:t xml:space="preserve"> </w:t>
      </w:r>
      <w:r>
        <w:t xml:space="preserve">– Ensure data is stored locally by default; if cloud storage is used, make encryption and consent mandatory. Provide users with control over data sharing and deletion. Comply with relevant privacy laws and inform users how their data is used</w:t>
      </w:r>
      <w:hyperlink r:id="rId45">
        <w:r>
          <w:rPr>
            <w:rStyle w:val="Hyperlink"/>
          </w:rPr>
          <w:t xml:space="preserve">[24]</w:t>
        </w:r>
      </w:hyperlink>
      <w:r>
        <w:t xml:space="preserve">.</w:t>
      </w:r>
    </w:p>
    <w:bookmarkEnd w:id="59"/>
    <w:bookmarkStart w:id="60" w:name="decisions-required-before-building"/>
    <w:p>
      <w:pPr>
        <w:pStyle w:val="Heading2"/>
      </w:pPr>
      <w:r>
        <w:t xml:space="preserve">7. Decisions Required Before Building</w:t>
      </w:r>
    </w:p>
    <w:p>
      <w:pPr>
        <w:pStyle w:val="Compact"/>
        <w:numPr>
          <w:ilvl w:val="0"/>
          <w:numId w:val="1005"/>
        </w:numPr>
      </w:pPr>
      <w:r>
        <w:rPr>
          <w:b/>
          <w:bCs/>
        </w:rPr>
        <w:t xml:space="preserve">Module sequence and scope</w:t>
      </w:r>
      <w:r>
        <w:t xml:space="preserve"> </w:t>
      </w:r>
      <w:r>
        <w:t xml:space="preserve">– Decide the order of modules (values, identity, goal setting, habit formation, life alignment). Determine how many topics should be in the first release.</w:t>
      </w:r>
    </w:p>
    <w:p>
      <w:pPr>
        <w:pStyle w:val="Compact"/>
        <w:numPr>
          <w:ilvl w:val="0"/>
          <w:numId w:val="1005"/>
        </w:numPr>
      </w:pPr>
      <w:r>
        <w:rPr>
          <w:b/>
          <w:bCs/>
        </w:rPr>
        <w:t xml:space="preserve">Question format library</w:t>
      </w:r>
      <w:r>
        <w:t xml:space="preserve"> </w:t>
      </w:r>
      <w:r>
        <w:t xml:space="preserve">– Choose the types of questions and interaction patterns (open text, rating scales, ranking, sliders, forced choice) and standardize them across modules.</w:t>
      </w:r>
    </w:p>
    <w:p>
      <w:pPr>
        <w:pStyle w:val="Compact"/>
        <w:numPr>
          <w:ilvl w:val="0"/>
          <w:numId w:val="1005"/>
        </w:numPr>
      </w:pPr>
      <w:r>
        <w:rPr>
          <w:b/>
          <w:bCs/>
        </w:rPr>
        <w:t xml:space="preserve">Wording style guide approval</w:t>
      </w:r>
      <w:r>
        <w:t xml:space="preserve"> </w:t>
      </w:r>
      <w:r>
        <w:t xml:space="preserve">– Finalise the tone and language guidelines and obtain stakeholder buy‑in.</w:t>
      </w:r>
    </w:p>
    <w:p>
      <w:pPr>
        <w:pStyle w:val="Compact"/>
        <w:numPr>
          <w:ilvl w:val="0"/>
          <w:numId w:val="1005"/>
        </w:numPr>
      </w:pPr>
      <w:r>
        <w:rPr>
          <w:b/>
          <w:bCs/>
        </w:rPr>
        <w:t xml:space="preserve">AI model selection and safety framework</w:t>
      </w:r>
      <w:r>
        <w:t xml:space="preserve"> </w:t>
      </w:r>
      <w:r>
        <w:t xml:space="preserve">– Select an appropriate LLM or summarisation model that supports structured outputs, confidence scores and explanation features. Define the architecture for user memory and confirm deletion procedures.</w:t>
      </w:r>
    </w:p>
    <w:p>
      <w:pPr>
        <w:pStyle w:val="Compact"/>
        <w:numPr>
          <w:ilvl w:val="0"/>
          <w:numId w:val="1005"/>
        </w:numPr>
      </w:pPr>
      <w:r>
        <w:rPr>
          <w:b/>
          <w:bCs/>
        </w:rPr>
        <w:t xml:space="preserve">Legal and privacy compliance</w:t>
      </w:r>
      <w:r>
        <w:t xml:space="preserve"> </w:t>
      </w:r>
      <w:r>
        <w:t xml:space="preserve">– Engage legal counsel to confirm the wording of the disclaimer, data‑processing agreements, and compliance with privacy laws (e.g., GDPR, CCPA, Australian privacy law).</w:t>
      </w:r>
    </w:p>
    <w:p>
      <w:pPr>
        <w:pStyle w:val="Compact"/>
        <w:numPr>
          <w:ilvl w:val="0"/>
          <w:numId w:val="1005"/>
        </w:numPr>
      </w:pPr>
      <w:r>
        <w:rPr>
          <w:b/>
          <w:bCs/>
        </w:rPr>
        <w:t xml:space="preserve">Emergency support integration</w:t>
      </w:r>
      <w:r>
        <w:t xml:space="preserve"> </w:t>
      </w:r>
      <w:r>
        <w:t xml:space="preserve">– Determine which crisis hotlines and professional resources to link, and how to display them contextually.</w:t>
      </w:r>
    </w:p>
    <w:p>
      <w:pPr>
        <w:pStyle w:val="Compact"/>
        <w:numPr>
          <w:ilvl w:val="0"/>
          <w:numId w:val="1005"/>
        </w:numPr>
      </w:pPr>
      <w:r>
        <w:rPr>
          <w:b/>
          <w:bCs/>
        </w:rPr>
        <w:t xml:space="preserve">Accessibility requirements</w:t>
      </w:r>
      <w:r>
        <w:t xml:space="preserve"> </w:t>
      </w:r>
      <w:r>
        <w:t xml:space="preserve">– Decide on standards for accessibility (e.g., WCAG 2.2), language support and inclusive design features.</w:t>
      </w:r>
    </w:p>
    <w:p>
      <w:pPr>
        <w:pStyle w:val="Compact"/>
        <w:numPr>
          <w:ilvl w:val="0"/>
          <w:numId w:val="1005"/>
        </w:numPr>
      </w:pPr>
      <w:r>
        <w:rPr>
          <w:b/>
          <w:bCs/>
        </w:rPr>
        <w:t xml:space="preserve">Future self and identity features</w:t>
      </w:r>
      <w:r>
        <w:t xml:space="preserve"> </w:t>
      </w:r>
      <w:r>
        <w:t xml:space="preserve">– Decide how to implement future‑self prompts (visualizations, letters, VR/AR features) and personal rule creation without over‑rigidity.</w:t>
      </w:r>
    </w:p>
    <w:bookmarkEnd w:id="60"/>
    <w:bookmarkStart w:id="61" w:name="what-should-not-be-built-yet"/>
    <w:p>
      <w:pPr>
        <w:pStyle w:val="Heading2"/>
      </w:pPr>
      <w:r>
        <w:t xml:space="preserve">8. What Should Not Be Built Yet</w:t>
      </w:r>
    </w:p>
    <w:p>
      <w:pPr>
        <w:pStyle w:val="Compact"/>
        <w:numPr>
          <w:ilvl w:val="0"/>
          <w:numId w:val="1006"/>
        </w:numPr>
      </w:pPr>
      <w:r>
        <w:rPr>
          <w:b/>
          <w:bCs/>
        </w:rPr>
        <w:t xml:space="preserve">Therapy or diagnosis features</w:t>
      </w:r>
      <w:r>
        <w:t xml:space="preserve"> </w:t>
      </w:r>
      <w:r>
        <w:t xml:space="preserve">– The system must not include therapeutic interventions, diagnostics, or advice on mental or physical health conditions. It should not provide legal, financial or medical advice, nor attempt to replace professional services.</w:t>
      </w:r>
    </w:p>
    <w:p>
      <w:pPr>
        <w:pStyle w:val="Compact"/>
        <w:numPr>
          <w:ilvl w:val="0"/>
          <w:numId w:val="1006"/>
        </w:numPr>
      </w:pPr>
      <w:r>
        <w:rPr>
          <w:b/>
          <w:bCs/>
        </w:rPr>
        <w:t xml:space="preserve">High‑impact decision automation</w:t>
      </w:r>
      <w:r>
        <w:t xml:space="preserve"> </w:t>
      </w:r>
      <w:r>
        <w:t xml:space="preserve">– Avoid any AI recommendations that directly influence medical treatment, legal decisions, financial investments or emergency responses. The AI may suggest reflective actions but must leave decisions to the user and provide a disclaimer.</w:t>
      </w:r>
    </w:p>
    <w:p>
      <w:pPr>
        <w:pStyle w:val="Compact"/>
        <w:numPr>
          <w:ilvl w:val="0"/>
          <w:numId w:val="1006"/>
        </w:numPr>
      </w:pPr>
      <w:r>
        <w:rPr>
          <w:b/>
          <w:bCs/>
        </w:rPr>
        <w:t xml:space="preserve">Automatic scheduling or life‑altering actions</w:t>
      </w:r>
      <w:r>
        <w:t xml:space="preserve"> </w:t>
      </w:r>
      <w:r>
        <w:t xml:space="preserve">– Do not let the system automatically schedule events or modify user calendars without explicit consent; the user should always approve these actions.</w:t>
      </w:r>
    </w:p>
    <w:p>
      <w:pPr>
        <w:pStyle w:val="Compact"/>
        <w:numPr>
          <w:ilvl w:val="0"/>
          <w:numId w:val="1006"/>
        </w:numPr>
      </w:pPr>
      <w:r>
        <w:rPr>
          <w:b/>
          <w:bCs/>
        </w:rPr>
        <w:t xml:space="preserve">Data sharing with third parties</w:t>
      </w:r>
      <w:r>
        <w:t xml:space="preserve"> </w:t>
      </w:r>
      <w:r>
        <w:t xml:space="preserve">– Do not implement third‑party integrations or data sharing until robust privacy protections and user consents are defined.</w:t>
      </w:r>
    </w:p>
    <w:p>
      <w:pPr>
        <w:pStyle w:val="Compact"/>
        <w:numPr>
          <w:ilvl w:val="0"/>
          <w:numId w:val="1006"/>
        </w:numPr>
      </w:pPr>
      <w:r>
        <w:rPr>
          <w:b/>
          <w:bCs/>
        </w:rPr>
        <w:t xml:space="preserve">User‑profiling or targeted nudging</w:t>
      </w:r>
      <w:r>
        <w:t xml:space="preserve"> </w:t>
      </w:r>
      <w:r>
        <w:t xml:space="preserve">– Avoid implementing features that profile users for targeted behaviour modification or marketing. Nudges should be transparent and value‑aligned, not manipulative.</w:t>
      </w:r>
    </w:p>
    <w:p>
      <w:pPr>
        <w:pStyle w:val="Compact"/>
        <w:numPr>
          <w:ilvl w:val="0"/>
          <w:numId w:val="1006"/>
        </w:numPr>
      </w:pPr>
      <w:r>
        <w:rPr>
          <w:b/>
          <w:bCs/>
        </w:rPr>
        <w:t xml:space="preserve">Emotionally intense interventions without safeguards</w:t>
      </w:r>
      <w:r>
        <w:t xml:space="preserve"> </w:t>
      </w:r>
      <w:r>
        <w:t xml:space="preserve">– Do not deploy modules that require users to recall traumatic events or engage in deep emotional exploration without providing clear warnings, the option to skip, and links to support services.</w:t>
      </w:r>
    </w:p>
    <w:bookmarkEnd w:id="61"/>
    <w:bookmarkStart w:id="62" w:name="conclusion"/>
    <w:p>
      <w:pPr>
        <w:pStyle w:val="Heading2"/>
      </w:pPr>
      <w:r>
        <w:t xml:space="preserve">Conclusion</w:t>
      </w:r>
    </w:p>
    <w:p>
      <w:pPr>
        <w:pStyle w:val="FirstParagraph"/>
      </w:pPr>
      <w:r>
        <w:t xml:space="preserve">This research plan outlines the evidence areas, sources, questions and product implications necessary to ensure BecomingOS is an accurate, safe, educational and user‑centred system. By investigating behaviour change frameworks, motivation theories, values and identity work, adult learning principles, question design, wording style, AI interpretation and safety guidelines, the team will be prepared to refine the module structure and design before software development begins. The recommended changes and decisions ensure that the system aligns with best practices, protects users and maintains a clear scope as an educational self‑discovery tool rather than a substitute for professional services.</w:t>
      </w:r>
    </w:p>
    <w:bookmarkEnd w:id="62"/>
    <w:bookmarkEnd w:id="63"/>
    <w:bookmarkEnd w:id="64"/>
    <w:p>
      <w:r>
        <w:pict>
          <v:rect style="width:0;height:1.5pt" o:hralign="center" o:hrstd="t" o:hr="t"/>
        </w:pict>
      </w:r>
    </w:p>
    <w:bookmarkStart w:id="86" w:name="citations"/>
    <w:p>
      <w:pPr>
        <w:pStyle w:val="FirstParagraph"/>
      </w:pPr>
      <w:hyperlink r:id="rId22">
        <w:r>
          <w:rPr>
            <w:rStyle w:val="Hyperlink"/>
          </w:rPr>
          <w:t xml:space="preserve">[1]</w:t>
        </w:r>
      </w:hyperlink>
      <w:r>
        <w:t xml:space="preserve"> </w:t>
      </w:r>
      <w:hyperlink r:id="rId52">
        <w:r>
          <w:rPr>
            <w:rStyle w:val="Hyperlink"/>
          </w:rPr>
          <w:t xml:space="preserve">[29]</w:t>
        </w:r>
      </w:hyperlink>
      <w:r>
        <w:t xml:space="preserve"> </w:t>
      </w:r>
      <w:r>
        <w:t xml:space="preserve"> </w:t>
      </w:r>
      <w:r>
        <w:t xml:space="preserve">The behaviour change wheel: A new method for characterising and designing behaviour change interventions - PMC</w:t>
      </w:r>
      <w:r>
        <w:t xml:space="preserve"> </w:t>
      </w:r>
    </w:p>
    <w:p>
      <w:pPr>
        <w:pStyle w:val="BodyText"/>
      </w:pPr>
      <w:hyperlink r:id="rId65">
        <w:r>
          <w:rPr>
            <w:rStyle w:val="Hyperlink"/>
          </w:rPr>
          <w:t xml:space="preserve">https://pmc.ncbi.nlm.nih.gov/articles/PMC3096582/</w:t>
        </w:r>
      </w:hyperlink>
    </w:p>
    <w:p>
      <w:pPr>
        <w:pStyle w:val="BodyText"/>
      </w:pPr>
      <w:hyperlink r:id="rId23">
        <w:r>
          <w:rPr>
            <w:rStyle w:val="Hyperlink"/>
          </w:rPr>
          <w:t xml:space="preserve">[2]</w:t>
        </w:r>
      </w:hyperlink>
      <w:r>
        <w:t xml:space="preserve"> </w:t>
      </w:r>
      <w:r>
        <w:t xml:space="preserve">Microsoft Word - goal_intent_attain.doc</w:t>
      </w:r>
    </w:p>
    <w:p>
      <w:pPr>
        <w:pStyle w:val="BodyText"/>
      </w:pPr>
      <w:hyperlink r:id="rId66">
        <w:r>
          <w:rPr>
            <w:rStyle w:val="Hyperlink"/>
          </w:rPr>
          <w:t xml:space="preserve">https://cancercontrol.cancer.gov/sites/default/files/2020-06/goal_intent_attain.pdf</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47">
        <w:r>
          <w:rPr>
            <w:rStyle w:val="Hyperlink"/>
          </w:rPr>
          <w:t xml:space="preserve">[25]</w:t>
        </w:r>
      </w:hyperlink>
      <w:r>
        <w:t xml:space="preserve"> </w:t>
      </w:r>
      <w:r>
        <w:t xml:space="preserve"> </w:t>
      </w:r>
      <w:r>
        <w:t xml:space="preserve">Making health habitual: the psychology of ‘habit-formation’ and general practice - PMC</w:t>
      </w:r>
      <w:r>
        <w:t xml:space="preserve"> </w:t>
      </w:r>
    </w:p>
    <w:p>
      <w:pPr>
        <w:pStyle w:val="BodyText"/>
      </w:pPr>
      <w:hyperlink r:id="rId67">
        <w:r>
          <w:rPr>
            <w:rStyle w:val="Hyperlink"/>
          </w:rPr>
          <w:t xml:space="preserve">https://pmc.ncbi.nlm.nih.gov/articles/PMC3505409/</w:t>
        </w:r>
      </w:hyperlink>
    </w:p>
    <w:p>
      <w:pPr>
        <w:pStyle w:val="BodyText"/>
      </w:pPr>
      <w:hyperlink r:id="rId26">
        <w:r>
          <w:rPr>
            <w:rStyle w:val="Hyperlink"/>
          </w:rPr>
          <w:t xml:space="preserve">[5]</w:t>
        </w:r>
      </w:hyperlink>
      <w:r>
        <w:t xml:space="preserve"> </w:t>
      </w:r>
      <w:r>
        <w:t xml:space="preserve"> </w:t>
      </w:r>
      <w:r>
        <w:t xml:space="preserve">Habit and Identity: Behavioral, Cognitive, Affective, and Motivational Facets of an Integrated Self - PMC</w:t>
      </w:r>
      <w:r>
        <w:t xml:space="preserve"> </w:t>
      </w:r>
    </w:p>
    <w:p>
      <w:pPr>
        <w:pStyle w:val="BodyText"/>
      </w:pPr>
      <w:hyperlink r:id="rId68">
        <w:r>
          <w:rPr>
            <w:rStyle w:val="Hyperlink"/>
          </w:rPr>
          <w:t xml:space="preserve">https://pmc.ncbi.nlm.nih.gov/articles/PMC6635880/</w:t>
        </w:r>
      </w:hyperlink>
    </w:p>
    <w:p>
      <w:pPr>
        <w:pStyle w:val="BodyText"/>
      </w:pPr>
      <w:hyperlink r:id="rId27">
        <w:r>
          <w:rPr>
            <w:rStyle w:val="Hyperlink"/>
          </w:rPr>
          <w:t xml:space="preserve">[6]</w:t>
        </w:r>
      </w:hyperlink>
      <w:r>
        <w:t xml:space="preserve"> </w:t>
      </w:r>
      <w:r>
        <w:t xml:space="preserve">Locke’s Goal-Setting Theory</w:t>
      </w:r>
    </w:p>
    <w:p>
      <w:pPr>
        <w:pStyle w:val="BodyText"/>
      </w:pPr>
      <w:hyperlink r:id="rId69">
        <w:r>
          <w:rPr>
            <w:rStyle w:val="Hyperlink"/>
          </w:rPr>
          <w:t xml:space="preserve">https://www.mindtools.com/azazlu3/lockes-goal-setting-theory/</w:t>
        </w:r>
      </w:hyperlink>
    </w:p>
    <w:p>
      <w:pPr>
        <w:pStyle w:val="BodyText"/>
      </w:pPr>
      <w:hyperlink r:id="rId28">
        <w:r>
          <w:rPr>
            <w:rStyle w:val="Hyperlink"/>
          </w:rPr>
          <w:t xml:space="preserve">[7]</w:t>
        </w:r>
      </w:hyperlink>
      <w:r>
        <w:t xml:space="preserve"> </w:t>
      </w:r>
      <w:r>
        <w:t xml:space="preserve">0080.tif</w:t>
      </w:r>
    </w:p>
    <w:p>
      <w:pPr>
        <w:pStyle w:val="BodyText"/>
      </w:pPr>
      <w:hyperlink r:id="rId70">
        <w:r>
          <w:rPr>
            <w:rStyle w:val="Hyperlink"/>
          </w:rPr>
          <w:t xml:space="preserve">https://selfdeterminationtheory.org/SDT/documents/2000_RyanDeci_SDT.pdf</w:t>
        </w:r>
      </w:hyperlink>
    </w:p>
    <w:p>
      <w:pPr>
        <w:pStyle w:val="BodyText"/>
      </w:pPr>
      <w:hyperlink r:id="rId29">
        <w:r>
          <w:rPr>
            <w:rStyle w:val="Hyperlink"/>
          </w:rPr>
          <w:t xml:space="preserve">[8]</w:t>
        </w:r>
      </w:hyperlink>
      <w:r>
        <w:t xml:space="preserve"> </w:t>
      </w:r>
      <w:r>
        <w:t xml:space="preserve">Robbins' Six Needs</w:t>
      </w:r>
    </w:p>
    <w:p>
      <w:pPr>
        <w:pStyle w:val="BodyText"/>
      </w:pPr>
      <w:hyperlink r:id="rId71">
        <w:r>
          <w:rPr>
            <w:rStyle w:val="Hyperlink"/>
          </w:rPr>
          <w:t xml:space="preserve">https://changingminds.org/explanations/needs/robbins_needs.htm</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48">
        <w:r>
          <w:rPr>
            <w:rStyle w:val="Hyperlink"/>
          </w:rPr>
          <w:t xml:space="preserve">[26]</w:t>
        </w:r>
      </w:hyperlink>
      <w:r>
        <w:t xml:space="preserve"> </w:t>
      </w:r>
      <w:hyperlink r:id="rId53">
        <w:r>
          <w:rPr>
            <w:rStyle w:val="Hyperlink"/>
          </w:rPr>
          <w:t xml:space="preserve">[30]</w:t>
        </w:r>
      </w:hyperlink>
      <w:r>
        <w:t xml:space="preserve"> </w:t>
      </w:r>
      <w:r>
        <w:t xml:space="preserve"> </w:t>
      </w:r>
      <w:r>
        <w:t xml:space="preserve">Working With Values: An Overview of Approaches and Considerations in Implementation - PMC</w:t>
      </w:r>
      <w:r>
        <w:t xml:space="preserve"> </w:t>
      </w:r>
    </w:p>
    <w:p>
      <w:pPr>
        <w:pStyle w:val="BodyText"/>
      </w:pPr>
      <w:hyperlink r:id="rId72">
        <w:r>
          <w:rPr>
            <w:rStyle w:val="Hyperlink"/>
          </w:rPr>
          <w:t xml:space="preserve">https://pmc.ncbi.nlm.nih.gov/articles/PMC8854463/</w:t>
        </w:r>
      </w:hyperlink>
    </w:p>
    <w:p>
      <w:pPr>
        <w:pStyle w:val="BodyText"/>
      </w:pPr>
      <w:hyperlink r:id="rId32">
        <w:r>
          <w:rPr>
            <w:rStyle w:val="Hyperlink"/>
          </w:rPr>
          <w:t xml:space="preserve">[11]</w:t>
        </w:r>
      </w:hyperlink>
      <w:r>
        <w:t xml:space="preserve"> </w:t>
      </w:r>
      <w:r>
        <w:t xml:space="preserve"> </w:t>
      </w:r>
      <w:r>
        <w:t xml:space="preserve">Feeling connected but dissimilar to one’s future self reduces the intention-behavior gap - PMC</w:t>
      </w:r>
      <w:r>
        <w:t xml:space="preserve"> </w:t>
      </w:r>
    </w:p>
    <w:p>
      <w:pPr>
        <w:pStyle w:val="BodyText"/>
      </w:pPr>
      <w:hyperlink r:id="rId73">
        <w:r>
          <w:rPr>
            <w:rStyle w:val="Hyperlink"/>
          </w:rPr>
          <w:t xml:space="preserve">https://pmc.ncbi.nlm.nih.gov/articles/PMC11265703/</w:t>
        </w:r>
      </w:hyperlink>
    </w:p>
    <w:p>
      <w:pPr>
        <w:pStyle w:val="BodyText"/>
      </w:pPr>
      <w:hyperlink r:id="rId33">
        <w:r>
          <w:rPr>
            <w:rStyle w:val="Hyperlink"/>
          </w:rPr>
          <w:t xml:space="preserve">[12]</w:t>
        </w:r>
      </w:hyperlink>
      <w:r>
        <w:t xml:space="preserve"> </w:t>
      </w:r>
      <w:r>
        <w:t xml:space="preserve">Adult Learning Principles</w:t>
      </w:r>
    </w:p>
    <w:p>
      <w:pPr>
        <w:pStyle w:val="BodyText"/>
      </w:pPr>
      <w:hyperlink r:id="rId74">
        <w:r>
          <w:rPr>
            <w:rStyle w:val="Hyperlink"/>
          </w:rPr>
          <w:t xml:space="preserve">https://www.cdc.gov/training-development/media/pdfs/2024/04/adult-learning-principles.pdf</w:t>
        </w:r>
      </w:hyperlink>
    </w:p>
    <w:p>
      <w:pPr>
        <w:pStyle w:val="BodyText"/>
      </w:pPr>
      <w:hyperlink r:id="rId34">
        <w:r>
          <w:rPr>
            <w:rStyle w:val="Hyperlink"/>
          </w:rPr>
          <w:t xml:space="preserve">[13]</w:t>
        </w:r>
      </w:hyperlink>
      <w:r>
        <w:t xml:space="preserve"> </w:t>
      </w:r>
      <w:r>
        <w:t xml:space="preserve">Microlearning and its Effectiveness in Modern Education: A Mini Review</w:t>
      </w:r>
      <w:r>
        <w:t xml:space="preserve"> </w:t>
      </w:r>
      <w:r>
        <w:t xml:space="preserve">| Acta Pedagogia Asiana</w:t>
      </w:r>
      <w:r>
        <w:t xml:space="preserve"> </w:t>
      </w:r>
    </w:p>
    <w:p>
      <w:pPr>
        <w:pStyle w:val="BodyText"/>
      </w:pPr>
      <w:hyperlink r:id="rId75">
        <w:r>
          <w:rPr>
            <w:rStyle w:val="Hyperlink"/>
          </w:rPr>
          <w:t xml:space="preserve">https://tecnoscientifica.com/journal/apga/article/view/496</w:t>
        </w:r>
      </w:hyperlink>
    </w:p>
    <w:p>
      <w:pPr>
        <w:pStyle w:val="BodyText"/>
      </w:pPr>
      <w:hyperlink r:id="rId35">
        <w:r>
          <w:rPr>
            <w:rStyle w:val="Hyperlink"/>
          </w:rPr>
          <w:t xml:space="preserve">[14]</w:t>
        </w:r>
      </w:hyperlink>
      <w:r>
        <w:t xml:space="preserve"> </w:t>
      </w:r>
      <w:hyperlink r:id="rId50">
        <w:r>
          <w:rPr>
            <w:rStyle w:val="Hyperlink"/>
          </w:rPr>
          <w:t xml:space="preserve">[28]</w:t>
        </w:r>
      </w:hyperlink>
      <w:r>
        <w:t xml:space="preserve"> </w:t>
      </w:r>
      <w:r>
        <w:t xml:space="preserve">EJ1320679.pdf</w:t>
      </w:r>
    </w:p>
    <w:p>
      <w:pPr>
        <w:pStyle w:val="BodyText"/>
      </w:pPr>
      <w:hyperlink r:id="rId76">
        <w:r>
          <w:rPr>
            <w:rStyle w:val="Hyperlink"/>
          </w:rPr>
          <w:t xml:space="preserve">https://files.eric.ed.gov/fulltext/EJ1320679.pdf</w:t>
        </w:r>
      </w:hyperlink>
    </w:p>
    <w:p>
      <w:pPr>
        <w:pStyle w:val="BodyText"/>
      </w:pPr>
      <w:hyperlink r:id="rId36">
        <w:r>
          <w:rPr>
            <w:rStyle w:val="Hyperlink"/>
          </w:rPr>
          <w:t xml:space="preserve">[15]</w:t>
        </w:r>
      </w:hyperlink>
      <w:r>
        <w:t xml:space="preserve"> </w:t>
      </w:r>
      <w:r>
        <w:t xml:space="preserve">Comparing Forced-Choice and Select-All Online Survey Responses | Pew Research Center</w:t>
      </w:r>
    </w:p>
    <w:p>
      <w:pPr>
        <w:pStyle w:val="BodyText"/>
      </w:pPr>
      <w:hyperlink r:id="rId77">
        <w:r>
          <w:rPr>
            <w:rStyle w:val="Hyperlink"/>
          </w:rPr>
          <w:t xml:space="preserve">https://www.pewresearch.org/methods/2019/05/09/when-online-survey-respondents-only-select-some-that-apply/</w:t>
        </w:r>
      </w:hyperlink>
    </w:p>
    <w:p>
      <w:pPr>
        <w:pStyle w:val="BodyText"/>
      </w:pPr>
      <w:hyperlink r:id="rId37">
        <w:r>
          <w:rPr>
            <w:rStyle w:val="Hyperlink"/>
          </w:rPr>
          <w:t xml:space="preserve">[16]</w:t>
        </w:r>
      </w:hyperlink>
      <w:r>
        <w:t xml:space="preserve"> </w:t>
      </w:r>
      <w:r>
        <w:t xml:space="preserve">Rating vs. Ranking: Which Question Type is Best?- Qualtrics</w:t>
      </w:r>
    </w:p>
    <w:p>
      <w:pPr>
        <w:pStyle w:val="BodyText"/>
      </w:pPr>
      <w:hyperlink r:id="rId78">
        <w:r>
          <w:rPr>
            <w:rStyle w:val="Hyperlink"/>
          </w:rPr>
          <w:t xml:space="preserve">https://www.qualtrics.com/articles/strategy-research/rating-or-ranking-choosing-the-best-question-type-for-your-data/</w:t>
        </w:r>
      </w:hyperlink>
    </w:p>
    <w:p>
      <w:pPr>
        <w:pStyle w:val="BodyText"/>
      </w:pPr>
      <w:hyperlink r:id="rId38">
        <w:r>
          <w:rPr>
            <w:rStyle w:val="Hyperlink"/>
          </w:rPr>
          <w:t xml:space="preserve">[17]</w:t>
        </w:r>
      </w:hyperlink>
      <w:r>
        <w:t xml:space="preserve"> </w:t>
      </w:r>
      <w:r>
        <w:t xml:space="preserve"> </w:t>
      </w:r>
      <w:r>
        <w:t xml:space="preserve">Emotional Risks to Respondents in Survey Research: Some Empirical Evidence - PMC</w:t>
      </w:r>
      <w:r>
        <w:t xml:space="preserve"> </w:t>
      </w:r>
    </w:p>
    <w:p>
      <w:pPr>
        <w:pStyle w:val="BodyText"/>
      </w:pPr>
      <w:hyperlink r:id="rId79">
        <w:r>
          <w:rPr>
            <w:rStyle w:val="Hyperlink"/>
          </w:rPr>
          <w:t xml:space="preserve">https://pmc.ncbi.nlm.nih.gov/articles/PMC3996452/</w:t>
        </w:r>
      </w:hyperlink>
    </w:p>
    <w:p>
      <w:pPr>
        <w:pStyle w:val="BodyText"/>
      </w:pPr>
      <w:hyperlink r:id="rId39">
        <w:r>
          <w:rPr>
            <w:rStyle w:val="Hyperlink"/>
          </w:rPr>
          <w:t xml:space="preserve">[18]</w:t>
        </w:r>
      </w:hyperlink>
      <w:r>
        <w:t xml:space="preserve"> </w:t>
      </w:r>
      <w:hyperlink r:id="rId39">
        <w:r>
          <w:rPr>
            <w:rStyle w:val="Hyperlink"/>
          </w:rPr>
          <w:t xml:space="preserve">[31]</w:t>
        </w:r>
      </w:hyperlink>
      <w:r>
        <w:t xml:space="preserve"> </w:t>
      </w:r>
      <w:hyperlink r:id="rId54">
        <w:r>
          <w:rPr>
            <w:rStyle w:val="Hyperlink"/>
          </w:rPr>
          <w:t xml:space="preserve">[32]</w:t>
        </w:r>
      </w:hyperlink>
      <w:r>
        <w:t xml:space="preserve"> </w:t>
      </w:r>
      <w:r>
        <w:t xml:space="preserve">13. Wording and expression - Accessibility Standards Canada</w:t>
      </w:r>
    </w:p>
    <w:p>
      <w:pPr>
        <w:pStyle w:val="BodyText"/>
      </w:pPr>
      <w:hyperlink r:id="rId80">
        <w:r>
          <w:rPr>
            <w:rStyle w:val="Hyperlink"/>
          </w:rPr>
          <w:t xml:space="preserve">https://accessible.canada.ca/creating-accessibility-standards/can-asc-312025-plain-language/13-wording-and-expression</w:t>
        </w:r>
      </w:hyperlink>
    </w:p>
    <w:p>
      <w:pPr>
        <w:pStyle w:val="BodyText"/>
      </w:pPr>
      <w:hyperlink r:id="rId40">
        <w:r>
          <w:rPr>
            <w:rStyle w:val="Hyperlink"/>
          </w:rPr>
          <w:t xml:space="preserve">[19]</w:t>
        </w:r>
      </w:hyperlink>
      <w:r>
        <w:t xml:space="preserve"> </w:t>
      </w:r>
      <w:r>
        <w:t xml:space="preserve">motivational-interviewing-the-basics-oars.pdf</w:t>
      </w:r>
    </w:p>
    <w:p>
      <w:pPr>
        <w:pStyle w:val="BodyText"/>
      </w:pPr>
      <w:hyperlink r:id="rId40">
        <w:r>
          <w:rPr>
            <w:rStyle w:val="Hyperlink"/>
          </w:rPr>
          <w:t xml:space="preserve">https://iod.unh.edu/sites/default/files/media/2021-10/motivational-interviewing-the-basics-oars.pdf</w:t>
        </w:r>
      </w:hyperlink>
    </w:p>
    <w:p>
      <w:pPr>
        <w:pStyle w:val="BodyText"/>
      </w:pPr>
      <w:hyperlink r:id="rId41">
        <w:r>
          <w:rPr>
            <w:rStyle w:val="Hyperlink"/>
          </w:rPr>
          <w:t xml:space="preserve">[20]</w:t>
        </w:r>
      </w:hyperlink>
      <w:r>
        <w:t xml:space="preserve"> </w:t>
      </w:r>
      <w:r>
        <w:t xml:space="preserve">Frontiers | Beyond words: the relevance of autonomy-supportive language in university syllabi</w:t>
      </w:r>
    </w:p>
    <w:p>
      <w:pPr>
        <w:pStyle w:val="BodyText"/>
      </w:pPr>
      <w:hyperlink r:id="rId81">
        <w:r>
          <w:rPr>
            <w:rStyle w:val="Hyperlink"/>
          </w:rPr>
          <w:t xml:space="preserve">https://www.frontiersin.org/journals/psychology/articles/10.3389/fpsyg.2025.1536821/full</w:t>
        </w:r>
      </w:hyperlink>
    </w:p>
    <w:p>
      <w:pPr>
        <w:pStyle w:val="BodyText"/>
      </w:pPr>
      <w:hyperlink r:id="rId42">
        <w:r>
          <w:rPr>
            <w:rStyle w:val="Hyperlink"/>
          </w:rPr>
          <w:t xml:space="preserve">[21]</w:t>
        </w:r>
      </w:hyperlink>
      <w:r>
        <w:t xml:space="preserve"> </w:t>
      </w:r>
      <w:r>
        <w:t xml:space="preserve">Microsoft PowerPoint - WPSP Webinar Aug 14_Teach Back.pptx</w:t>
      </w:r>
    </w:p>
    <w:p>
      <w:pPr>
        <w:pStyle w:val="BodyText"/>
      </w:pPr>
      <w:hyperlink r:id="rId82">
        <w:r>
          <w:rPr>
            <w:rStyle w:val="Hyperlink"/>
          </w:rPr>
          <w:t xml:space="preserve">https://www.qualityhealth.org/downloads/wpsc/WPSC-2013-08-14-Health-Literacy-Part-1.pdf</w:t>
        </w:r>
      </w:hyperlink>
    </w:p>
    <w:p>
      <w:pPr>
        <w:pStyle w:val="BodyText"/>
      </w:pPr>
      <w:hyperlink r:id="rId43">
        <w:r>
          <w:rPr>
            <w:rStyle w:val="Hyperlink"/>
          </w:rPr>
          <w:t xml:space="preserve">[22]</w:t>
        </w:r>
      </w:hyperlink>
      <w:r>
        <w:t xml:space="preserve"> </w:t>
      </w:r>
      <w:r>
        <w:t xml:space="preserve">Guide to Evaluation Perspectives on AI Safety (Version 1.00)</w:t>
      </w:r>
    </w:p>
    <w:p>
      <w:pPr>
        <w:pStyle w:val="BodyText"/>
      </w:pPr>
      <w:hyperlink r:id="rId83">
        <w:r>
          <w:rPr>
            <w:rStyle w:val="Hyperlink"/>
          </w:rPr>
          <w:t xml:space="preserve">https://aisi.go.jp/assets/pdf/ai_safety_eval_v1.00_en.pdf</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4">
        <w:r>
          <w:rPr>
            <w:rStyle w:val="Hyperlink"/>
          </w:rPr>
          <w:t xml:space="preserve">[33]</w:t>
        </w:r>
      </w:hyperlink>
      <w:r>
        <w:t xml:space="preserve"> </w:t>
      </w:r>
      <w:hyperlink r:id="rId55">
        <w:r>
          <w:rPr>
            <w:rStyle w:val="Hyperlink"/>
          </w:rPr>
          <w:t xml:space="preserve">[34]</w:t>
        </w:r>
      </w:hyperlink>
      <w:r>
        <w:t xml:space="preserve"> </w:t>
      </w:r>
      <w:r>
        <w:t xml:space="preserve"> </w:t>
      </w:r>
      <w:r>
        <w:t xml:space="preserve">Ethical and Safety Concerns Regarding the Use of Mental Health–Related Apps in Counseling: Considerations for Counselors - PMC</w:t>
      </w:r>
      <w:r>
        <w:t xml:space="preserve"> </w:t>
      </w:r>
    </w:p>
    <w:p>
      <w:pPr>
        <w:pStyle w:val="BodyText"/>
      </w:pPr>
      <w:hyperlink r:id="rId84">
        <w:r>
          <w:rPr>
            <w:rStyle w:val="Hyperlink"/>
          </w:rPr>
          <w:t xml:space="preserve">https://pmc.ncbi.nlm.nih.gov/articles/PMC7457894/</w:t>
        </w:r>
      </w:hyperlink>
    </w:p>
    <w:p>
      <w:pPr>
        <w:pStyle w:val="BodyText"/>
      </w:pPr>
      <w:hyperlink r:id="rId49">
        <w:r>
          <w:rPr>
            <w:rStyle w:val="Hyperlink"/>
          </w:rPr>
          <w:t xml:space="preserve">[27]</w:t>
        </w:r>
      </w:hyperlink>
      <w:r>
        <w:t xml:space="preserve"> </w:t>
      </w:r>
      <w:r>
        <w:t xml:space="preserve">The Six Principles of Andragogy (Malcolm Knowles)</w:t>
      </w:r>
    </w:p>
    <w:p>
      <w:pPr>
        <w:pStyle w:val="BodyText"/>
      </w:pPr>
      <w:hyperlink r:id="rId85">
        <w:r>
          <w:rPr>
            <w:rStyle w:val="Hyperlink"/>
          </w:rPr>
          <w:t xml:space="preserve">https://helpfulprofessor.com/principles-of-andragogy/</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accessible.canada.ca/creating-accessibility-standards/can-asc-312025-plain-language/13-wording-and-expression" TargetMode="External" /><Relationship Type="http://schemas.openxmlformats.org/officeDocument/2006/relationships/hyperlink" Id="rId54" Target="https://accessible.canada.ca/creating-accessibility-standards/can-asc-312025-plain-language/13-wording-and-expression#:~:text=6" TargetMode="External" /><Relationship Type="http://schemas.openxmlformats.org/officeDocument/2006/relationships/hyperlink" Id="rId39" Target="https://accessible.canada.ca/creating-accessibility-standards/can-asc-312025-plain-language/13-wording-and-expression#:~:text=This%20Standard%20uses%20the%20following," TargetMode="External" /><Relationship Type="http://schemas.openxmlformats.org/officeDocument/2006/relationships/hyperlink" Id="rId83" Target="https://aisi.go.jp/assets/pdf/ai_safety_eval_v1.00_en.pdf" TargetMode="External" /><Relationship Type="http://schemas.openxmlformats.org/officeDocument/2006/relationships/hyperlink" Id="rId43" Target="https://aisi.go.jp/assets/pdf/ai_safety_eval_v1.00_en.pdf#:~:text=AI%20Safety%20State%20that%20maintained,Introducing%20the%20AI%20Safety%20Institute" TargetMode="External" /><Relationship Type="http://schemas.openxmlformats.org/officeDocument/2006/relationships/hyperlink" Id="rId66" Target="https://cancercontrol.cancer.gov/sites/default/files/2020-06/goal_intent_attain.pdf" TargetMode="External" /><Relationship Type="http://schemas.openxmlformats.org/officeDocument/2006/relationships/hyperlink" Id="rId23" Target="https://cancercontrol.cancer.gov/sites/default/files/2020-06/goal_intent_attain.pdf#:~:text=Gollwitzer%2C%202006%29%20are%20if,Implementation%20intention" TargetMode="External" /><Relationship Type="http://schemas.openxmlformats.org/officeDocument/2006/relationships/hyperlink" Id="rId71" Target="https://changingminds.org/explanations/needs/robbins_needs.htm" TargetMode="External" /><Relationship Type="http://schemas.openxmlformats.org/officeDocument/2006/relationships/hyperlink" Id="rId29" Target="https://changingminds.org/explanations/needs/robbins_needs.htm#:~:text=Certainty" TargetMode="External" /><Relationship Type="http://schemas.openxmlformats.org/officeDocument/2006/relationships/hyperlink" Id="rId76" Target="https://files.eric.ed.gov/fulltext/EJ1320679.pdf" TargetMode="External" /><Relationship Type="http://schemas.openxmlformats.org/officeDocument/2006/relationships/hyperlink" Id="rId50" Target="https://files.eric.ed.gov/fulltext/EJ1320679.pdf#:~:text=for%20discussion,time%20commitment%20than%20other%20methods" TargetMode="External" /><Relationship Type="http://schemas.openxmlformats.org/officeDocument/2006/relationships/hyperlink" Id="rId35" Target="https://files.eric.ed.gov/fulltext/EJ1320679.pdf#:~:text=perceptions%20of%20social%20presence,based%20discussions" TargetMode="External" /><Relationship Type="http://schemas.openxmlformats.org/officeDocument/2006/relationships/hyperlink" Id="rId85" Target="https://helpfulprofessor.com/principles-of-andragogy/" TargetMode="External" /><Relationship Type="http://schemas.openxmlformats.org/officeDocument/2006/relationships/hyperlink" Id="rId49" Target="https://helpfulprofessor.com/principles-of-andragogy/#:~:text=Andragogy%20is%20the%20art%20and,on%20methods%20for%20teaching%20children" TargetMode="External" /><Relationship Type="http://schemas.openxmlformats.org/officeDocument/2006/relationships/hyperlink" Id="rId40" Target="https://iod.unh.edu/sites/default/files/media/2021-10/motivational-interviewing-the-basics-oars.pdf" TargetMode="External" /><Relationship Type="http://schemas.openxmlformats.org/officeDocument/2006/relationships/hyperlink" Id="rId73" Target="https://pmc.ncbi.nlm.nih.gov/articles/PMC11265703/" TargetMode="External" /><Relationship Type="http://schemas.openxmlformats.org/officeDocument/2006/relationships/hyperlink" Id="rId32" Target="https://pmc.ncbi.nlm.nih.gov/articles/PMC11265703/#:~:text=Future%20self" TargetMode="External" /><Relationship Type="http://schemas.openxmlformats.org/officeDocument/2006/relationships/hyperlink" Id="rId65" Target="https://pmc.ncbi.nlm.nih.gov/articles/PMC3096582/" TargetMode="External" /><Relationship Type="http://schemas.openxmlformats.org/officeDocument/2006/relationships/hyperlink" Id="rId22" Target="https://pmc.ncbi.nlm.nih.gov/articles/PMC3096582/#:~:text=Results" TargetMode="External" /><Relationship Type="http://schemas.openxmlformats.org/officeDocument/2006/relationships/hyperlink" Id="rId52" Target="https://pmc.ncbi.nlm.nih.gov/articles/PMC3096582/#:~:text=Within%20the%20three%20components%20that,Thus%2C%20we%20identified%20six%20components" TargetMode="External" /><Relationship Type="http://schemas.openxmlformats.org/officeDocument/2006/relationships/hyperlink" Id="rId67" Target="https://pmc.ncbi.nlm.nih.gov/articles/PMC3505409/" TargetMode="External" /><Relationship Type="http://schemas.openxmlformats.org/officeDocument/2006/relationships/hyperlink" Id="rId24" Target="https://pmc.ncbi.nlm.nih.gov/articles/PMC3505409/#:~:text=Daily%20ratings%20of%20the%20subjective,for%20example" TargetMode="External" /><Relationship Type="http://schemas.openxmlformats.org/officeDocument/2006/relationships/hyperlink" Id="rId47" Target="https://pmc.ncbi.nlm.nih.gov/articles/PMC3505409/#:~:text=advice%20is%20ultimately%20simple%20%E2%80%94,with%20minimal%20effort%20or%20deliberation" TargetMode="External" /><Relationship Type="http://schemas.openxmlformats.org/officeDocument/2006/relationships/hyperlink" Id="rId25" Target="https://pmc.ncbi.nlm.nih.gov/articles/PMC3505409/#:~:text=context,with%20minimal%20effort%20or%20deliberation" TargetMode="External" /><Relationship Type="http://schemas.openxmlformats.org/officeDocument/2006/relationships/hyperlink" Id="rId79" Target="https://pmc.ncbi.nlm.nih.gov/articles/PMC3996452/" TargetMode="External" /><Relationship Type="http://schemas.openxmlformats.org/officeDocument/2006/relationships/hyperlink" Id="rId38" Target="https://pmc.ncbi.nlm.nih.gov/articles/PMC3996452/#:~:text=Some%20survey%20research%20has%20documented,result%20in%20negative%20moods%20and" TargetMode="External" /><Relationship Type="http://schemas.openxmlformats.org/officeDocument/2006/relationships/hyperlink" Id="rId68" Target="https://pmc.ncbi.nlm.nih.gov/articles/PMC6635880/" TargetMode="External" /><Relationship Type="http://schemas.openxmlformats.org/officeDocument/2006/relationships/hyperlink" Id="rId26" Target="https://pmc.ncbi.nlm.nih.gov/articles/PMC6635880/#:~:text=assessed%20by%20within,behaviors%20and%20may%20thus%20lead" TargetMode="External" /><Relationship Type="http://schemas.openxmlformats.org/officeDocument/2006/relationships/hyperlink" Id="rId84" Target="https://pmc.ncbi.nlm.nih.gov/articles/PMC7457894/" TargetMode="External" /><Relationship Type="http://schemas.openxmlformats.org/officeDocument/2006/relationships/hyperlink" Id="rId45" Target="https://pmc.ncbi.nlm.nih.gov/articles/PMC7457894/#:~:text=A%20common%20problem%20with%20MHapps,share%20data%20with%20third%20parties" TargetMode="External" /><Relationship Type="http://schemas.openxmlformats.org/officeDocument/2006/relationships/hyperlink" Id="rId55" Target="https://pmc.ncbi.nlm.nih.gov/articles/PMC7457894/#:~:text=While%20some%20MHapps%20include%20a,For%20example" TargetMode="External" /><Relationship Type="http://schemas.openxmlformats.org/officeDocument/2006/relationships/hyperlink" Id="rId44" Target="https://pmc.ncbi.nlm.nih.gov/articles/PMC7457894/#:~:text=disclaimer%20that%20instructs%20users%20to,numbers%20or%20displayed%20incorrect%20numbers" TargetMode="External" /><Relationship Type="http://schemas.openxmlformats.org/officeDocument/2006/relationships/hyperlink" Id="rId72" Target="https://pmc.ncbi.nlm.nih.gov/articles/PMC8854463/" TargetMode="External" /><Relationship Type="http://schemas.openxmlformats.org/officeDocument/2006/relationships/hyperlink" Id="rId48" Target="https://pmc.ncbi.nlm.nih.gov/articles/PMC8854463/#:~:text=Several%20exercises%20present%20clients%20with,are%20newer%20to%20values%20work" TargetMode="External" /><Relationship Type="http://schemas.openxmlformats.org/officeDocument/2006/relationships/hyperlink" Id="rId31" Target="https://pmc.ncbi.nlm.nih.gov/articles/PMC8854463/#:~:text=connection%20with%20these,sometimes%20described%20as%20middle" TargetMode="External" /><Relationship Type="http://schemas.openxmlformats.org/officeDocument/2006/relationships/hyperlink" Id="rId30" Target="https://pmc.ncbi.nlm.nih.gov/articles/PMC8854463/#:~:text=practices%E2%80%9D%29,2012" TargetMode="External" /><Relationship Type="http://schemas.openxmlformats.org/officeDocument/2006/relationships/hyperlink" Id="rId53" Target="https://pmc.ncbi.nlm.nih.gov/articles/PMC8854463/#:~:text=practices%E2%80%9D%29,action%20is%20defined%20as%20behavior" TargetMode="External" /><Relationship Type="http://schemas.openxmlformats.org/officeDocument/2006/relationships/hyperlink" Id="rId70" Target="https://selfdeterminationtheory.org/SDT/documents/2000_RyanDeci_SDT.pdf" TargetMode="External" /><Relationship Type="http://schemas.openxmlformats.org/officeDocument/2006/relationships/hyperlink" Id="rId28" Target="https://selfdeterminationtheory.org/SDT/documents/2000_RyanDeci_SDT.pdf#:~:text=findings%20have%20led%20to%20the,Also%20considered%20is%20the%20significance" TargetMode="External" /><Relationship Type="http://schemas.openxmlformats.org/officeDocument/2006/relationships/hyperlink" Id="rId75" Target="https://tecnoscientifica.com/journal/apga/article/view/496" TargetMode="External" /><Relationship Type="http://schemas.openxmlformats.org/officeDocument/2006/relationships/hyperlink" Id="rId34" Target="https://tecnoscientifica.com/journal/apga/article/view/496#:~:text=" TargetMode="External" /><Relationship Type="http://schemas.openxmlformats.org/officeDocument/2006/relationships/hyperlink" Id="rId74" Target="https://www.cdc.gov/training-development/media/pdfs/2024/04/adult-learning-principles.pdf" TargetMode="External" /><Relationship Type="http://schemas.openxmlformats.org/officeDocument/2006/relationships/hyperlink" Id="rId33" Target="https://www.cdc.gov/training-development/media/pdfs/2024/04/adult-learning-principles.pdf#:~:text=Principle%20,projects%20that%20reflect%20their%20interests" TargetMode="External" /><Relationship Type="http://schemas.openxmlformats.org/officeDocument/2006/relationships/hyperlink" Id="rId81" Target="https://www.frontiersin.org/journals/psychology/articles/10.3389/fpsyg.2025.1536821/full" TargetMode="External" /><Relationship Type="http://schemas.openxmlformats.org/officeDocument/2006/relationships/hyperlink" Id="rId41" Target="https://www.frontiersin.org/journals/psychology/articles/10.3389/fpsyg.2025.1536821/full#:~:text=and%20encouragement%20of%20decision,see%20Table%201%20for%20examples" TargetMode="External" /><Relationship Type="http://schemas.openxmlformats.org/officeDocument/2006/relationships/hyperlink" Id="rId69" Target="https://www.mindtools.com/azazlu3/lockes-goal-setting-theory/" TargetMode="External" /><Relationship Type="http://schemas.openxmlformats.org/officeDocument/2006/relationships/hyperlink" Id="rId27" Target="https://www.mindtools.com/azazlu3/lockes-goal-setting-theory/#:~:text=According%20to%20Locke%20and%20Latham%2C,improve%20our%20chances%20of%20success" TargetMode="External" /><Relationship Type="http://schemas.openxmlformats.org/officeDocument/2006/relationships/hyperlink" Id="rId77" Target="https://www.pewresearch.org/methods/2019/05/09/when-online-survey-respondents-only-select-some-that-apply/" TargetMode="External" /><Relationship Type="http://schemas.openxmlformats.org/officeDocument/2006/relationships/hyperlink" Id="rId36" Target="https://www.pewresearch.org/methods/2019/05/09/when-online-survey-respondents-only-select-some-that-apply/#:~:text=The%20new%20study%20found%20compelling,questions%20than%20with%20a%20checklist" TargetMode="External" /><Relationship Type="http://schemas.openxmlformats.org/officeDocument/2006/relationships/hyperlink" Id="rId82" Target="https://www.qualityhealth.org/downloads/wpsc/WPSC-2013-08-14-Health-Literacy-Part-1.pdf" TargetMode="External" /><Relationship Type="http://schemas.openxmlformats.org/officeDocument/2006/relationships/hyperlink" Id="rId42" Target="https://www.qualityhealth.org/downloads/wpsc/WPSC-2013-08-14-Health-Literacy-Part-1.pdf#:~:text=Using%20Teach%20Back%20%E2%80%A2%20Explain,you%20should%20call%20the%20doctor%3F%E2%80%9D" TargetMode="External" /><Relationship Type="http://schemas.openxmlformats.org/officeDocument/2006/relationships/hyperlink" Id="rId78" Target="https://www.qualtrics.com/articles/strategy-research/rating-or-ranking-choosing-the-best-question-type-for-your-data/" TargetMode="External" /><Relationship Type="http://schemas.openxmlformats.org/officeDocument/2006/relationships/hyperlink" Id="rId37" Target="https://www.qualtrics.com/articles/strategy-research/rating-or-ranking-choosing-the-best-question-type-for-your-data/#:~:text=Ranking%20scale%20pros%20and%20cons" TargetMode="External" /></Relationships>
</file>

<file path=word/_rels/footnotes.xml.rels><?xml version="1.0" encoding="UTF-8"?><Relationships xmlns="http://schemas.openxmlformats.org/package/2006/relationships"><Relationship Type="http://schemas.openxmlformats.org/officeDocument/2006/relationships/hyperlink" Id="rId80" Target="https://accessible.canada.ca/creating-accessibility-standards/can-asc-312025-plain-language/13-wording-and-expression" TargetMode="External" /><Relationship Type="http://schemas.openxmlformats.org/officeDocument/2006/relationships/hyperlink" Id="rId54" Target="https://accessible.canada.ca/creating-accessibility-standards/can-asc-312025-plain-language/13-wording-and-expression#:~:text=6" TargetMode="External" /><Relationship Type="http://schemas.openxmlformats.org/officeDocument/2006/relationships/hyperlink" Id="rId39" Target="https://accessible.canada.ca/creating-accessibility-standards/can-asc-312025-plain-language/13-wording-and-expression#:~:text=This%20Standard%20uses%20the%20following," TargetMode="External" /><Relationship Type="http://schemas.openxmlformats.org/officeDocument/2006/relationships/hyperlink" Id="rId83" Target="https://aisi.go.jp/assets/pdf/ai_safety_eval_v1.00_en.pdf" TargetMode="External" /><Relationship Type="http://schemas.openxmlformats.org/officeDocument/2006/relationships/hyperlink" Id="rId43" Target="https://aisi.go.jp/assets/pdf/ai_safety_eval_v1.00_en.pdf#:~:text=AI%20Safety%20State%20that%20maintained,Introducing%20the%20AI%20Safety%20Institute" TargetMode="External" /><Relationship Type="http://schemas.openxmlformats.org/officeDocument/2006/relationships/hyperlink" Id="rId66" Target="https://cancercontrol.cancer.gov/sites/default/files/2020-06/goal_intent_attain.pdf" TargetMode="External" /><Relationship Type="http://schemas.openxmlformats.org/officeDocument/2006/relationships/hyperlink" Id="rId23" Target="https://cancercontrol.cancer.gov/sites/default/files/2020-06/goal_intent_attain.pdf#:~:text=Gollwitzer%2C%202006%29%20are%20if,Implementation%20intention" TargetMode="External" /><Relationship Type="http://schemas.openxmlformats.org/officeDocument/2006/relationships/hyperlink" Id="rId71" Target="https://changingminds.org/explanations/needs/robbins_needs.htm" TargetMode="External" /><Relationship Type="http://schemas.openxmlformats.org/officeDocument/2006/relationships/hyperlink" Id="rId29" Target="https://changingminds.org/explanations/needs/robbins_needs.htm#:~:text=Certainty" TargetMode="External" /><Relationship Type="http://schemas.openxmlformats.org/officeDocument/2006/relationships/hyperlink" Id="rId76" Target="https://files.eric.ed.gov/fulltext/EJ1320679.pdf" TargetMode="External" /><Relationship Type="http://schemas.openxmlformats.org/officeDocument/2006/relationships/hyperlink" Id="rId50" Target="https://files.eric.ed.gov/fulltext/EJ1320679.pdf#:~:text=for%20discussion,time%20commitment%20than%20other%20methods" TargetMode="External" /><Relationship Type="http://schemas.openxmlformats.org/officeDocument/2006/relationships/hyperlink" Id="rId35" Target="https://files.eric.ed.gov/fulltext/EJ1320679.pdf#:~:text=perceptions%20of%20social%20presence,based%20discussions" TargetMode="External" /><Relationship Type="http://schemas.openxmlformats.org/officeDocument/2006/relationships/hyperlink" Id="rId85" Target="https://helpfulprofessor.com/principles-of-andragogy/" TargetMode="External" /><Relationship Type="http://schemas.openxmlformats.org/officeDocument/2006/relationships/hyperlink" Id="rId49" Target="https://helpfulprofessor.com/principles-of-andragogy/#:~:text=Andragogy%20is%20the%20art%20and,on%20methods%20for%20teaching%20children" TargetMode="External" /><Relationship Type="http://schemas.openxmlformats.org/officeDocument/2006/relationships/hyperlink" Id="rId40" Target="https://iod.unh.edu/sites/default/files/media/2021-10/motivational-interviewing-the-basics-oars.pdf" TargetMode="External" /><Relationship Type="http://schemas.openxmlformats.org/officeDocument/2006/relationships/hyperlink" Id="rId73" Target="https://pmc.ncbi.nlm.nih.gov/articles/PMC11265703/" TargetMode="External" /><Relationship Type="http://schemas.openxmlformats.org/officeDocument/2006/relationships/hyperlink" Id="rId32" Target="https://pmc.ncbi.nlm.nih.gov/articles/PMC11265703/#:~:text=Future%20self" TargetMode="External" /><Relationship Type="http://schemas.openxmlformats.org/officeDocument/2006/relationships/hyperlink" Id="rId65" Target="https://pmc.ncbi.nlm.nih.gov/articles/PMC3096582/" TargetMode="External" /><Relationship Type="http://schemas.openxmlformats.org/officeDocument/2006/relationships/hyperlink" Id="rId22" Target="https://pmc.ncbi.nlm.nih.gov/articles/PMC3096582/#:~:text=Results" TargetMode="External" /><Relationship Type="http://schemas.openxmlformats.org/officeDocument/2006/relationships/hyperlink" Id="rId52" Target="https://pmc.ncbi.nlm.nih.gov/articles/PMC3096582/#:~:text=Within%20the%20three%20components%20that,Thus%2C%20we%20identified%20six%20components" TargetMode="External" /><Relationship Type="http://schemas.openxmlformats.org/officeDocument/2006/relationships/hyperlink" Id="rId67" Target="https://pmc.ncbi.nlm.nih.gov/articles/PMC3505409/" TargetMode="External" /><Relationship Type="http://schemas.openxmlformats.org/officeDocument/2006/relationships/hyperlink" Id="rId24" Target="https://pmc.ncbi.nlm.nih.gov/articles/PMC3505409/#:~:text=Daily%20ratings%20of%20the%20subjective,for%20example" TargetMode="External" /><Relationship Type="http://schemas.openxmlformats.org/officeDocument/2006/relationships/hyperlink" Id="rId47" Target="https://pmc.ncbi.nlm.nih.gov/articles/PMC3505409/#:~:text=advice%20is%20ultimately%20simple%20%E2%80%94,with%20minimal%20effort%20or%20deliberation" TargetMode="External" /><Relationship Type="http://schemas.openxmlformats.org/officeDocument/2006/relationships/hyperlink" Id="rId25" Target="https://pmc.ncbi.nlm.nih.gov/articles/PMC3505409/#:~:text=context,with%20minimal%20effort%20or%20deliberation" TargetMode="External" /><Relationship Type="http://schemas.openxmlformats.org/officeDocument/2006/relationships/hyperlink" Id="rId79" Target="https://pmc.ncbi.nlm.nih.gov/articles/PMC3996452/" TargetMode="External" /><Relationship Type="http://schemas.openxmlformats.org/officeDocument/2006/relationships/hyperlink" Id="rId38" Target="https://pmc.ncbi.nlm.nih.gov/articles/PMC3996452/#:~:text=Some%20survey%20research%20has%20documented,result%20in%20negative%20moods%20and" TargetMode="External" /><Relationship Type="http://schemas.openxmlformats.org/officeDocument/2006/relationships/hyperlink" Id="rId68" Target="https://pmc.ncbi.nlm.nih.gov/articles/PMC6635880/" TargetMode="External" /><Relationship Type="http://schemas.openxmlformats.org/officeDocument/2006/relationships/hyperlink" Id="rId26" Target="https://pmc.ncbi.nlm.nih.gov/articles/PMC6635880/#:~:text=assessed%20by%20within,behaviors%20and%20may%20thus%20lead" TargetMode="External" /><Relationship Type="http://schemas.openxmlformats.org/officeDocument/2006/relationships/hyperlink" Id="rId84" Target="https://pmc.ncbi.nlm.nih.gov/articles/PMC7457894/" TargetMode="External" /><Relationship Type="http://schemas.openxmlformats.org/officeDocument/2006/relationships/hyperlink" Id="rId45" Target="https://pmc.ncbi.nlm.nih.gov/articles/PMC7457894/#:~:text=A%20common%20problem%20with%20MHapps,share%20data%20with%20third%20parties" TargetMode="External" /><Relationship Type="http://schemas.openxmlformats.org/officeDocument/2006/relationships/hyperlink" Id="rId55" Target="https://pmc.ncbi.nlm.nih.gov/articles/PMC7457894/#:~:text=While%20some%20MHapps%20include%20a,For%20example" TargetMode="External" /><Relationship Type="http://schemas.openxmlformats.org/officeDocument/2006/relationships/hyperlink" Id="rId44" Target="https://pmc.ncbi.nlm.nih.gov/articles/PMC7457894/#:~:text=disclaimer%20that%20instructs%20users%20to,numbers%20or%20displayed%20incorrect%20numbers" TargetMode="External" /><Relationship Type="http://schemas.openxmlformats.org/officeDocument/2006/relationships/hyperlink" Id="rId72" Target="https://pmc.ncbi.nlm.nih.gov/articles/PMC8854463/" TargetMode="External" /><Relationship Type="http://schemas.openxmlformats.org/officeDocument/2006/relationships/hyperlink" Id="rId48" Target="https://pmc.ncbi.nlm.nih.gov/articles/PMC8854463/#:~:text=Several%20exercises%20present%20clients%20with,are%20newer%20to%20values%20work" TargetMode="External" /><Relationship Type="http://schemas.openxmlformats.org/officeDocument/2006/relationships/hyperlink" Id="rId31" Target="https://pmc.ncbi.nlm.nih.gov/articles/PMC8854463/#:~:text=connection%20with%20these,sometimes%20described%20as%20middle" TargetMode="External" /><Relationship Type="http://schemas.openxmlformats.org/officeDocument/2006/relationships/hyperlink" Id="rId30" Target="https://pmc.ncbi.nlm.nih.gov/articles/PMC8854463/#:~:text=practices%E2%80%9D%29,2012" TargetMode="External" /><Relationship Type="http://schemas.openxmlformats.org/officeDocument/2006/relationships/hyperlink" Id="rId53" Target="https://pmc.ncbi.nlm.nih.gov/articles/PMC8854463/#:~:text=practices%E2%80%9D%29,action%20is%20defined%20as%20behavior" TargetMode="External" /><Relationship Type="http://schemas.openxmlformats.org/officeDocument/2006/relationships/hyperlink" Id="rId70" Target="https://selfdeterminationtheory.org/SDT/documents/2000_RyanDeci_SDT.pdf" TargetMode="External" /><Relationship Type="http://schemas.openxmlformats.org/officeDocument/2006/relationships/hyperlink" Id="rId28" Target="https://selfdeterminationtheory.org/SDT/documents/2000_RyanDeci_SDT.pdf#:~:text=findings%20have%20led%20to%20the,Also%20considered%20is%20the%20significance" TargetMode="External" /><Relationship Type="http://schemas.openxmlformats.org/officeDocument/2006/relationships/hyperlink" Id="rId75" Target="https://tecnoscientifica.com/journal/apga/article/view/496" TargetMode="External" /><Relationship Type="http://schemas.openxmlformats.org/officeDocument/2006/relationships/hyperlink" Id="rId34" Target="https://tecnoscientifica.com/journal/apga/article/view/496#:~:text=" TargetMode="External" /><Relationship Type="http://schemas.openxmlformats.org/officeDocument/2006/relationships/hyperlink" Id="rId74" Target="https://www.cdc.gov/training-development/media/pdfs/2024/04/adult-learning-principles.pdf" TargetMode="External" /><Relationship Type="http://schemas.openxmlformats.org/officeDocument/2006/relationships/hyperlink" Id="rId33" Target="https://www.cdc.gov/training-development/media/pdfs/2024/04/adult-learning-principles.pdf#:~:text=Principle%20,projects%20that%20reflect%20their%20interests" TargetMode="External" /><Relationship Type="http://schemas.openxmlformats.org/officeDocument/2006/relationships/hyperlink" Id="rId81" Target="https://www.frontiersin.org/journals/psychology/articles/10.3389/fpsyg.2025.1536821/full" TargetMode="External" /><Relationship Type="http://schemas.openxmlformats.org/officeDocument/2006/relationships/hyperlink" Id="rId41" Target="https://www.frontiersin.org/journals/psychology/articles/10.3389/fpsyg.2025.1536821/full#:~:text=and%20encouragement%20of%20decision,see%20Table%201%20for%20examples" TargetMode="External" /><Relationship Type="http://schemas.openxmlformats.org/officeDocument/2006/relationships/hyperlink" Id="rId69" Target="https://www.mindtools.com/azazlu3/lockes-goal-setting-theory/" TargetMode="External" /><Relationship Type="http://schemas.openxmlformats.org/officeDocument/2006/relationships/hyperlink" Id="rId27" Target="https://www.mindtools.com/azazlu3/lockes-goal-setting-theory/#:~:text=According%20to%20Locke%20and%20Latham%2C,improve%20our%20chances%20of%20success" TargetMode="External" /><Relationship Type="http://schemas.openxmlformats.org/officeDocument/2006/relationships/hyperlink" Id="rId77" Target="https://www.pewresearch.org/methods/2019/05/09/when-online-survey-respondents-only-select-some-that-apply/" TargetMode="External" /><Relationship Type="http://schemas.openxmlformats.org/officeDocument/2006/relationships/hyperlink" Id="rId36" Target="https://www.pewresearch.org/methods/2019/05/09/when-online-survey-respondents-only-select-some-that-apply/#:~:text=The%20new%20study%20found%20compelling,questions%20than%20with%20a%20checklist" TargetMode="External" /><Relationship Type="http://schemas.openxmlformats.org/officeDocument/2006/relationships/hyperlink" Id="rId82" Target="https://www.qualityhealth.org/downloads/wpsc/WPSC-2013-08-14-Health-Literacy-Part-1.pdf" TargetMode="External" /><Relationship Type="http://schemas.openxmlformats.org/officeDocument/2006/relationships/hyperlink" Id="rId42" Target="https://www.qualityhealth.org/downloads/wpsc/WPSC-2013-08-14-Health-Literacy-Part-1.pdf#:~:text=Using%20Teach%20Back%20%E2%80%A2%20Explain,you%20should%20call%20the%20doctor%3F%E2%80%9D" TargetMode="External" /><Relationship Type="http://schemas.openxmlformats.org/officeDocument/2006/relationships/hyperlink" Id="rId78" Target="https://www.qualtrics.com/articles/strategy-research/rating-or-ranking-choosing-the-best-question-type-for-your-data/" TargetMode="External" /><Relationship Type="http://schemas.openxmlformats.org/officeDocument/2006/relationships/hyperlink" Id="rId37" Target="https://www.qualtrics.com/articles/strategy-research/rating-or-ranking-choosing-the-best-question-type-for-your-data/#:~:text=Ranking%20scale%20pros%20and%20c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2026-05-14T11:34:09Z</dcterms:created>
  <dcterms:modified xsi:type="dcterms:W3CDTF">2026-05-14T11:34:09Z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