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gap-analysis"/>
    <w:p>
      <w:pPr>
        <w:pStyle w:val="Heading1"/>
      </w:pPr>
      <w:r>
        <w:t xml:space="preserve">Gap Analysis</w:t>
      </w:r>
    </w:p>
    <w:p>
      <w:pPr>
        <w:pStyle w:val="FirstParagraph"/>
      </w:pPr>
      <w:r>
        <w:t xml:space="preserve">This section identifies gaps in the current BecomingOS plan relative to the research findings. For each gap we explain why it matters, the risk if ignored, how to resolve it, whether it blocks the build, and the next steps or research needed.</w:t>
      </w:r>
    </w:p>
    <w:bookmarkStart w:id="22" w:name="blocker-gaps"/>
    <w:p>
      <w:pPr>
        <w:pStyle w:val="Heading2"/>
      </w:pPr>
      <w:r>
        <w:t xml:space="preserve">Blocker Gaps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Gap</w:t>
            </w:r>
          </w:p>
        </w:tc>
        <w:tc>
          <w:tcPr/>
          <w:p>
            <w:pPr>
              <w:pStyle w:val="Compact"/>
            </w:pPr>
            <w:r>
              <w:t xml:space="preserve">Why it Matters</w:t>
            </w:r>
          </w:p>
        </w:tc>
        <w:tc>
          <w:tcPr/>
          <w:p>
            <w:pPr>
              <w:pStyle w:val="Compact"/>
            </w:pPr>
            <w:r>
              <w:t xml:space="preserve">Risk if Ignored</w:t>
            </w:r>
          </w:p>
        </w:tc>
        <w:tc>
          <w:tcPr/>
          <w:p>
            <w:pPr>
              <w:pStyle w:val="Compact"/>
            </w:pPr>
            <w:r>
              <w:t xml:space="preserve">Resolution</w:t>
            </w:r>
          </w:p>
        </w:tc>
        <w:tc>
          <w:tcPr/>
          <w:p>
            <w:pPr>
              <w:pStyle w:val="Compact"/>
            </w:pPr>
            <w:r>
              <w:t xml:space="preserve">Status</w:t>
            </w:r>
          </w:p>
        </w:tc>
        <w:tc>
          <w:tcPr/>
          <w:p>
            <w:pPr>
              <w:pStyle w:val="Compact"/>
            </w:pPr>
            <w:r>
              <w:t xml:space="preserve">Next Action</w:t>
            </w:r>
          </w:p>
        </w:tc>
        <w:tc>
          <w:tcPr/>
          <w:p>
            <w:pPr>
              <w:pStyle w:val="Compact"/>
            </w:pPr>
            <w:r>
              <w:t xml:space="preserve">Research Task</w:t>
            </w:r>
          </w:p>
        </w:tc>
      </w:tr>
      <w:tr>
        <w:tc>
          <w:tcPr/>
          <w:p>
            <w:pPr>
              <w:pStyle w:val="Compact"/>
            </w:pPr>
            <w:r>
              <w:rPr>
                <w:b/>
                <w:bCs/>
              </w:rPr>
              <w:t xml:space="preserve">Lack of COM‑B integration</w:t>
            </w:r>
          </w:p>
        </w:tc>
        <w:tc>
          <w:tcPr/>
          <w:p>
            <w:pPr>
              <w:pStyle w:val="Compact"/>
            </w:pPr>
            <w:r>
              <w:t xml:space="preserve">COM‑B ensures behaviour change interventions address capability, opportunity and motivation. Without it, modules may over‑emphasise motivation and neglect other factors</w:t>
            </w:r>
            <w:hyperlink r:id="rId21">
              <w:r>
                <w:rPr>
                  <w:rStyle w:val="Hyperlink"/>
                </w:rPr>
                <w:t xml:space="preserve">[1]</w:t>
              </w:r>
            </w:hyperlink>
            <w:r>
              <w:t xml:space="preserve">.</w:t>
            </w:r>
          </w:p>
        </w:tc>
        <w:tc>
          <w:tcPr/>
          <w:p>
            <w:pPr>
              <w:pStyle w:val="Compact"/>
            </w:pPr>
            <w:r>
              <w:t xml:space="preserve">Ineffective behaviour change, user frustration and drop‑off.</w:t>
            </w:r>
          </w:p>
        </w:tc>
        <w:tc>
          <w:tcPr/>
          <w:p>
            <w:pPr>
              <w:pStyle w:val="Compact"/>
            </w:pPr>
            <w:r>
              <w:t xml:space="preserve">Include assessments for capability, opportunity and motivation in each module; design questions and suggestions accordingly.</w:t>
            </w:r>
          </w:p>
        </w:tc>
        <w:tc>
          <w:tcPr/>
          <w:p>
            <w:pPr>
              <w:pStyle w:val="Compact"/>
            </w:pPr>
            <w:r>
              <w:rPr>
                <w:b/>
                <w:bCs/>
              </w:rPr>
              <w:t xml:space="preserve">BLOCKER</w:t>
            </w:r>
          </w:p>
        </w:tc>
        <w:tc>
          <w:tcPr/>
          <w:p>
            <w:pPr>
              <w:pStyle w:val="Compact"/>
            </w:pPr>
            <w:r>
              <w:t xml:space="preserve">Design COM‑B self‑assessment questions and targeted intervention options; test with users.</w:t>
            </w:r>
          </w:p>
        </w:tc>
        <w:tc>
          <w:tcPr/>
          <w:p>
            <w:pPr>
              <w:pStyle w:val="Compact"/>
            </w:pPr>
            <w:r>
              <w:t xml:space="preserve">Review literature on implementing COM‑B in digital interventions; consult behaviour‑change experts.</w:t>
            </w:r>
          </w:p>
        </w:tc>
      </w:tr>
      <w:tr>
        <w:tc>
          <w:tcPr/>
          <w:p>
            <w:pPr>
              <w:pStyle w:val="Compact"/>
            </w:pPr>
            <w:r>
              <w:rPr>
                <w:b/>
                <w:bCs/>
              </w:rPr>
              <w:t xml:space="preserve">Absence of values clarification tools</w:t>
            </w:r>
          </w:p>
        </w:tc>
        <w:tc>
          <w:tcPr/>
          <w:p>
            <w:pPr>
              <w:pStyle w:val="Compact"/>
            </w:pPr>
            <w:r>
              <w:t xml:space="preserve">Values exercises help users articulate what matters, guiding goal selection and behaviour</w:t>
            </w:r>
            <w:hyperlink r:id="rId21">
              <w:r>
                <w:rPr>
                  <w:rStyle w:val="Hyperlink"/>
                </w:rPr>
                <w:t xml:space="preserve">[1]</w:t>
              </w:r>
            </w:hyperlink>
            <w:r>
              <w:t xml:space="preserve">.</w:t>
            </w:r>
          </w:p>
        </w:tc>
        <w:tc>
          <w:tcPr/>
          <w:p>
            <w:pPr>
              <w:pStyle w:val="Compact"/>
            </w:pPr>
            <w:r>
              <w:t xml:space="preserve">Users may set unaligned goals, leading to low engagement and confusion.</w:t>
            </w:r>
          </w:p>
        </w:tc>
        <w:tc>
          <w:tcPr/>
          <w:p>
            <w:pPr>
              <w:pStyle w:val="Compact"/>
            </w:pPr>
            <w:r>
              <w:t xml:space="preserve">Incorporate Valued Living Questionnaire and Bull’s‑Eye Survey; design identity reflection and future‑self continuity prompts.</w:t>
            </w:r>
          </w:p>
        </w:tc>
        <w:tc>
          <w:tcPr/>
          <w:p>
            <w:pPr>
              <w:pStyle w:val="Compact"/>
            </w:pPr>
            <w:r>
              <w:rPr>
                <w:b/>
                <w:bCs/>
              </w:rPr>
              <w:t xml:space="preserve">BLOCKER</w:t>
            </w:r>
          </w:p>
        </w:tc>
        <w:tc>
          <w:tcPr/>
          <w:p>
            <w:pPr>
              <w:pStyle w:val="Compact"/>
            </w:pPr>
            <w:r>
              <w:t xml:space="preserve">Develop values module content and questions; test clarity and emotional intensity.</w:t>
            </w:r>
          </w:p>
        </w:tc>
        <w:tc>
          <w:tcPr/>
          <w:p>
            <w:pPr>
              <w:pStyle w:val="Compact"/>
            </w:pPr>
            <w:r>
              <w:t xml:space="preserve">Investigate best practices for online values clarification exercises; collect validated questions.</w:t>
            </w:r>
          </w:p>
        </w:tc>
      </w:tr>
      <w:tr>
        <w:tc>
          <w:tcPr/>
          <w:p>
            <w:pPr>
              <w:pStyle w:val="Compact"/>
            </w:pPr>
            <w:r>
              <w:rPr>
                <w:b/>
                <w:bCs/>
              </w:rPr>
              <w:t xml:space="preserve">Undefined AI interpretation architecture</w:t>
            </w:r>
          </w:p>
        </w:tc>
        <w:tc>
          <w:tcPr/>
          <w:p>
            <w:pPr>
              <w:pStyle w:val="Compact"/>
            </w:pPr>
            <w:r>
              <w:t xml:space="preserve">Structured AI outputs with confidence scores, citations and confirmation loops are critical for user trust and safety</w:t>
            </w:r>
            <w:hyperlink r:id="rId21">
              <w:r>
                <w:rPr>
                  <w:rStyle w:val="Hyperlink"/>
                </w:rPr>
                <w:t xml:space="preserve">[2]</w:t>
              </w:r>
            </w:hyperlink>
            <w:r>
              <w:t xml:space="preserve">.</w:t>
            </w:r>
          </w:p>
        </w:tc>
        <w:tc>
          <w:tcPr/>
          <w:p>
            <w:pPr>
              <w:pStyle w:val="Compact"/>
            </w:pPr>
            <w:r>
              <w:t xml:space="preserve">Unstructured AI could misrepresent user input, make unsafe inferences or save unconfirmed data.</w:t>
            </w:r>
          </w:p>
        </w:tc>
        <w:tc>
          <w:tcPr/>
          <w:p>
            <w:pPr>
              <w:pStyle w:val="Compact"/>
            </w:pPr>
            <w:r>
              <w:t xml:space="preserve">Define schemas for memories (type, content, sources, confidence, status), implement confirmation/edit/reject flows and deletion logic.</w:t>
            </w:r>
          </w:p>
        </w:tc>
        <w:tc>
          <w:tcPr/>
          <w:p>
            <w:pPr>
              <w:pStyle w:val="Compact"/>
            </w:pPr>
            <w:r>
              <w:rPr>
                <w:b/>
                <w:bCs/>
              </w:rPr>
              <w:t xml:space="preserve">BLOCKER</w:t>
            </w:r>
          </w:p>
        </w:tc>
        <w:tc>
          <w:tcPr/>
          <w:p>
            <w:pPr>
              <w:pStyle w:val="Compact"/>
            </w:pPr>
            <w:r>
              <w:t xml:space="preserve">Design and document the AI interpretation pipeline; prototype schema validation.</w:t>
            </w:r>
          </w:p>
        </w:tc>
        <w:tc>
          <w:tcPr/>
          <w:p>
            <w:pPr>
              <w:pStyle w:val="Compact"/>
            </w:pPr>
            <w:r>
              <w:t xml:space="preserve">Research current LLM summarisation frameworks supporting structured outputs and confidence metrics.</w:t>
            </w:r>
          </w:p>
        </w:tc>
      </w:tr>
      <w:tr>
        <w:tc>
          <w:tcPr/>
          <w:p>
            <w:pPr>
              <w:pStyle w:val="Compact"/>
            </w:pPr>
            <w:r>
              <w:rPr>
                <w:b/>
                <w:bCs/>
              </w:rPr>
              <w:t xml:space="preserve">Lack of safety and emergency wording</w:t>
            </w:r>
          </w:p>
        </w:tc>
        <w:tc>
          <w:tcPr/>
          <w:p>
            <w:pPr>
              <w:pStyle w:val="Compact"/>
            </w:pPr>
            <w:r>
              <w:t xml:space="preserve">Clear boundaries and crisis resources are required to differentiate the product from therapy and comply with ethical guidelines</w:t>
            </w:r>
            <w:hyperlink r:id="rId21">
              <w:r>
                <w:rPr>
                  <w:rStyle w:val="Hyperlink"/>
                </w:rPr>
                <w:t xml:space="preserve">[2]</w:t>
              </w:r>
            </w:hyperlink>
            <w:r>
              <w:t xml:space="preserve">.</w:t>
            </w:r>
          </w:p>
        </w:tc>
        <w:tc>
          <w:tcPr/>
          <w:p>
            <w:pPr>
              <w:pStyle w:val="Compact"/>
            </w:pPr>
            <w:r>
              <w:t xml:space="preserve">Users may misinterpret the app as therapy and may not seek professional help during crises.</w:t>
            </w:r>
          </w:p>
        </w:tc>
        <w:tc>
          <w:tcPr/>
          <w:p>
            <w:pPr>
              <w:pStyle w:val="Compact"/>
            </w:pPr>
            <w:r>
              <w:t xml:space="preserve">Draft and include a disclaimer stating the app is educational, not therapeutic; display emergency contact information contextually.</w:t>
            </w:r>
          </w:p>
        </w:tc>
        <w:tc>
          <w:tcPr/>
          <w:p>
            <w:pPr>
              <w:pStyle w:val="Compact"/>
            </w:pPr>
            <w:r>
              <w:rPr>
                <w:b/>
                <w:bCs/>
              </w:rPr>
              <w:t xml:space="preserve">BLOCKER</w:t>
            </w:r>
          </w:p>
        </w:tc>
        <w:tc>
          <w:tcPr/>
          <w:p>
            <w:pPr>
              <w:pStyle w:val="Compact"/>
            </w:pPr>
            <w:r>
              <w:t xml:space="preserve">Create onboarding and settings screens with disclaimer and crisis links; incorporate warnings in high‑intensity modules.</w:t>
            </w:r>
          </w:p>
        </w:tc>
        <w:tc>
          <w:tcPr/>
          <w:p>
            <w:pPr>
              <w:pStyle w:val="Compact"/>
            </w:pPr>
            <w:r>
              <w:t xml:space="preserve">Review mental health app guidelines for emergency wording; consult legal counsel for regional requirements.</w:t>
            </w:r>
          </w:p>
        </w:tc>
      </w:tr>
    </w:tbl>
    <w:bookmarkEnd w:id="22"/>
    <w:bookmarkStart w:id="23" w:name="important-gaps"/>
    <w:p>
      <w:pPr>
        <w:pStyle w:val="Heading2"/>
      </w:pPr>
      <w:r>
        <w:t xml:space="preserve">Important Gaps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Gap</w:t>
            </w:r>
          </w:p>
        </w:tc>
        <w:tc>
          <w:tcPr/>
          <w:p>
            <w:pPr>
              <w:pStyle w:val="Compact"/>
            </w:pPr>
            <w:r>
              <w:t xml:space="preserve">Why it Matters</w:t>
            </w:r>
          </w:p>
        </w:tc>
        <w:tc>
          <w:tcPr/>
          <w:p>
            <w:pPr>
              <w:pStyle w:val="Compact"/>
            </w:pPr>
            <w:r>
              <w:t xml:space="preserve">Risk if Ignored</w:t>
            </w:r>
          </w:p>
        </w:tc>
        <w:tc>
          <w:tcPr/>
          <w:p>
            <w:pPr>
              <w:pStyle w:val="Compact"/>
            </w:pPr>
            <w:r>
              <w:t xml:space="preserve">Resolution</w:t>
            </w:r>
          </w:p>
        </w:tc>
        <w:tc>
          <w:tcPr/>
          <w:p>
            <w:pPr>
              <w:pStyle w:val="Compact"/>
            </w:pPr>
            <w:r>
              <w:t xml:space="preserve">Status</w:t>
            </w:r>
          </w:p>
        </w:tc>
        <w:tc>
          <w:tcPr/>
          <w:p>
            <w:pPr>
              <w:pStyle w:val="Compact"/>
            </w:pPr>
            <w:r>
              <w:t xml:space="preserve">Next Action</w:t>
            </w:r>
          </w:p>
        </w:tc>
        <w:tc>
          <w:tcPr/>
          <w:p>
            <w:pPr>
              <w:pStyle w:val="Compact"/>
            </w:pPr>
            <w:r>
              <w:t xml:space="preserve">Research Task</w:t>
            </w:r>
          </w:p>
        </w:tc>
      </w:tr>
      <w:tr>
        <w:tc>
          <w:tcPr/>
          <w:p>
            <w:pPr>
              <w:pStyle w:val="Compact"/>
            </w:pPr>
            <w:r>
              <w:rPr>
                <w:b/>
                <w:bCs/>
              </w:rPr>
              <w:t xml:space="preserve">Adult learning and micro‑learning implementation</w:t>
            </w:r>
          </w:p>
        </w:tc>
        <w:tc>
          <w:tcPr/>
          <w:p>
            <w:pPr>
              <w:pStyle w:val="Compact"/>
            </w:pPr>
            <w:r>
              <w:t xml:space="preserve">Applying adult learning principles (autonomy, relevance) and micro‑learning improves retention and engagement</w:t>
            </w:r>
            <w:hyperlink r:id="rId21">
              <w:r>
                <w:rPr>
                  <w:rStyle w:val="Hyperlink"/>
                </w:rPr>
                <w:t xml:space="preserve">[1]</w:t>
              </w:r>
            </w:hyperlink>
            <w:r>
              <w:t xml:space="preserve">.</w:t>
            </w:r>
          </w:p>
        </w:tc>
        <w:tc>
          <w:tcPr/>
          <w:p>
            <w:pPr>
              <w:pStyle w:val="Compact"/>
            </w:pPr>
            <w:r>
              <w:t xml:space="preserve">Users may find modules too long or irrelevant, leading to drop‑off.</w:t>
            </w:r>
          </w:p>
        </w:tc>
        <w:tc>
          <w:tcPr/>
          <w:p>
            <w:pPr>
              <w:pStyle w:val="Compact"/>
            </w:pPr>
            <w:r>
              <w:t xml:space="preserve">Break content into short lessons; use multiple media; include progressive disclosure.</w:t>
            </w:r>
          </w:p>
        </w:tc>
        <w:tc>
          <w:tcPr/>
          <w:p>
            <w:pPr>
              <w:pStyle w:val="Compact"/>
            </w:pPr>
            <w:r>
              <w:rPr>
                <w:b/>
                <w:bCs/>
              </w:rPr>
              <w:t xml:space="preserve">IMPORTANT</w:t>
            </w:r>
          </w:p>
        </w:tc>
        <w:tc>
          <w:tcPr/>
          <w:p>
            <w:pPr>
              <w:pStyle w:val="Compact"/>
            </w:pPr>
            <w:r>
              <w:t xml:space="preserve">Create a micro‑lesson framework; storyboard lessons and test with users.</w:t>
            </w:r>
          </w:p>
        </w:tc>
        <w:tc>
          <w:tcPr/>
          <w:p>
            <w:pPr>
              <w:pStyle w:val="Compact"/>
            </w:pPr>
            <w:r>
              <w:t xml:space="preserve">Investigate optimal micro‑learning lengths and media mixes for different demographics.</w:t>
            </w:r>
          </w:p>
        </w:tc>
      </w:tr>
      <w:tr>
        <w:tc>
          <w:tcPr/>
          <w:p>
            <w:pPr>
              <w:pStyle w:val="Compact"/>
            </w:pPr>
            <w:r>
              <w:rPr>
                <w:b/>
                <w:bCs/>
              </w:rPr>
              <w:t xml:space="preserve">Question fatigue and emotional intensity</w:t>
            </w:r>
          </w:p>
        </w:tc>
        <w:tc>
          <w:tcPr/>
          <w:p>
            <w:pPr>
              <w:pStyle w:val="Compact"/>
            </w:pPr>
            <w:r>
              <w:t xml:space="preserve">Poorly designed questions can cause fatigue or distress; forced‑choice and open questions must be balanced</w:t>
            </w:r>
            <w:hyperlink r:id="rId21">
              <w:r>
                <w:rPr>
                  <w:rStyle w:val="Hyperlink"/>
                </w:rPr>
                <w:t xml:space="preserve">[2]</w:t>
              </w:r>
            </w:hyperlink>
            <w:r>
              <w:t xml:space="preserve">.</w:t>
            </w:r>
          </w:p>
        </w:tc>
        <w:tc>
          <w:tcPr/>
          <w:p>
            <w:pPr>
              <w:pStyle w:val="Compact"/>
            </w:pPr>
            <w:r>
              <w:t xml:space="preserve">User dropout or harm due to overwhelming or emotionally intense prompts.</w:t>
            </w:r>
          </w:p>
        </w:tc>
        <w:tc>
          <w:tcPr/>
          <w:p>
            <w:pPr>
              <w:pStyle w:val="Compact"/>
            </w:pPr>
            <w:r>
              <w:t xml:space="preserve">Design question library with limited ranking tasks, clear rating scales and branching logic to pause or skip high‑intensity sections.</w:t>
            </w:r>
          </w:p>
        </w:tc>
        <w:tc>
          <w:tcPr/>
          <w:p>
            <w:pPr>
              <w:pStyle w:val="Compact"/>
            </w:pPr>
            <w:r>
              <w:rPr>
                <w:b/>
                <w:bCs/>
              </w:rPr>
              <w:t xml:space="preserve">IMPORTANT</w:t>
            </w:r>
          </w:p>
        </w:tc>
        <w:tc>
          <w:tcPr/>
          <w:p>
            <w:pPr>
              <w:pStyle w:val="Compact"/>
            </w:pPr>
            <w:r>
              <w:t xml:space="preserve">Map question types to each module; pilot test emotional intensity and adjust accordingly.</w:t>
            </w:r>
          </w:p>
        </w:tc>
        <w:tc>
          <w:tcPr/>
          <w:p>
            <w:pPr>
              <w:pStyle w:val="Compact"/>
            </w:pPr>
            <w:r>
              <w:t xml:space="preserve">Research survey fatigue thresholds and methods for measuring emotional impact in digital self‑reflection.</w:t>
            </w:r>
          </w:p>
        </w:tc>
      </w:tr>
      <w:tr>
        <w:tc>
          <w:tcPr/>
          <w:p>
            <w:pPr>
              <w:pStyle w:val="Compact"/>
            </w:pPr>
            <w:r>
              <w:rPr>
                <w:b/>
                <w:bCs/>
              </w:rPr>
              <w:t xml:space="preserve">Wording style guide</w:t>
            </w:r>
          </w:p>
        </w:tc>
        <w:tc>
          <w:tcPr/>
          <w:p>
            <w:pPr>
              <w:pStyle w:val="Compact"/>
            </w:pPr>
            <w:r>
              <w:t xml:space="preserve">Consistent plain, autonomy‑supportive language prevents shame and confusion</w:t>
            </w:r>
            <w:hyperlink r:id="rId21">
              <w:r>
                <w:rPr>
                  <w:rStyle w:val="Hyperlink"/>
                </w:rPr>
                <w:t xml:space="preserve">[2]</w:t>
              </w:r>
            </w:hyperlink>
            <w:r>
              <w:t xml:space="preserve">.</w:t>
            </w:r>
          </w:p>
        </w:tc>
        <w:tc>
          <w:tcPr/>
          <w:p>
            <w:pPr>
              <w:pStyle w:val="Compact"/>
            </w:pPr>
            <w:r>
              <w:t xml:space="preserve">Inconsistent tone could make the app feel clinical, judgemental or generic.</w:t>
            </w:r>
          </w:p>
        </w:tc>
        <w:tc>
          <w:tcPr/>
          <w:p>
            <w:pPr>
              <w:pStyle w:val="Compact"/>
            </w:pPr>
            <w:r>
              <w:t xml:space="preserve">Develop a style guide covering voice principles, sentence style, words to use/avoid and examples of safe vs unsafe wording.</w:t>
            </w:r>
          </w:p>
        </w:tc>
        <w:tc>
          <w:tcPr/>
          <w:p>
            <w:pPr>
              <w:pStyle w:val="Compact"/>
            </w:pPr>
            <w:r>
              <w:rPr>
                <w:b/>
                <w:bCs/>
              </w:rPr>
              <w:t xml:space="preserve">IMPORTANT</w:t>
            </w:r>
          </w:p>
        </w:tc>
        <w:tc>
          <w:tcPr/>
          <w:p>
            <w:pPr>
              <w:pStyle w:val="Compact"/>
            </w:pPr>
            <w:r>
              <w:t xml:space="preserve">Draft the guide and obtain stakeholder feedback; train writers and AI prompts accordingly.</w:t>
            </w:r>
          </w:p>
        </w:tc>
        <w:tc>
          <w:tcPr/>
          <w:p>
            <w:pPr>
              <w:pStyle w:val="Compact"/>
            </w:pPr>
            <w:r>
              <w:t xml:space="preserve">Review literature on motivational interviewing, autonomy‑supportive language and plain‑language standards.</w:t>
            </w:r>
          </w:p>
        </w:tc>
      </w:tr>
      <w:tr>
        <w:tc>
          <w:tcPr/>
          <w:p>
            <w:pPr>
              <w:pStyle w:val="Compact"/>
            </w:pPr>
            <w:r>
              <w:rPr>
                <w:b/>
                <w:bCs/>
              </w:rPr>
              <w:t xml:space="preserve">Privacy and consent architecture</w:t>
            </w:r>
          </w:p>
        </w:tc>
        <w:tc>
          <w:tcPr/>
          <w:p>
            <w:pPr>
              <w:pStyle w:val="Compact"/>
            </w:pPr>
            <w:r>
              <w:t xml:space="preserve">Data must be stored locally by default; encryption and user consent are needed for cloud storage</w:t>
            </w:r>
            <w:hyperlink r:id="rId21">
              <w:r>
                <w:rPr>
                  <w:rStyle w:val="Hyperlink"/>
                </w:rPr>
                <w:t xml:space="preserve">[2]</w:t>
              </w:r>
            </w:hyperlink>
            <w:hyperlink r:id="rId21">
              <w:r>
                <w:rPr>
                  <w:rStyle w:val="Hyperlink"/>
                </w:rPr>
                <w:t xml:space="preserve">[3]</w:t>
              </w:r>
            </w:hyperlink>
            <w:r>
              <w:t xml:space="preserve">.</w:t>
            </w:r>
          </w:p>
        </w:tc>
        <w:tc>
          <w:tcPr/>
          <w:p>
            <w:pPr>
              <w:pStyle w:val="Compact"/>
            </w:pPr>
            <w:r>
              <w:t xml:space="preserve">Potential legal issues and loss of trust if data is mishandled.</w:t>
            </w:r>
          </w:p>
        </w:tc>
        <w:tc>
          <w:tcPr/>
          <w:p>
            <w:pPr>
              <w:pStyle w:val="Compact"/>
            </w:pPr>
            <w:r>
              <w:t xml:space="preserve">Implement local storage with optional encrypted cloud backup; design consent flows for data sharing, editing and deletion.</w:t>
            </w:r>
          </w:p>
        </w:tc>
        <w:tc>
          <w:tcPr/>
          <w:p>
            <w:pPr>
              <w:pStyle w:val="Compact"/>
            </w:pPr>
            <w:r>
              <w:rPr>
                <w:b/>
                <w:bCs/>
              </w:rPr>
              <w:t xml:space="preserve">IMPORTANT</w:t>
            </w:r>
          </w:p>
        </w:tc>
        <w:tc>
          <w:tcPr/>
          <w:p>
            <w:pPr>
              <w:pStyle w:val="Compact"/>
            </w:pPr>
            <w:r>
              <w:t xml:space="preserve">Define technical requirements for local storage and encryption; consult legal counsel.</w:t>
            </w:r>
          </w:p>
        </w:tc>
        <w:tc>
          <w:tcPr/>
          <w:p>
            <w:pPr>
              <w:pStyle w:val="Compact"/>
            </w:pPr>
            <w:r>
              <w:t xml:space="preserve">Research data privacy laws across jurisdictions and best practices for user‑controlled consent.</w:t>
            </w:r>
          </w:p>
        </w:tc>
      </w:tr>
      <w:tr>
        <w:tc>
          <w:tcPr/>
          <w:p>
            <w:pPr>
              <w:pStyle w:val="Compact"/>
            </w:pPr>
            <w:r>
              <w:rPr>
                <w:b/>
                <w:bCs/>
              </w:rPr>
              <w:t xml:space="preserve">Module sequence and scope</w:t>
            </w:r>
          </w:p>
        </w:tc>
        <w:tc>
          <w:tcPr/>
          <w:p>
            <w:pPr>
              <w:pStyle w:val="Compact"/>
            </w:pPr>
            <w:r>
              <w:t xml:space="preserve">The order of modules determines learning flow; research suggests starting with values and identity</w:t>
            </w:r>
            <w:hyperlink r:id="rId21">
              <w:r>
                <w:rPr>
                  <w:rStyle w:val="Hyperlink"/>
                </w:rPr>
                <w:t xml:space="preserve">[3]</w:t>
              </w:r>
            </w:hyperlink>
            <w:r>
              <w:t xml:space="preserve">.</w:t>
            </w:r>
          </w:p>
        </w:tc>
        <w:tc>
          <w:tcPr/>
          <w:p>
            <w:pPr>
              <w:pStyle w:val="Compact"/>
            </w:pPr>
            <w:r>
              <w:t xml:space="preserve">Poor sequencing may confuse users or hinder habit formation.</w:t>
            </w:r>
          </w:p>
        </w:tc>
        <w:tc>
          <w:tcPr/>
          <w:p>
            <w:pPr>
              <w:pStyle w:val="Compact"/>
            </w:pPr>
            <w:r>
              <w:t xml:space="preserve">Define final module order, including values, identity, goal setting, habit formation and life alignment; document dependencies.</w:t>
            </w:r>
          </w:p>
        </w:tc>
        <w:tc>
          <w:tcPr/>
          <w:p>
            <w:pPr>
              <w:pStyle w:val="Compact"/>
            </w:pPr>
            <w:r>
              <w:rPr>
                <w:b/>
                <w:bCs/>
              </w:rPr>
              <w:t xml:space="preserve">IMPORTANT</w:t>
            </w:r>
          </w:p>
        </w:tc>
        <w:tc>
          <w:tcPr/>
          <w:p>
            <w:pPr>
              <w:pStyle w:val="Compact"/>
            </w:pPr>
            <w:r>
              <w:t xml:space="preserve">Develop module dependency map and review with subject matter experts.</w:t>
            </w:r>
          </w:p>
        </w:tc>
        <w:tc>
          <w:tcPr/>
          <w:p>
            <w:pPr>
              <w:pStyle w:val="Compact"/>
            </w:pPr>
            <w:r>
              <w:t xml:space="preserve">Validate the sequence with user testing and compare against behaviour‑change theory.</w:t>
            </w:r>
          </w:p>
        </w:tc>
      </w:tr>
      <w:tr>
        <w:tc>
          <w:tcPr/>
          <w:p>
            <w:pPr>
              <w:pStyle w:val="Compact"/>
            </w:pPr>
            <w:r>
              <w:rPr>
                <w:b/>
                <w:bCs/>
              </w:rPr>
              <w:t xml:space="preserve">Crisis resource integration</w:t>
            </w:r>
          </w:p>
        </w:tc>
        <w:tc>
          <w:tcPr/>
          <w:p>
            <w:pPr>
              <w:pStyle w:val="Compact"/>
            </w:pPr>
            <w:r>
              <w:t xml:space="preserve">Users may experience distress during reflection; quick access to helplines is essential</w:t>
            </w:r>
            <w:hyperlink r:id="rId21">
              <w:r>
                <w:rPr>
                  <w:rStyle w:val="Hyperlink"/>
                </w:rPr>
                <w:t xml:space="preserve">[3]</w:t>
              </w:r>
            </w:hyperlink>
            <w:r>
              <w:t xml:space="preserve">.</w:t>
            </w:r>
          </w:p>
        </w:tc>
        <w:tc>
          <w:tcPr/>
          <w:p>
            <w:pPr>
              <w:pStyle w:val="Compact"/>
            </w:pPr>
            <w:r>
              <w:t xml:space="preserve">Users in crisis may not receive appropriate help, leading to harm.</w:t>
            </w:r>
          </w:p>
        </w:tc>
        <w:tc>
          <w:tcPr/>
          <w:p>
            <w:pPr>
              <w:pStyle w:val="Compact"/>
            </w:pPr>
            <w:r>
              <w:t xml:space="preserve">Identify and integrate relevant crisis hotlines (e.g., Lifeline in Australia) and display them contextually.</w:t>
            </w:r>
          </w:p>
        </w:tc>
        <w:tc>
          <w:tcPr/>
          <w:p>
            <w:pPr>
              <w:pStyle w:val="Compact"/>
            </w:pPr>
            <w:r>
              <w:rPr>
                <w:b/>
                <w:bCs/>
              </w:rPr>
              <w:t xml:space="preserve">IMPORTANT</w:t>
            </w:r>
          </w:p>
        </w:tc>
        <w:tc>
          <w:tcPr/>
          <w:p>
            <w:pPr>
              <w:pStyle w:val="Compact"/>
            </w:pPr>
            <w:r>
              <w:t xml:space="preserve">Compile a list of helplines and professional resources; design contextual triggers for display.</w:t>
            </w:r>
          </w:p>
        </w:tc>
        <w:tc>
          <w:tcPr/>
          <w:p>
            <w:pPr>
              <w:pStyle w:val="Compact"/>
            </w:pPr>
            <w:r>
              <w:t xml:space="preserve">Research regional crisis resources and guidelines for presenting emergency information.</w:t>
            </w:r>
          </w:p>
        </w:tc>
      </w:tr>
      <w:tr>
        <w:tc>
          <w:tcPr/>
          <w:p>
            <w:pPr>
              <w:pStyle w:val="Compact"/>
            </w:pPr>
            <w:r>
              <w:rPr>
                <w:b/>
                <w:bCs/>
              </w:rPr>
              <w:t xml:space="preserve">Accessibility standards</w:t>
            </w:r>
          </w:p>
        </w:tc>
        <w:tc>
          <w:tcPr/>
          <w:p>
            <w:pPr>
              <w:pStyle w:val="Compact"/>
            </w:pPr>
            <w:r>
              <w:t xml:space="preserve">Inclusive design ensures the product is usable by all users, including those with disabilities</w:t>
            </w:r>
            <w:hyperlink r:id="rId21">
              <w:r>
                <w:rPr>
                  <w:rStyle w:val="Hyperlink"/>
                </w:rPr>
                <w:t xml:space="preserve">[3]</w:t>
              </w:r>
            </w:hyperlink>
            <w:r>
              <w:t xml:space="preserve">.</w:t>
            </w:r>
          </w:p>
        </w:tc>
        <w:tc>
          <w:tcPr/>
          <w:p>
            <w:pPr>
              <w:pStyle w:val="Compact"/>
            </w:pPr>
            <w:r>
              <w:t xml:space="preserve">Non‑compliance with accessibility standards may exclude users and create legal risk.</w:t>
            </w:r>
          </w:p>
        </w:tc>
        <w:tc>
          <w:tcPr/>
          <w:p>
            <w:pPr>
              <w:pStyle w:val="Compact"/>
            </w:pPr>
            <w:r>
              <w:t xml:space="preserve">Adopt WCAG 2.2 standards; design for screen readers, adjustable font sizes and contrast; support multiple languages.</w:t>
            </w:r>
          </w:p>
        </w:tc>
        <w:tc>
          <w:tcPr/>
          <w:p>
            <w:pPr>
              <w:pStyle w:val="Compact"/>
            </w:pPr>
            <w:r>
              <w:rPr>
                <w:b/>
                <w:bCs/>
              </w:rPr>
              <w:t xml:space="preserve">IMPORTANT</w:t>
            </w:r>
          </w:p>
        </w:tc>
        <w:tc>
          <w:tcPr/>
          <w:p>
            <w:pPr>
              <w:pStyle w:val="Compact"/>
            </w:pPr>
            <w:r>
              <w:t xml:space="preserve">Conduct accessibility audits of prototypes; incorporate feedback early.</w:t>
            </w:r>
          </w:p>
        </w:tc>
        <w:tc>
          <w:tcPr/>
          <w:p>
            <w:pPr>
              <w:pStyle w:val="Compact"/>
            </w:pPr>
            <w:r>
              <w:t xml:space="preserve">Study WCAG 2.2 guidelines and inclusive design practices; consult accessibility experts.</w:t>
            </w:r>
          </w:p>
        </w:tc>
      </w:tr>
    </w:tbl>
    <w:bookmarkEnd w:id="23"/>
    <w:bookmarkStart w:id="24" w:name="nicetohave-gaps"/>
    <w:p>
      <w:pPr>
        <w:pStyle w:val="Heading2"/>
      </w:pPr>
      <w:r>
        <w:t xml:space="preserve">Nice‑to‑Have Gaps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Gap</w:t>
            </w:r>
          </w:p>
        </w:tc>
        <w:tc>
          <w:tcPr/>
          <w:p>
            <w:pPr>
              <w:pStyle w:val="Compact"/>
            </w:pPr>
            <w:r>
              <w:t xml:space="preserve">Why it Matters</w:t>
            </w:r>
          </w:p>
        </w:tc>
        <w:tc>
          <w:tcPr/>
          <w:p>
            <w:pPr>
              <w:pStyle w:val="Compact"/>
            </w:pPr>
            <w:r>
              <w:t xml:space="preserve">Risk if Ignored</w:t>
            </w:r>
          </w:p>
        </w:tc>
        <w:tc>
          <w:tcPr/>
          <w:p>
            <w:pPr>
              <w:pStyle w:val="Compact"/>
            </w:pPr>
            <w:r>
              <w:t xml:space="preserve">Resolution</w:t>
            </w:r>
          </w:p>
        </w:tc>
        <w:tc>
          <w:tcPr/>
          <w:p>
            <w:pPr>
              <w:pStyle w:val="Compact"/>
            </w:pPr>
            <w:r>
              <w:t xml:space="preserve">Status</w:t>
            </w:r>
          </w:p>
        </w:tc>
        <w:tc>
          <w:tcPr/>
          <w:p>
            <w:pPr>
              <w:pStyle w:val="Compact"/>
            </w:pPr>
            <w:r>
              <w:t xml:space="preserve">Next Action</w:t>
            </w:r>
          </w:p>
        </w:tc>
        <w:tc>
          <w:tcPr/>
          <w:p>
            <w:pPr>
              <w:pStyle w:val="Compact"/>
            </w:pPr>
            <w:r>
              <w:t xml:space="preserve">Research Task</w:t>
            </w:r>
          </w:p>
        </w:tc>
      </w:tr>
      <w:tr>
        <w:tc>
          <w:tcPr/>
          <w:p>
            <w:pPr>
              <w:pStyle w:val="Compact"/>
            </w:pPr>
            <w:r>
              <w:rPr>
                <w:b/>
                <w:bCs/>
              </w:rPr>
              <w:t xml:space="preserve">Immersive future‑self features (VR/AR)</w:t>
            </w:r>
          </w:p>
        </w:tc>
        <w:tc>
          <w:tcPr/>
          <w:p>
            <w:pPr>
              <w:pStyle w:val="Compact"/>
            </w:pPr>
            <w:r>
              <w:t xml:space="preserve">Imagining future self can increase motivation; immersive visualisations may enhance this effect</w:t>
            </w:r>
            <w:hyperlink r:id="rId21">
              <w:r>
                <w:rPr>
                  <w:rStyle w:val="Hyperlink"/>
                </w:rPr>
                <w:t xml:space="preserve">[1]</w:t>
              </w:r>
            </w:hyperlink>
            <w:r>
              <w:t xml:space="preserve">.</w:t>
            </w:r>
          </w:p>
        </w:tc>
        <w:tc>
          <w:tcPr/>
          <w:p>
            <w:pPr>
              <w:pStyle w:val="Compact"/>
            </w:pPr>
            <w:r>
              <w:t xml:space="preserve">Missing potential engagement and motivation benefits.</w:t>
            </w:r>
          </w:p>
        </w:tc>
        <w:tc>
          <w:tcPr/>
          <w:p>
            <w:pPr>
              <w:pStyle w:val="Compact"/>
            </w:pPr>
            <w:r>
              <w:t xml:space="preserve">Implement simple future‑self reflection prompts in MVP (e.g., writing a letter to future self) and plan immersive features for later.</w:t>
            </w:r>
          </w:p>
        </w:tc>
        <w:tc>
          <w:tcPr/>
          <w:p>
            <w:pPr>
              <w:pStyle w:val="Compact"/>
            </w:pPr>
            <w:r>
              <w:rPr>
                <w:b/>
                <w:bCs/>
              </w:rPr>
              <w:t xml:space="preserve">NICE TO HAVE</w:t>
            </w:r>
          </w:p>
        </w:tc>
        <w:tc>
          <w:tcPr/>
          <w:p>
            <w:pPr>
              <w:pStyle w:val="Compact"/>
            </w:pPr>
            <w:r>
              <w:t xml:space="preserve">Design simple textual/visual future‑self exercises; evaluate user responses.</w:t>
            </w:r>
          </w:p>
        </w:tc>
        <w:tc>
          <w:tcPr/>
          <w:p>
            <w:pPr>
              <w:pStyle w:val="Compact"/>
            </w:pPr>
            <w:r>
              <w:t xml:space="preserve">Research efficacy and safety of VR/AR future‑self interventions in consumer wellness apps.</w:t>
            </w:r>
          </w:p>
        </w:tc>
      </w:tr>
      <w:tr>
        <w:tc>
          <w:tcPr/>
          <w:p>
            <w:pPr>
              <w:pStyle w:val="Compact"/>
            </w:pPr>
            <w:r>
              <w:rPr>
                <w:b/>
                <w:bCs/>
              </w:rPr>
              <w:t xml:space="preserve">Advanced bias and fairness evaluation</w:t>
            </w:r>
          </w:p>
        </w:tc>
        <w:tc>
          <w:tcPr/>
          <w:p>
            <w:pPr>
              <w:pStyle w:val="Compact"/>
            </w:pPr>
            <w:r>
              <w:t xml:space="preserve">AI recommendations may carry biases; thorough evaluation ensures fairness.</w:t>
            </w:r>
          </w:p>
        </w:tc>
        <w:tc>
          <w:tcPr/>
          <w:p>
            <w:pPr>
              <w:pStyle w:val="Compact"/>
            </w:pPr>
            <w:r>
              <w:t xml:space="preserve">Unintended bias could harm certain user groups or reduce trust.</w:t>
            </w:r>
          </w:p>
        </w:tc>
        <w:tc>
          <w:tcPr/>
          <w:p>
            <w:pPr>
              <w:pStyle w:val="Compact"/>
            </w:pPr>
            <w:r>
              <w:t xml:space="preserve">Plan to implement bias detection and fairness audits, especially before public release.</w:t>
            </w:r>
          </w:p>
        </w:tc>
        <w:tc>
          <w:tcPr/>
          <w:p>
            <w:pPr>
              <w:pStyle w:val="Compact"/>
            </w:pPr>
            <w:r>
              <w:rPr>
                <w:b/>
                <w:bCs/>
              </w:rPr>
              <w:t xml:space="preserve">NICE TO HAVE</w:t>
            </w:r>
          </w:p>
        </w:tc>
        <w:tc>
          <w:tcPr/>
          <w:p>
            <w:pPr>
              <w:pStyle w:val="Compact"/>
            </w:pPr>
            <w:r>
              <w:t xml:space="preserve">Monitor AI outputs for bias; plan audits in later phases.</w:t>
            </w:r>
          </w:p>
        </w:tc>
        <w:tc>
          <w:tcPr/>
          <w:p>
            <w:pPr>
              <w:pStyle w:val="Compact"/>
            </w:pPr>
            <w:r>
              <w:t xml:space="preserve">Research fairness metrics and frameworks applicable to personal development AI.</w:t>
            </w:r>
          </w:p>
        </w:tc>
      </w:tr>
      <w:tr>
        <w:tc>
          <w:tcPr/>
          <w:p>
            <w:pPr>
              <w:pStyle w:val="Compact"/>
            </w:pPr>
            <w:r>
              <w:rPr>
                <w:b/>
                <w:bCs/>
              </w:rPr>
              <w:t xml:space="preserve">Cross‑cultural adaptation</w:t>
            </w:r>
          </w:p>
        </w:tc>
        <w:tc>
          <w:tcPr/>
          <w:p>
            <w:pPr>
              <w:pStyle w:val="Compact"/>
            </w:pPr>
            <w:r>
              <w:t xml:space="preserve">Values and needs vary across cultures; localisation improves relevance.</w:t>
            </w:r>
          </w:p>
        </w:tc>
        <w:tc>
          <w:tcPr/>
          <w:p>
            <w:pPr>
              <w:pStyle w:val="Compact"/>
            </w:pPr>
            <w:r>
              <w:t xml:space="preserve">The app may not resonate with diverse users, reducing adoption.</w:t>
            </w:r>
          </w:p>
        </w:tc>
        <w:tc>
          <w:tcPr/>
          <w:p>
            <w:pPr>
              <w:pStyle w:val="Compact"/>
            </w:pPr>
            <w:r>
              <w:t xml:space="preserve">Translate modules and adapt examples to cultural contexts post‑MVP.</w:t>
            </w:r>
          </w:p>
        </w:tc>
        <w:tc>
          <w:tcPr/>
          <w:p>
            <w:pPr>
              <w:pStyle w:val="Compact"/>
            </w:pPr>
            <w:r>
              <w:rPr>
                <w:b/>
                <w:bCs/>
              </w:rPr>
              <w:t xml:space="preserve">NICE TO HAVE</w:t>
            </w:r>
          </w:p>
        </w:tc>
        <w:tc>
          <w:tcPr/>
          <w:p>
            <w:pPr>
              <w:pStyle w:val="Compact"/>
            </w:pPr>
            <w:r>
              <w:t xml:space="preserve">Identify target languages and cultural adaptations; plan future localisation strategy.</w:t>
            </w:r>
          </w:p>
        </w:tc>
        <w:tc>
          <w:tcPr/>
          <w:p>
            <w:pPr>
              <w:pStyle w:val="Compact"/>
            </w:pPr>
            <w:r>
              <w:t xml:space="preserve">Investigate cross‑cultural psychology and adapt question wording accordingly.</w:t>
            </w:r>
          </w:p>
        </w:tc>
      </w:tr>
    </w:tbl>
    <w:bookmarkEnd w:id="24"/>
    <w:bookmarkStart w:id="25" w:name="recommended-extra-research"/>
    <w:p>
      <w:pPr>
        <w:pStyle w:val="Heading2"/>
      </w:pPr>
      <w:r>
        <w:t xml:space="preserve">Recommended Extra Research</w:t>
      </w:r>
    </w:p>
    <w:p>
      <w:pPr>
        <w:pStyle w:val="Compact"/>
        <w:numPr>
          <w:ilvl w:val="0"/>
          <w:numId w:val="1001"/>
        </w:numPr>
      </w:pPr>
      <w:r>
        <w:t xml:space="preserve">Conduct user studies to determine optimal micro‑learning length, media mix and emotional intensity thresholds.</w:t>
      </w:r>
    </w:p>
    <w:p>
      <w:pPr>
        <w:pStyle w:val="Compact"/>
        <w:numPr>
          <w:ilvl w:val="0"/>
          <w:numId w:val="1001"/>
        </w:numPr>
      </w:pPr>
      <w:r>
        <w:t xml:space="preserve">Investigate best practices for online values clarification exercises and validated question sets.</w:t>
      </w:r>
    </w:p>
    <w:p>
      <w:pPr>
        <w:pStyle w:val="Compact"/>
        <w:numPr>
          <w:ilvl w:val="0"/>
          <w:numId w:val="1001"/>
        </w:numPr>
      </w:pPr>
      <w:r>
        <w:t xml:space="preserve">Explore forced‑choice versus ranking versus rating scales in self‑reflection contexts to confirm proposed question design.</w:t>
      </w:r>
    </w:p>
    <w:p>
      <w:pPr>
        <w:pStyle w:val="Compact"/>
        <w:numPr>
          <w:ilvl w:val="0"/>
          <w:numId w:val="1001"/>
        </w:numPr>
      </w:pPr>
      <w:r>
        <w:t xml:space="preserve">Review privacy laws and consent requirements in Australia, the EU and the US to finalise data architecture.</w:t>
      </w:r>
    </w:p>
    <w:p>
      <w:pPr>
        <w:pStyle w:val="Compact"/>
        <w:numPr>
          <w:ilvl w:val="0"/>
          <w:numId w:val="1001"/>
        </w:numPr>
      </w:pPr>
      <w:r>
        <w:t xml:space="preserve">Research fairness and bias mitigation techniques for AI summarisation in personal development applications.</w:t>
      </w:r>
    </w:p>
    <w:p>
      <w:pPr>
        <w:pStyle w:val="Compact"/>
        <w:numPr>
          <w:ilvl w:val="0"/>
          <w:numId w:val="1001"/>
        </w:numPr>
      </w:pPr>
      <w:r>
        <w:t xml:space="preserve">Examine VR/AR future‑self interventions for potential inclusion in future versions.</w:t>
      </w:r>
    </w:p>
    <w:bookmarkEnd w:id="25"/>
    <w:bookmarkStart w:id="26" w:name="readiness-for-curriculum-design"/>
    <w:p>
      <w:pPr>
        <w:pStyle w:val="Heading2"/>
      </w:pPr>
      <w:r>
        <w:t xml:space="preserve">Readiness for Curriculum Design</w:t>
      </w:r>
    </w:p>
    <w:p>
      <w:pPr>
        <w:pStyle w:val="FirstParagraph"/>
      </w:pPr>
      <w:r>
        <w:t xml:space="preserve">The core blocker gaps relate to integrating COM‑B assessments, values clarification tools, structured AI interpretation, and safety/emergency wording. These are critical elements that must be resolved before final curriculum design. Other important gaps (adult learning implementation, question fatigue, wording style, privacy architecture and module sequencing) require detailed plans but do not completely block curriculum drafting. Nice‑to‑have features (immersive future‑self, bias audits, cross‑cultural adaptation) can be deferred until after MVP.</w:t>
      </w:r>
    </w:p>
    <w:p>
      <w:pPr>
        <w:pStyle w:val="BodyText"/>
      </w:pPr>
      <w:r>
        <w:rPr>
          <w:b/>
          <w:bCs/>
        </w:rPr>
        <w:t xml:space="preserve">Status:</w:t>
      </w:r>
      <w:r>
        <w:t xml:space="preserve"> </w:t>
      </w:r>
      <w:r>
        <w:rPr>
          <w:i/>
          <w:iCs/>
        </w:rPr>
        <w:t xml:space="preserve">PROVISIONAL – NOT YET READY FOR CURRICULUM DESIGN</w:t>
      </w:r>
      <w:r>
        <w:t xml:space="preserve">. Blocker gaps remain. However, a provisional curriculum can be drafted while these gaps are addressed in parallel. Final curriculum approval should be contingent on closing the blocker gaps through further research and design work.</w:t>
      </w:r>
    </w:p>
    <w:bookmarkEnd w:id="26"/>
    <w:bookmarkEnd w:id="27"/>
    <w:bookmarkEnd w:id="28"/>
    <w:p>
      <w:r>
        <w:pict>
          <v:rect style="width:0;height:1.5pt" o:hralign="center" o:hrstd="t" o:hr="t"/>
        </w:pict>
      </w:r>
    </w:p>
    <w:bookmarkStart w:id="2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r>
        <w:t xml:space="preserve">[title unknown]</w:t>
      </w:r>
    </w:p>
    <w:p>
      <w:pPr>
        <w:pStyle w:val="BodyText"/>
      </w:pPr>
      <w:hyperlink r:id="rId21">
        <w:r>
          <w:rPr>
            <w:rStyle w:val="Hyperlink"/>
          </w:rPr>
          <w:t xml:space="preserve">file:///home/oai/share/Pasted%20text%20%282%29.txt</w:t>
        </w:r>
      </w:hyperlink>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file:///home/oai/share/Pasted%20text%20%282%29.txt" TargetMode="External" /></Relationships>
</file>

<file path=word/_rels/footnotes.xml.rels><?xml version="1.0" encoding="UTF-8"?><Relationships xmlns="http://schemas.openxmlformats.org/package/2006/relationships"><Relationship Type="http://schemas.openxmlformats.org/officeDocument/2006/relationships/hyperlink" Id="rId21" Target="file:///home/oai/share/Pasted%20text%20%282%29.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2026-05-14T13:24:52Z</dcterms:created>
  <dcterms:modified xsi:type="dcterms:W3CDTF">2026-05-14T13:24:52Z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