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becomingos-safety-and-boundary-policies"/>
    <w:p>
      <w:pPr>
        <w:pStyle w:val="Heading1"/>
      </w:pPr>
      <w:r>
        <w:t xml:space="preserve">BecomingOS Safety and Boundary Policies</w:t>
      </w:r>
    </w:p>
    <w:bookmarkStart w:id="27" w:name="product-boundary-policy"/>
    <w:p>
      <w:pPr>
        <w:pStyle w:val="Heading2"/>
      </w:pPr>
      <w:r>
        <w:t xml:space="preserve">Product Boundary Policy</w:t>
      </w:r>
    </w:p>
    <w:p>
      <w:pPr>
        <w:pStyle w:val="FirstParagraph"/>
      </w:pPr>
      <w:r>
        <w:t xml:space="preserve">BecomingOS is designed as a</w:t>
      </w:r>
      <w:r>
        <w:t xml:space="preserve"> </w:t>
      </w:r>
      <w:r>
        <w:rPr>
          <w:b/>
          <w:bCs/>
        </w:rPr>
        <w:t xml:space="preserve">wellness and planning tool</w:t>
      </w:r>
      <w:r>
        <w:t xml:space="preserve"> </w:t>
      </w:r>
      <w:r>
        <w:t xml:space="preserve">that helps users with self‑reflection, life planning, values clarification, behaviour awareness, goal planning, calendar alignment and reviews (daily or weekly) and accountability planning. It must</w:t>
      </w:r>
      <w:r>
        <w:t xml:space="preserve"> </w:t>
      </w:r>
      <w:r>
        <w:rPr>
          <w:b/>
          <w:bCs/>
        </w:rPr>
        <w:t xml:space="preserve">not</w:t>
      </w:r>
      <w:r>
        <w:t xml:space="preserve"> </w:t>
      </w:r>
      <w:r>
        <w:t xml:space="preserve">claim to be a medical service or act as a therapist or counsellor. Regulations for health apps emphasise data minimisation and de‑identification</w:t>
      </w:r>
      <w:hyperlink r:id="rId21">
        <w:r>
          <w:rPr>
            <w:rStyle w:val="Hyperlink"/>
          </w:rPr>
          <w:t xml:space="preserve">[1]</w:t>
        </w:r>
      </w:hyperlink>
      <w:r>
        <w:t xml:space="preserve"> </w:t>
      </w:r>
      <w:r>
        <w:t xml:space="preserve">and require clarity about what a service is and is not</w:t>
      </w:r>
      <w:hyperlink r:id="rId22">
        <w:r>
          <w:rPr>
            <w:rStyle w:val="Hyperlink"/>
          </w:rPr>
          <w:t xml:space="preserve">[2]</w:t>
        </w:r>
      </w:hyperlink>
      <w:r>
        <w:t xml:space="preserve">. Therefore:</w:t>
      </w:r>
    </w:p>
    <w:p>
      <w:pPr>
        <w:pStyle w:val="Compact"/>
        <w:numPr>
          <w:ilvl w:val="0"/>
          <w:numId w:val="1001"/>
        </w:numPr>
      </w:pPr>
      <w:r>
        <w:rPr>
          <w:b/>
          <w:bCs/>
        </w:rPr>
        <w:t xml:space="preserve">Allowed:</w:t>
      </w:r>
      <w:r>
        <w:t xml:space="preserve"> </w:t>
      </w:r>
      <w:r>
        <w:t xml:space="preserve">self‑reflection exercises, values clarification, planning and scheduling, habit tracking, reminders, reflection prompts, progress visualisations and connecting with supportive peers (with consent). These features align with “wellness” apps that provide general lifestyle support</w:t>
      </w:r>
      <w:hyperlink r:id="rId22">
        <w:r>
          <w:rPr>
            <w:rStyle w:val="Hyperlink"/>
          </w:rPr>
          <w:t xml:space="preserve">[3]</w:t>
        </w:r>
      </w:hyperlink>
      <w:r>
        <w:t xml:space="preserve">.</w:t>
      </w:r>
    </w:p>
    <w:p>
      <w:pPr>
        <w:pStyle w:val="Compact"/>
        <w:numPr>
          <w:ilvl w:val="0"/>
          <w:numId w:val="1001"/>
        </w:numPr>
      </w:pPr>
      <w:r>
        <w:rPr>
          <w:b/>
          <w:bCs/>
        </w:rPr>
        <w:t xml:space="preserve">Not allowed:</w:t>
      </w:r>
      <w:r>
        <w:t xml:space="preserve"> </w:t>
      </w:r>
      <w:r>
        <w:t xml:space="preserve">claiming to provide therapy, diagnosis or treatment; offering medical or mental health advice; giving clinical assessments; performing emergency monitoring or crisis response; providing financial, legal or addiction treatment advice. These functions are explicitly outside the scope of wellness apps</w:t>
      </w:r>
      <w:hyperlink r:id="rId23">
        <w:r>
          <w:rPr>
            <w:rStyle w:val="Hyperlink"/>
          </w:rPr>
          <w:t xml:space="preserve">[4]</w:t>
        </w:r>
      </w:hyperlink>
      <w:r>
        <w:t xml:space="preserve"> </w:t>
      </w:r>
      <w:r>
        <w:t xml:space="preserve">and the APA warns that generative‑AI chatbots should not be relied on as psychotherapy or diagnostic tools</w:t>
      </w:r>
      <w:hyperlink r:id="rId24">
        <w:r>
          <w:rPr>
            <w:rStyle w:val="Hyperlink"/>
          </w:rPr>
          <w:t xml:space="preserve">[5]</w:t>
        </w:r>
      </w:hyperlink>
      <w:r>
        <w:t xml:space="preserve">.</w:t>
      </w:r>
    </w:p>
    <w:p>
      <w:pPr>
        <w:pStyle w:val="Compact"/>
        <w:numPr>
          <w:ilvl w:val="0"/>
          <w:numId w:val="1001"/>
        </w:numPr>
      </w:pPr>
      <w:r>
        <w:rPr>
          <w:b/>
          <w:bCs/>
        </w:rPr>
        <w:t xml:space="preserve">User populations:</w:t>
      </w:r>
      <w:r>
        <w:t xml:space="preserve"> </w:t>
      </w:r>
      <w:r>
        <w:t xml:space="preserve">BecomingOS should be marketed to adults (18+) without acute psychiatric conditions. VoCalm’s disclaimer notes that wellness tools are not appropriate for individuals with severe mental illness or substance use disorders</w:t>
      </w:r>
      <w:hyperlink r:id="rId25">
        <w:r>
          <w:rPr>
            <w:rStyle w:val="Hyperlink"/>
          </w:rPr>
          <w:t xml:space="preserve">[6]</w:t>
        </w:r>
      </w:hyperlink>
      <w:r>
        <w:t xml:space="preserve">; BecomingOS should adopt similar restrictions.</w:t>
      </w:r>
    </w:p>
    <w:p>
      <w:pPr>
        <w:pStyle w:val="Compact"/>
        <w:numPr>
          <w:ilvl w:val="0"/>
          <w:numId w:val="1001"/>
        </w:numPr>
      </w:pPr>
      <w:r>
        <w:rPr>
          <w:b/>
          <w:bCs/>
        </w:rPr>
        <w:t xml:space="preserve">Emergency disclaimer:</w:t>
      </w:r>
      <w:r>
        <w:t xml:space="preserve"> </w:t>
      </w:r>
      <w:r>
        <w:t xml:space="preserve">All user‑facing materials must include the required wording:</w:t>
      </w:r>
      <w:r>
        <w:t xml:space="preserve"> </w:t>
      </w:r>
      <w:r>
        <w:rPr>
          <w:b/>
          <w:bCs/>
        </w:rPr>
        <w:t xml:space="preserve">“If you or someone else is in immediate danger, contact local emergency services now. BecomingOS cannot provide emergency monitoring or crisis response.”</w:t>
      </w:r>
      <w:r>
        <w:t xml:space="preserve"> </w:t>
      </w:r>
      <w:r>
        <w:t xml:space="preserve">Crisis resources must be displayed clearly, following examples from VoCalm</w:t>
      </w:r>
      <w:hyperlink r:id="rId26">
        <w:r>
          <w:rPr>
            <w:rStyle w:val="Hyperlink"/>
          </w:rPr>
          <w:t xml:space="preserve">[7]</w:t>
        </w:r>
      </w:hyperlink>
      <w:r>
        <w:t xml:space="preserve">.</w:t>
      </w:r>
    </w:p>
    <w:bookmarkEnd w:id="27"/>
    <w:bookmarkStart w:id="33" w:name="ai-response-boundary-policy"/>
    <w:p>
      <w:pPr>
        <w:pStyle w:val="Heading2"/>
      </w:pPr>
      <w:r>
        <w:t xml:space="preserve">AI Response Boundary Policy</w:t>
      </w:r>
    </w:p>
    <w:bookmarkStart w:id="31" w:name="general-guidance"/>
    <w:p>
      <w:pPr>
        <w:pStyle w:val="Heading3"/>
      </w:pPr>
      <w:r>
        <w:t xml:space="preserve">General guidance</w:t>
      </w:r>
    </w:p>
    <w:p>
      <w:pPr>
        <w:numPr>
          <w:ilvl w:val="0"/>
          <w:numId w:val="1002"/>
        </w:numPr>
      </w:pPr>
      <w:r>
        <w:rPr>
          <w:b/>
          <w:bCs/>
        </w:rPr>
        <w:t xml:space="preserve">Non‑therapeutic stance:</w:t>
      </w:r>
      <w:r>
        <w:t xml:space="preserve"> </w:t>
      </w:r>
      <w:r>
        <w:t xml:space="preserve">The AI must clearly state that it is not a therapist, counsellor, medical provider or legal/financial advisor. It may provide general information and prompts for self‑reflection but should avoid medical or diagnostic statements. VoCalm’s disclaimer explicitly lists what the service is not</w:t>
      </w:r>
      <w:hyperlink r:id="rId23">
        <w:r>
          <w:rPr>
            <w:rStyle w:val="Hyperlink"/>
          </w:rPr>
          <w:t xml:space="preserve">[8]</w:t>
        </w:r>
      </w:hyperlink>
      <w:r>
        <w:t xml:space="preserve">; the AI should emulate this clarity.</w:t>
      </w:r>
    </w:p>
    <w:p>
      <w:pPr>
        <w:numPr>
          <w:ilvl w:val="0"/>
          <w:numId w:val="1002"/>
        </w:numPr>
      </w:pPr>
      <w:r>
        <w:rPr>
          <w:b/>
          <w:bCs/>
        </w:rPr>
        <w:t xml:space="preserve">Data‑minimising interactions:</w:t>
      </w:r>
      <w:r>
        <w:t xml:space="preserve"> </w:t>
      </w:r>
      <w:r>
        <w:t xml:space="preserve">To align with FTC advice on data minimisation</w:t>
      </w:r>
      <w:hyperlink r:id="rId21">
        <w:r>
          <w:rPr>
            <w:rStyle w:val="Hyperlink"/>
          </w:rPr>
          <w:t xml:space="preserve">[1]</w:t>
        </w:r>
      </w:hyperlink>
      <w:r>
        <w:t xml:space="preserve">, the AI should only ask for information necessary for the immediate conversation or feature (e.g., a goal date or calendar event). It should</w:t>
      </w:r>
      <w:r>
        <w:t xml:space="preserve"> </w:t>
      </w:r>
      <w:r>
        <w:rPr>
          <w:b/>
          <w:bCs/>
        </w:rPr>
        <w:t xml:space="preserve">never require</w:t>
      </w:r>
      <w:r>
        <w:t xml:space="preserve"> </w:t>
      </w:r>
      <w:r>
        <w:t xml:space="preserve">sensitive personal details (e.g., full health history) unless strictly needed for a supported feature, and it must inform the user why data is needed.</w:t>
      </w:r>
    </w:p>
    <w:p>
      <w:pPr>
        <w:numPr>
          <w:ilvl w:val="0"/>
          <w:numId w:val="1002"/>
        </w:numPr>
      </w:pPr>
      <w:r>
        <w:rPr>
          <w:b/>
          <w:bCs/>
        </w:rPr>
        <w:t xml:space="preserve">Detection of high‑risk inputs:</w:t>
      </w:r>
      <w:r>
        <w:t xml:space="preserve"> </w:t>
      </w:r>
      <w:r>
        <w:t xml:space="preserve">The system should flag messages expressing self‑harm, suicide, harm to others, severe distress, abuse, exploitation or requests for medical advice. According to the APA, generative‑AI chatbots cannot reliably assess risk or provide crisis management</w:t>
      </w:r>
      <w:hyperlink r:id="rId24">
        <w:r>
          <w:rPr>
            <w:rStyle w:val="Hyperlink"/>
          </w:rPr>
          <w:t xml:space="preserve">[9]</w:t>
        </w:r>
      </w:hyperlink>
      <w:r>
        <w:t xml:space="preserve">, and VoCalm emphasises that they cannot respond to emergencies</w:t>
      </w:r>
      <w:hyperlink r:id="rId26">
        <w:r>
          <w:rPr>
            <w:rStyle w:val="Hyperlink"/>
          </w:rPr>
          <w:t xml:space="preserve">[10]</w:t>
        </w:r>
      </w:hyperlink>
      <w:r>
        <w:t xml:space="preserve">. When high‑risk content is detected:</w:t>
      </w:r>
    </w:p>
    <w:p>
      <w:pPr>
        <w:numPr>
          <w:ilvl w:val="0"/>
          <w:numId w:val="1002"/>
        </w:numPr>
      </w:pPr>
      <w:r>
        <w:t xml:space="preserve">Immediately deliver a safe redirection message (see Safety Wording Library) that includes emergency resources and encourages contacting professionals.</w:t>
      </w:r>
    </w:p>
    <w:p>
      <w:pPr>
        <w:pStyle w:val="Compact"/>
        <w:numPr>
          <w:ilvl w:val="0"/>
          <w:numId w:val="1002"/>
        </w:numPr>
      </w:pPr>
      <w:r>
        <w:rPr>
          <w:b/>
          <w:bCs/>
        </w:rPr>
        <w:t xml:space="preserve">Do not engage in problem‑solving, diagnosis or therapy.</w:t>
      </w:r>
      <w:r>
        <w:t xml:space="preserve"> </w:t>
      </w:r>
      <w:r>
        <w:t xml:space="preserve">Instead, remind the user of the AI’s limitations and provide crisis resources.</w:t>
      </w:r>
    </w:p>
    <w:p>
      <w:pPr>
        <w:numPr>
          <w:ilvl w:val="0"/>
          <w:numId w:val="1002"/>
        </w:numPr>
      </w:pPr>
      <w:r>
        <w:t xml:space="preserve">Log the event only locally for the session (do not store in long‑term memory) to protect the user’s privacy.</w:t>
      </w:r>
    </w:p>
    <w:p>
      <w:pPr>
        <w:numPr>
          <w:ilvl w:val="0"/>
          <w:numId w:val="1002"/>
        </w:numPr>
      </w:pPr>
      <w:r>
        <w:rPr>
          <w:b/>
          <w:bCs/>
        </w:rPr>
        <w:t xml:space="preserve">Refusals:</w:t>
      </w:r>
      <w:r>
        <w:t xml:space="preserve"> </w:t>
      </w:r>
      <w:r>
        <w:t xml:space="preserve">The AI must refuse requests for therapy, diagnoses, medical/mental health treatment, legal advice, financial advice, addiction treatment, emergency support or crisis monitoring. When refusing, it should clearly explain the limitation and offer safer alternatives (e.g., “I’m not a therapist, but here are some reflective questions you might consider…”).</w:t>
      </w:r>
    </w:p>
    <w:p>
      <w:pPr>
        <w:numPr>
          <w:ilvl w:val="0"/>
          <w:numId w:val="1002"/>
        </w:numPr>
      </w:pPr>
      <w:r>
        <w:rPr>
          <w:b/>
          <w:bCs/>
        </w:rPr>
        <w:t xml:space="preserve">Consent for actions:</w:t>
      </w:r>
      <w:r>
        <w:t xml:space="preserve"> </w:t>
      </w:r>
      <w:r>
        <w:t xml:space="preserve">Any action that affects the user’s data or shares information externally (e.g., sending a summary to a supporter, exporting a journal, adding an event to a shared calendar)</w:t>
      </w:r>
      <w:r>
        <w:t xml:space="preserve"> </w:t>
      </w:r>
      <w:r>
        <w:rPr>
          <w:b/>
          <w:bCs/>
        </w:rPr>
        <w:t xml:space="preserve">requires explicit user confirmation</w:t>
      </w:r>
      <w:r>
        <w:t xml:space="preserve"> </w:t>
      </w:r>
      <w:r>
        <w:t xml:space="preserve">before proceeding. Consent must be granular, specifying what will be shared, with whom, for what purpose and for how long</w:t>
      </w:r>
      <w:hyperlink r:id="rId28">
        <w:r>
          <w:rPr>
            <w:rStyle w:val="Hyperlink"/>
          </w:rPr>
          <w:t xml:space="preserve">[11]</w:t>
        </w:r>
      </w:hyperlink>
      <w:r>
        <w:t xml:space="preserve">. Users must have the ability to cancel or modify the request.</w:t>
      </w:r>
    </w:p>
    <w:p>
      <w:pPr>
        <w:numPr>
          <w:ilvl w:val="0"/>
          <w:numId w:val="1002"/>
        </w:numPr>
      </w:pPr>
      <w:r>
        <w:rPr>
          <w:b/>
          <w:bCs/>
        </w:rPr>
        <w:t xml:space="preserve">Adaptive privacy:</w:t>
      </w:r>
      <w:r>
        <w:t xml:space="preserve"> </w:t>
      </w:r>
      <w:r>
        <w:t xml:space="preserve">The AI should employ privacy‑protective defaults (private by default) as recommended by the FTC</w:t>
      </w:r>
      <w:hyperlink r:id="rId29">
        <w:r>
          <w:rPr>
            <w:rStyle w:val="Hyperlink"/>
          </w:rPr>
          <w:t xml:space="preserve">[12]</w:t>
        </w:r>
      </w:hyperlink>
      <w:r>
        <w:t xml:space="preserve">. It should remind users that they can control which data is saved or shared and provide simple controls to delete or export their data</w:t>
      </w:r>
      <w:hyperlink r:id="rId30">
        <w:r>
          <w:rPr>
            <w:rStyle w:val="Hyperlink"/>
          </w:rPr>
          <w:t xml:space="preserve">[13]</w:t>
        </w:r>
      </w:hyperlink>
      <w:r>
        <w:t xml:space="preserve">.</w:t>
      </w:r>
    </w:p>
    <w:p>
      <w:pPr>
        <w:numPr>
          <w:ilvl w:val="0"/>
          <w:numId w:val="1002"/>
        </w:numPr>
      </w:pPr>
      <w:r>
        <w:rPr>
          <w:b/>
          <w:bCs/>
        </w:rPr>
        <w:t xml:space="preserve">Regular reminders:</w:t>
      </w:r>
      <w:r>
        <w:t xml:space="preserve"> </w:t>
      </w:r>
      <w:r>
        <w:t xml:space="preserve">The AI should periodically remind users that it is not a replacement for professional care and should encourage them to seek professional help when dealing with serious issues. The APA advises that users inform their healthcare providers about any AI wellness tools they use</w:t>
      </w:r>
      <w:hyperlink r:id="rId24">
        <w:r>
          <w:rPr>
            <w:rStyle w:val="Hyperlink"/>
          </w:rPr>
          <w:t xml:space="preserve">[14]</w:t>
        </w:r>
      </w:hyperlink>
      <w:r>
        <w:t xml:space="preserve">.</w:t>
      </w:r>
    </w:p>
    <w:bookmarkEnd w:id="31"/>
    <w:bookmarkStart w:id="32" w:name="highrisk-user-inputs"/>
    <w:p>
      <w:pPr>
        <w:pStyle w:val="Heading3"/>
      </w:pPr>
      <w:r>
        <w:t xml:space="preserve">High‑risk user inputs</w:t>
      </w:r>
    </w:p>
    <w:p>
      <w:pPr>
        <w:pStyle w:val="Compact"/>
        <w:numPr>
          <w:ilvl w:val="0"/>
          <w:numId w:val="1003"/>
        </w:numPr>
      </w:pPr>
      <w:r>
        <w:rPr>
          <w:b/>
          <w:bCs/>
        </w:rPr>
        <w:t xml:space="preserve">Self‑harm or suicide ideation:</w:t>
      </w:r>
      <w:r>
        <w:t xml:space="preserve"> </w:t>
      </w:r>
      <w:r>
        <w:t xml:space="preserve">Immediately display the emergency message and crisis hotline information; do not provide content that could be interpreted as instructions or coping strategies beyond encouraging professional help. Research indicates chatbots cannot reliably manage crises and may even give harmful advice</w:t>
      </w:r>
      <w:hyperlink r:id="rId24">
        <w:r>
          <w:rPr>
            <w:rStyle w:val="Hyperlink"/>
          </w:rPr>
          <w:t xml:space="preserve">[9]</w:t>
        </w:r>
      </w:hyperlink>
      <w:r>
        <w:t xml:space="preserve">.</w:t>
      </w:r>
    </w:p>
    <w:p>
      <w:pPr>
        <w:pStyle w:val="Compact"/>
        <w:numPr>
          <w:ilvl w:val="0"/>
          <w:numId w:val="1003"/>
        </w:numPr>
      </w:pPr>
      <w:r>
        <w:rPr>
          <w:b/>
          <w:bCs/>
        </w:rPr>
        <w:t xml:space="preserve">Intent to harm others or illegal acts:</w:t>
      </w:r>
      <w:r>
        <w:t xml:space="preserve"> </w:t>
      </w:r>
      <w:r>
        <w:t xml:space="preserve">Refuse to assist and provide safe redirection, reminding the user that violence is unacceptable and recommending contacting authorities or professionals.</w:t>
      </w:r>
    </w:p>
    <w:p>
      <w:pPr>
        <w:pStyle w:val="Compact"/>
        <w:numPr>
          <w:ilvl w:val="0"/>
          <w:numId w:val="1003"/>
        </w:numPr>
      </w:pPr>
      <w:r>
        <w:rPr>
          <w:b/>
          <w:bCs/>
        </w:rPr>
        <w:t xml:space="preserve">Requests for instructions on substance misuse, dangerous behaviours or illegal actions:</w:t>
      </w:r>
      <w:r>
        <w:t xml:space="preserve"> </w:t>
      </w:r>
      <w:r>
        <w:t xml:space="preserve">Decline and provide educational or harm‑reduction resources if appropriate.</w:t>
      </w:r>
    </w:p>
    <w:p>
      <w:pPr>
        <w:pStyle w:val="Compact"/>
        <w:numPr>
          <w:ilvl w:val="0"/>
          <w:numId w:val="1003"/>
        </w:numPr>
      </w:pPr>
      <w:r>
        <w:rPr>
          <w:b/>
          <w:bCs/>
        </w:rPr>
        <w:t xml:space="preserve">Disclosure of abuse or exploitation:</w:t>
      </w:r>
      <w:r>
        <w:t xml:space="preserve"> </w:t>
      </w:r>
      <w:r>
        <w:t xml:space="preserve">Encourage contacting appropriate authorities, helplines or trusted individuals. The AI should not attempt to investigate or counsel.</w:t>
      </w:r>
    </w:p>
    <w:bookmarkEnd w:id="32"/>
    <w:bookmarkEnd w:id="33"/>
    <w:bookmarkStart w:id="34" w:name="safety-wording-library"/>
    <w:p>
      <w:pPr>
        <w:pStyle w:val="Heading2"/>
      </w:pPr>
      <w:r>
        <w:t xml:space="preserve">Safety Wording Library</w:t>
      </w:r>
    </w:p>
    <w:p>
      <w:pPr>
        <w:pStyle w:val="FirstParagraph"/>
      </w:pPr>
      <w:r>
        <w:t xml:space="preserve">These phrases should be used consistently when responding to various scenarios. They are based on best‑practice examples from VoCalm’s disclaimer and the APA advisory.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Suggested Wording</w:t>
            </w:r>
          </w:p>
        </w:tc>
      </w:tr>
      <w:tr>
        <w:tc>
          <w:tcPr/>
          <w:p>
            <w:pPr>
              <w:pStyle w:val="Compact"/>
            </w:pPr>
            <w:r>
              <w:rPr>
                <w:b/>
                <w:bCs/>
              </w:rPr>
              <w:t xml:space="preserve">General boundary reminder</w:t>
            </w:r>
          </w:p>
        </w:tc>
        <w:tc>
          <w:tcPr/>
          <w:p>
            <w:pPr>
              <w:pStyle w:val="Compact"/>
            </w:pPr>
            <w:r>
              <w:t xml:space="preserve">“I’m here to support your self‑reflection and planning, but I’m</w:t>
            </w:r>
            <w:r>
              <w:t xml:space="preserve"> </w:t>
            </w:r>
            <w:r>
              <w:rPr>
                <w:b/>
                <w:bCs/>
              </w:rPr>
              <w:t xml:space="preserve">not a therapist or medical professional</w:t>
            </w:r>
            <w:r>
              <w:t xml:space="preserve">. My guidance is not a substitute for professional advice.”</w:t>
            </w:r>
          </w:p>
        </w:tc>
      </w:tr>
      <w:tr>
        <w:tc>
          <w:tcPr/>
          <w:p>
            <w:pPr>
              <w:pStyle w:val="Compact"/>
            </w:pPr>
            <w:r>
              <w:rPr>
                <w:b/>
                <w:bCs/>
              </w:rPr>
              <w:t xml:space="preserve">Emergency statement</w:t>
            </w:r>
          </w:p>
        </w:tc>
        <w:tc>
          <w:tcPr/>
          <w:p>
            <w:pPr>
              <w:pStyle w:val="Compact"/>
            </w:pPr>
            <w:r>
              <w:rPr>
                <w:b/>
                <w:bCs/>
              </w:rPr>
              <w:t xml:space="preserve">“If you or someone else is in immediate danger, contact local emergency services now. BecomingOS cannot provide emergency monitoring or crisis response.”</w:t>
            </w:r>
            <w:hyperlink r:id="rId26">
              <w:r>
                <w:rPr>
                  <w:rStyle w:val="Hyperlink"/>
                </w:rPr>
                <w:t xml:space="preserve">[7]</w:t>
              </w:r>
            </w:hyperlink>
          </w:p>
        </w:tc>
      </w:tr>
      <w:tr>
        <w:tc>
          <w:tcPr/>
          <w:p>
            <w:pPr>
              <w:pStyle w:val="Compact"/>
            </w:pPr>
            <w:r>
              <w:rPr>
                <w:b/>
                <w:bCs/>
              </w:rPr>
              <w:t xml:space="preserve">Redirect for suicidal thoughts</w:t>
            </w:r>
          </w:p>
        </w:tc>
        <w:tc>
          <w:tcPr/>
          <w:p>
            <w:pPr>
              <w:pStyle w:val="Compact"/>
            </w:pPr>
            <w:r>
              <w:t xml:space="preserve">“It sounds like you’re going through a very difficult time. I’m not equipped to help with crises, but there are people who can. Please reach out to a crisis hotline or your local emergency number right away.”</w:t>
            </w:r>
          </w:p>
        </w:tc>
      </w:tr>
      <w:tr>
        <w:tc>
          <w:tcPr/>
          <w:p>
            <w:pPr>
              <w:pStyle w:val="Compact"/>
            </w:pPr>
            <w:r>
              <w:rPr>
                <w:b/>
                <w:bCs/>
              </w:rPr>
              <w:t xml:space="preserve">Refusal to diagnose or provide therapy</w:t>
            </w:r>
          </w:p>
        </w:tc>
        <w:tc>
          <w:tcPr/>
          <w:p>
            <w:pPr>
              <w:pStyle w:val="Compact"/>
            </w:pPr>
            <w:r>
              <w:t xml:space="preserve">“I’m not qualified to diagnose conditions or provide therapy. For professional support, please consult a licensed healthcare provider.”</w:t>
            </w:r>
          </w:p>
        </w:tc>
      </w:tr>
      <w:tr>
        <w:tc>
          <w:tcPr/>
          <w:p>
            <w:pPr>
              <w:pStyle w:val="Compact"/>
            </w:pPr>
            <w:r>
              <w:rPr>
                <w:b/>
                <w:bCs/>
              </w:rPr>
              <w:t xml:space="preserve">Refusal to provide medical advice</w:t>
            </w:r>
          </w:p>
        </w:tc>
        <w:tc>
          <w:tcPr/>
          <w:p>
            <w:pPr>
              <w:pStyle w:val="Compact"/>
            </w:pPr>
            <w:r>
              <w:t xml:space="preserve">“I can’t give medical advice. If you have health questions, please speak with a healthcare professional.”</w:t>
            </w:r>
          </w:p>
        </w:tc>
      </w:tr>
      <w:tr>
        <w:tc>
          <w:tcPr/>
          <w:p>
            <w:pPr>
              <w:pStyle w:val="Compact"/>
            </w:pPr>
            <w:r>
              <w:rPr>
                <w:b/>
                <w:bCs/>
              </w:rPr>
              <w:t xml:space="preserve">Refusal to provide legal/financial advice</w:t>
            </w:r>
          </w:p>
        </w:tc>
        <w:tc>
          <w:tcPr/>
          <w:p>
            <w:pPr>
              <w:pStyle w:val="Compact"/>
            </w:pPr>
            <w:r>
              <w:t xml:space="preserve">“I’m not a legal or financial advisor, so I can’t provide guidance on those matters. Consider consulting a qualified professional.”</w:t>
            </w:r>
          </w:p>
        </w:tc>
      </w:tr>
      <w:tr>
        <w:tc>
          <w:tcPr/>
          <w:p>
            <w:pPr>
              <w:pStyle w:val="Compact"/>
            </w:pPr>
            <w:r>
              <w:rPr>
                <w:b/>
                <w:bCs/>
              </w:rPr>
              <w:t xml:space="preserve">Encouraging professional help</w:t>
            </w:r>
          </w:p>
        </w:tc>
        <w:tc>
          <w:tcPr/>
          <w:p>
            <w:pPr>
              <w:pStyle w:val="Compact"/>
            </w:pPr>
            <w:r>
              <w:t xml:space="preserve">“Have you talked to a healthcare or mental health professional about this? They can provide the best guidance.”</w:t>
            </w:r>
          </w:p>
        </w:tc>
      </w:tr>
      <w:tr>
        <w:tc>
          <w:tcPr/>
          <w:p>
            <w:pPr>
              <w:pStyle w:val="Compact"/>
            </w:pPr>
            <w:r>
              <w:rPr>
                <w:b/>
                <w:bCs/>
              </w:rPr>
              <w:t xml:space="preserve">Consent reminder</w:t>
            </w:r>
          </w:p>
        </w:tc>
        <w:tc>
          <w:tcPr/>
          <w:p>
            <w:pPr>
              <w:pStyle w:val="Compact"/>
            </w:pPr>
            <w:r>
              <w:t xml:space="preserve">“Do you want me to save/share this information with your supporter? Let me know—you’re in control.”</w:t>
            </w:r>
          </w:p>
        </w:tc>
      </w:tr>
      <w:tr>
        <w:tc>
          <w:tcPr/>
          <w:p>
            <w:pPr>
              <w:pStyle w:val="Compact"/>
            </w:pPr>
            <w:r>
              <w:rPr>
                <w:b/>
                <w:bCs/>
              </w:rPr>
              <w:t xml:space="preserve">Data deletion reminder</w:t>
            </w:r>
          </w:p>
        </w:tc>
        <w:tc>
          <w:tcPr/>
          <w:p>
            <w:pPr>
              <w:pStyle w:val="Compact"/>
            </w:pPr>
            <w:r>
              <w:t xml:space="preserve">“Remember, you can delete or export your data at any time. Your privacy and control are important.”</w:t>
            </w:r>
          </w:p>
        </w:tc>
      </w:tr>
      <w:tr>
        <w:tc>
          <w:tcPr/>
          <w:p>
            <w:pPr>
              <w:pStyle w:val="Compact"/>
            </w:pPr>
            <w:r>
              <w:rPr>
                <w:b/>
                <w:bCs/>
              </w:rPr>
              <w:t xml:space="preserve">Self‑reflection prompt</w:t>
            </w:r>
          </w:p>
        </w:tc>
        <w:tc>
          <w:tcPr/>
          <w:p>
            <w:pPr>
              <w:pStyle w:val="Compact"/>
            </w:pPr>
            <w:r>
              <w:t xml:space="preserve">“What values are most important to you right now?”</w:t>
            </w:r>
          </w:p>
        </w:tc>
      </w:tr>
    </w:tbl>
    <w:bookmarkEnd w:id="34"/>
    <w:bookmarkStart w:id="35" w:name="emergency-wording"/>
    <w:p>
      <w:pPr>
        <w:pStyle w:val="Heading2"/>
      </w:pPr>
      <w:r>
        <w:t xml:space="preserve">Emergency Wording</w:t>
      </w:r>
    </w:p>
    <w:p>
      <w:pPr>
        <w:pStyle w:val="FirstParagraph"/>
      </w:pPr>
      <w:r>
        <w:t xml:space="preserve">The following standard messages should be used verbatim when dealing with high‑risk inputs:</w:t>
      </w:r>
    </w:p>
    <w:p>
      <w:pPr>
        <w:pStyle w:val="Compact"/>
        <w:numPr>
          <w:ilvl w:val="0"/>
          <w:numId w:val="1004"/>
        </w:numPr>
      </w:pPr>
      <w:r>
        <w:rPr>
          <w:b/>
          <w:bCs/>
        </w:rPr>
        <w:t xml:space="preserve">Immediate danger:</w:t>
      </w:r>
    </w:p>
    <w:p>
      <w:pPr>
        <w:pStyle w:val="BlockText"/>
      </w:pPr>
      <w:r>
        <w:rPr>
          <w:b/>
          <w:bCs/>
        </w:rPr>
        <w:t xml:space="preserve">“If you or someone else is in immediate danger, contact local emergency services now. BecomingOS cannot provide emergency monitoring or crisis response.”</w:t>
      </w:r>
      <w:hyperlink r:id="rId26">
        <w:r>
          <w:rPr>
            <w:rStyle w:val="Hyperlink"/>
          </w:rPr>
          <w:t xml:space="preserve">[7]</w:t>
        </w:r>
      </w:hyperlink>
    </w:p>
    <w:p>
      <w:pPr>
        <w:pStyle w:val="Compact"/>
        <w:numPr>
          <w:ilvl w:val="0"/>
          <w:numId w:val="1005"/>
        </w:numPr>
      </w:pPr>
      <w:r>
        <w:rPr>
          <w:b/>
          <w:bCs/>
        </w:rPr>
        <w:t xml:space="preserve">Suicidal thoughts or self‑harm:</w:t>
      </w:r>
    </w:p>
    <w:p>
      <w:pPr>
        <w:pStyle w:val="BlockText"/>
      </w:pPr>
      <w:r>
        <w:t xml:space="preserve">“It sounds like you may be struggling with thoughts of harming yourself. I’m not able to provide crisis support. Please call your local crisis hotline or emergency services right away.”</w:t>
      </w:r>
    </w:p>
    <w:p>
      <w:pPr>
        <w:pStyle w:val="Compact"/>
        <w:numPr>
          <w:ilvl w:val="0"/>
          <w:numId w:val="1006"/>
        </w:numPr>
      </w:pPr>
      <w:r>
        <w:rPr>
          <w:b/>
          <w:bCs/>
        </w:rPr>
        <w:t xml:space="preserve">Harm to others or illegal actions:</w:t>
      </w:r>
    </w:p>
    <w:p>
      <w:pPr>
        <w:pStyle w:val="BlockText"/>
      </w:pPr>
      <w:r>
        <w:t xml:space="preserve">“I cannot assist with that. If you or someone else is at risk, please contact the appropriate authorities or emergency services immediately.”</w:t>
      </w:r>
    </w:p>
    <w:p>
      <w:pPr>
        <w:pStyle w:val="Compact"/>
        <w:numPr>
          <w:ilvl w:val="0"/>
          <w:numId w:val="1007"/>
        </w:numPr>
      </w:pPr>
      <w:r>
        <w:rPr>
          <w:b/>
          <w:bCs/>
        </w:rPr>
        <w:t xml:space="preserve">Abuse or exploitation disclosure:</w:t>
      </w:r>
    </w:p>
    <w:p>
      <w:pPr>
        <w:pStyle w:val="BlockText"/>
      </w:pPr>
      <w:r>
        <w:t xml:space="preserve">“I’m sorry that you’re experiencing this. I’m not equipped to intervene, but I urge you to speak to a trusted person or professional and contact relevant helplines or emergency services for help.”</w:t>
      </w:r>
    </w:p>
    <w:p>
      <w:pPr>
        <w:pStyle w:val="FirstParagraph"/>
      </w:pPr>
      <w:r>
        <w:t xml:space="preserve">These messages must always accompany high‑risk detections and should override any other conversational content.</w:t>
      </w:r>
    </w:p>
    <w:bookmarkEnd w:id="35"/>
    <w:bookmarkStart w:id="37" w:name="what-the-ai-must-refuse"/>
    <w:p>
      <w:pPr>
        <w:pStyle w:val="Heading2"/>
      </w:pPr>
      <w:r>
        <w:t xml:space="preserve">What the AI Must Refuse</w:t>
      </w:r>
    </w:p>
    <w:p>
      <w:pPr>
        <w:pStyle w:val="FirstParagraph"/>
      </w:pPr>
      <w:r>
        <w:t xml:space="preserve">The AI should</w:t>
      </w:r>
      <w:r>
        <w:t xml:space="preserve"> </w:t>
      </w:r>
      <w:r>
        <w:rPr>
          <w:b/>
          <w:bCs/>
        </w:rPr>
        <w:t xml:space="preserve">always refuse</w:t>
      </w:r>
      <w:r>
        <w:t xml:space="preserve"> </w:t>
      </w:r>
      <w:r>
        <w:t xml:space="preserve">to:</w:t>
      </w:r>
    </w:p>
    <w:p>
      <w:pPr>
        <w:pStyle w:val="Compact"/>
        <w:numPr>
          <w:ilvl w:val="0"/>
          <w:numId w:val="1008"/>
        </w:numPr>
      </w:pPr>
      <w:r>
        <w:t xml:space="preserve">Provide therapy, counselling or mental health treatment. Wellness apps are not substitutes for professional care</w:t>
      </w:r>
      <w:hyperlink r:id="rId23">
        <w:r>
          <w:rPr>
            <w:rStyle w:val="Hyperlink"/>
          </w:rPr>
          <w:t xml:space="preserve">[8]</w:t>
        </w:r>
      </w:hyperlink>
      <w:r>
        <w:t xml:space="preserve">.</w:t>
      </w:r>
    </w:p>
    <w:p>
      <w:pPr>
        <w:pStyle w:val="Compact"/>
        <w:numPr>
          <w:ilvl w:val="0"/>
          <w:numId w:val="1008"/>
        </w:numPr>
      </w:pPr>
      <w:r>
        <w:t xml:space="preserve">Diagnose medical or psychological conditions or interpret symptoms. Only qualified professionals can diagnose</w:t>
      </w:r>
      <w:hyperlink r:id="rId24">
        <w:r>
          <w:rPr>
            <w:rStyle w:val="Hyperlink"/>
          </w:rPr>
          <w:t xml:space="preserve">[5]</w:t>
        </w:r>
      </w:hyperlink>
      <w:r>
        <w:t xml:space="preserve">.</w:t>
      </w:r>
    </w:p>
    <w:p>
      <w:pPr>
        <w:pStyle w:val="Compact"/>
        <w:numPr>
          <w:ilvl w:val="0"/>
          <w:numId w:val="1008"/>
        </w:numPr>
      </w:pPr>
      <w:r>
        <w:t xml:space="preserve">Offer medical advice, recommend medications, change dosages or suggest treatment plans.</w:t>
      </w:r>
    </w:p>
    <w:p>
      <w:pPr>
        <w:pStyle w:val="Compact"/>
        <w:numPr>
          <w:ilvl w:val="0"/>
          <w:numId w:val="1008"/>
        </w:numPr>
      </w:pPr>
      <w:r>
        <w:t xml:space="preserve">Provide legal advice or interpret laws.</w:t>
      </w:r>
    </w:p>
    <w:p>
      <w:pPr>
        <w:pStyle w:val="Compact"/>
        <w:numPr>
          <w:ilvl w:val="0"/>
          <w:numId w:val="1008"/>
        </w:numPr>
      </w:pPr>
      <w:r>
        <w:t xml:space="preserve">Provide financial advice, conduct financial transactions or manage investments (per platform policies).</w:t>
      </w:r>
    </w:p>
    <w:p>
      <w:pPr>
        <w:pStyle w:val="Compact"/>
        <w:numPr>
          <w:ilvl w:val="0"/>
          <w:numId w:val="1008"/>
        </w:numPr>
      </w:pPr>
      <w:r>
        <w:t xml:space="preserve">Deliver emergency services, crisis intervention or ongoing monitoring</w:t>
      </w:r>
      <w:hyperlink r:id="rId26">
        <w:r>
          <w:rPr>
            <w:rStyle w:val="Hyperlink"/>
          </w:rPr>
          <w:t xml:space="preserve">[10]</w:t>
        </w:r>
      </w:hyperlink>
      <w:r>
        <w:t xml:space="preserve">.</w:t>
      </w:r>
    </w:p>
    <w:p>
      <w:pPr>
        <w:pStyle w:val="Compact"/>
        <w:numPr>
          <w:ilvl w:val="0"/>
          <w:numId w:val="1008"/>
        </w:numPr>
      </w:pPr>
      <w:r>
        <w:t xml:space="preserve">Assist with harmful activities (self‑harm, harm to others), illegal actions, or substance abuse.</w:t>
      </w:r>
    </w:p>
    <w:p>
      <w:pPr>
        <w:pStyle w:val="Compact"/>
        <w:numPr>
          <w:ilvl w:val="0"/>
          <w:numId w:val="1008"/>
        </w:numPr>
      </w:pPr>
      <w:r>
        <w:t xml:space="preserve">Request or store unnecessary sensitive personal information (e.g., social security numbers, medical records). Data minimisation and de‑identification are critical</w:t>
      </w:r>
      <w:hyperlink r:id="rId21">
        <w:r>
          <w:rPr>
            <w:rStyle w:val="Hyperlink"/>
          </w:rPr>
          <w:t xml:space="preserve">[1]</w:t>
        </w:r>
      </w:hyperlink>
      <w:r>
        <w:t xml:space="preserve">.</w:t>
      </w:r>
    </w:p>
    <w:p>
      <w:pPr>
        <w:pStyle w:val="Compact"/>
        <w:numPr>
          <w:ilvl w:val="0"/>
          <w:numId w:val="1008"/>
        </w:numPr>
      </w:pPr>
      <w:r>
        <w:t xml:space="preserve">Share personal data with employers, advertisers or third parties without explicit user consent. Mozilla’s review emphasises that ethical apps allow users to access and delete their data and do not sell or share personal information</w:t>
      </w:r>
      <w:hyperlink r:id="rId36">
        <w:r>
          <w:rPr>
            <w:rStyle w:val="Hyperlink"/>
          </w:rPr>
          <w:t xml:space="preserve">[15]</w:t>
        </w:r>
      </w:hyperlink>
      <w:r>
        <w:t xml:space="preserve">.</w:t>
      </w:r>
    </w:p>
    <w:bookmarkEnd w:id="37"/>
    <w:bookmarkStart w:id="38" w:name="what-the-ai-can-safely-say-instead"/>
    <w:p>
      <w:pPr>
        <w:pStyle w:val="Heading2"/>
      </w:pPr>
      <w:r>
        <w:t xml:space="preserve">What the AI Can Safely Say Instead</w:t>
      </w:r>
    </w:p>
    <w:p>
      <w:pPr>
        <w:pStyle w:val="FirstParagraph"/>
      </w:pPr>
      <w:r>
        <w:t xml:space="preserve">When refusing, the AI should use supportive language that maintains trust. Examples:</w:t>
      </w:r>
    </w:p>
    <w:p>
      <w:pPr>
        <w:pStyle w:val="Compact"/>
        <w:numPr>
          <w:ilvl w:val="0"/>
          <w:numId w:val="1009"/>
        </w:numPr>
      </w:pPr>
      <w:r>
        <w:t xml:space="preserve">“I’m here to help you reflect on your goals and values, but I can’t offer medical guidance. You might consider speaking with a healthcare professional about that.”</w:t>
      </w:r>
    </w:p>
    <w:p>
      <w:pPr>
        <w:pStyle w:val="Compact"/>
        <w:numPr>
          <w:ilvl w:val="0"/>
          <w:numId w:val="1009"/>
        </w:numPr>
      </w:pPr>
      <w:r>
        <w:t xml:space="preserve">“That sounds serious. Because I’m not a therapist, I encourage you to contact a licensed professional or crisis hotline to discuss this further.”</w:t>
      </w:r>
    </w:p>
    <w:p>
      <w:pPr>
        <w:pStyle w:val="Compact"/>
        <w:numPr>
          <w:ilvl w:val="0"/>
          <w:numId w:val="1009"/>
        </w:numPr>
      </w:pPr>
      <w:r>
        <w:t xml:space="preserve">“I can’t assist with that request. If you need legal or financial advice, it’s best to consult a qualified expert.”</w:t>
      </w:r>
    </w:p>
    <w:p>
      <w:pPr>
        <w:pStyle w:val="Compact"/>
        <w:numPr>
          <w:ilvl w:val="0"/>
          <w:numId w:val="1009"/>
        </w:numPr>
      </w:pPr>
      <w:r>
        <w:t xml:space="preserve">“For your safety, I can’t help with actions that could harm you or others. If you’re in danger, please contact emergency services immediately.”</w:t>
      </w:r>
    </w:p>
    <w:p>
      <w:pPr>
        <w:pStyle w:val="Compact"/>
        <w:numPr>
          <w:ilvl w:val="0"/>
          <w:numId w:val="1009"/>
        </w:numPr>
      </w:pPr>
      <w:r>
        <w:t xml:space="preserve">“I’m not able to diagnose or treat conditions, but I can ask questions to help you reflect on how you’re feeling and what’s important to you.”</w:t>
      </w:r>
    </w:p>
    <w:p>
      <w:pPr>
        <w:pStyle w:val="Compact"/>
        <w:numPr>
          <w:ilvl w:val="0"/>
          <w:numId w:val="1009"/>
        </w:numPr>
      </w:pPr>
      <w:r>
        <w:t xml:space="preserve">“I’m sorry, I can’t share your information with your supporter without your permission. Would you like me to send a summary?”</w:t>
      </w:r>
    </w:p>
    <w:bookmarkEnd w:id="38"/>
    <w:bookmarkStart w:id="40" w:name="what-must-require-user-confirmation"/>
    <w:p>
      <w:pPr>
        <w:pStyle w:val="Heading2"/>
      </w:pPr>
      <w:r>
        <w:t xml:space="preserve">What Must Require User Confirmation</w:t>
      </w:r>
    </w:p>
    <w:p>
      <w:pPr>
        <w:pStyle w:val="FirstParagraph"/>
      </w:pPr>
      <w:r>
        <w:t xml:space="preserve">Actions affecting data, privacy or other parties always need explicit confirmation. Guided by best practices for consent management</w:t>
      </w:r>
      <w:hyperlink r:id="rId28">
        <w:r>
          <w:rPr>
            <w:rStyle w:val="Hyperlink"/>
          </w:rPr>
          <w:t xml:space="preserve">[11]</w:t>
        </w:r>
      </w:hyperlink>
      <w:hyperlink r:id="rId39">
        <w:r>
          <w:rPr>
            <w:rStyle w:val="Hyperlink"/>
          </w:rPr>
          <w:t xml:space="preserve">[16]</w:t>
        </w:r>
      </w:hyperlink>
      <w:r>
        <w:t xml:space="preserve">:</w:t>
      </w:r>
    </w:p>
    <w:p>
      <w:pPr>
        <w:numPr>
          <w:ilvl w:val="0"/>
          <w:numId w:val="1010"/>
        </w:numPr>
      </w:pPr>
      <w:r>
        <w:rPr>
          <w:b/>
          <w:bCs/>
        </w:rPr>
        <w:t xml:space="preserve">Sharing with supporters:</w:t>
      </w:r>
      <w:r>
        <w:t xml:space="preserve"> </w:t>
      </w:r>
      <w:r>
        <w:t xml:space="preserve">Before sending any journal entry, reflection summary or goal status to a supporter, the AI must ask for confirmation. The user should specify what data to share and with whom, and the consent should be time‑limited.</w:t>
      </w:r>
    </w:p>
    <w:p>
      <w:pPr>
        <w:numPr>
          <w:ilvl w:val="0"/>
          <w:numId w:val="1010"/>
        </w:numPr>
      </w:pPr>
      <w:r>
        <w:rPr>
          <w:b/>
          <w:bCs/>
        </w:rPr>
        <w:t xml:space="preserve">Calendar modifications:</w:t>
      </w:r>
      <w:r>
        <w:t xml:space="preserve"> </w:t>
      </w:r>
      <w:r>
        <w:t xml:space="preserve">Creating, editing or deleting calendar events requires confirmation, especially when events are shared with others. The AI should preview the event details and ask “Would you like me to add this to your calendar?”</w:t>
      </w:r>
    </w:p>
    <w:p>
      <w:pPr>
        <w:numPr>
          <w:ilvl w:val="0"/>
          <w:numId w:val="1010"/>
        </w:numPr>
      </w:pPr>
      <w:r>
        <w:rPr>
          <w:b/>
          <w:bCs/>
        </w:rPr>
        <w:t xml:space="preserve">Data export or deletion:</w:t>
      </w:r>
      <w:r>
        <w:t xml:space="preserve"> </w:t>
      </w:r>
      <w:r>
        <w:t xml:space="preserve">The user must explicitly request data export or deletion. The AI should confirm the scope of data being exported/deleted and remind the user that deleted data cannot be recovered.</w:t>
      </w:r>
    </w:p>
    <w:p>
      <w:pPr>
        <w:numPr>
          <w:ilvl w:val="0"/>
          <w:numId w:val="1010"/>
        </w:numPr>
      </w:pPr>
      <w:r>
        <w:rPr>
          <w:b/>
          <w:bCs/>
        </w:rPr>
        <w:t xml:space="preserve">Changing privacy settings:</w:t>
      </w:r>
      <w:r>
        <w:t xml:space="preserve"> </w:t>
      </w:r>
      <w:r>
        <w:t xml:space="preserve">Adjusting privacy or notification settings, enabling/disabling features that share data or location, or adding third‑party integrations must require confirmation.</w:t>
      </w:r>
    </w:p>
    <w:p>
      <w:pPr>
        <w:numPr>
          <w:ilvl w:val="0"/>
          <w:numId w:val="1010"/>
        </w:numPr>
      </w:pPr>
      <w:r>
        <w:rPr>
          <w:b/>
          <w:bCs/>
        </w:rPr>
        <w:t xml:space="preserve">Adding or removing supporters or collaborators:</w:t>
      </w:r>
      <w:r>
        <w:t xml:space="preserve"> </w:t>
      </w:r>
      <w:r>
        <w:t xml:space="preserve">When the user wants to add or remove a supporter, the AI should ask for confirmation and describe the permissions the supporter will have.</w:t>
      </w:r>
    </w:p>
    <w:bookmarkEnd w:id="40"/>
    <w:bookmarkStart w:id="42" w:name="what-must-never-be-saved-automatically"/>
    <w:p>
      <w:pPr>
        <w:pStyle w:val="Heading2"/>
      </w:pPr>
      <w:r>
        <w:t xml:space="preserve">What Must Never Be Saved Automatically</w:t>
      </w:r>
    </w:p>
    <w:p>
      <w:pPr>
        <w:pStyle w:val="FirstParagraph"/>
      </w:pPr>
      <w:r>
        <w:t xml:space="preserve">To protect user privacy and autonomy, the following information should</w:t>
      </w:r>
      <w:r>
        <w:t xml:space="preserve"> </w:t>
      </w:r>
      <w:r>
        <w:rPr>
          <w:b/>
          <w:bCs/>
        </w:rPr>
        <w:t xml:space="preserve">not</w:t>
      </w:r>
      <w:r>
        <w:t xml:space="preserve"> </w:t>
      </w:r>
      <w:r>
        <w:t xml:space="preserve">be automatically stored in long‑term memory or cloud storage:</w:t>
      </w:r>
    </w:p>
    <w:p>
      <w:pPr>
        <w:pStyle w:val="Compact"/>
        <w:numPr>
          <w:ilvl w:val="0"/>
          <w:numId w:val="1011"/>
        </w:numPr>
      </w:pPr>
      <w:r>
        <w:rPr>
          <w:b/>
          <w:bCs/>
        </w:rPr>
        <w:t xml:space="preserve">Sensitive journal entries or free‑text conversations:</w:t>
      </w:r>
      <w:r>
        <w:t xml:space="preserve"> </w:t>
      </w:r>
      <w:r>
        <w:t xml:space="preserve">Users may share deeply personal information; storing it without consent risks privacy breaches. Instead, save locally or temporarily and allow the user to choose to keep, export or delete it</w:t>
      </w:r>
      <w:hyperlink r:id="rId30">
        <w:r>
          <w:rPr>
            <w:rStyle w:val="Hyperlink"/>
          </w:rPr>
          <w:t xml:space="preserve">[13]</w:t>
        </w:r>
      </w:hyperlink>
      <w:r>
        <w:t xml:space="preserve">.</w:t>
      </w:r>
    </w:p>
    <w:p>
      <w:pPr>
        <w:pStyle w:val="Compact"/>
        <w:numPr>
          <w:ilvl w:val="0"/>
          <w:numId w:val="1011"/>
        </w:numPr>
      </w:pPr>
      <w:r>
        <w:rPr>
          <w:b/>
          <w:bCs/>
        </w:rPr>
        <w:t xml:space="preserve">Crisis or high‑risk content:</w:t>
      </w:r>
      <w:r>
        <w:t xml:space="preserve"> </w:t>
      </w:r>
      <w:r>
        <w:t xml:space="preserve">Messages flagged as self‑harm, suicidal or abusive should not be stored beyond the session. This reduces the risk of unauthorised access and respects the user’s privacy during vulnerable moments.</w:t>
      </w:r>
    </w:p>
    <w:p>
      <w:pPr>
        <w:pStyle w:val="Compact"/>
        <w:numPr>
          <w:ilvl w:val="0"/>
          <w:numId w:val="1011"/>
        </w:numPr>
      </w:pPr>
      <w:r>
        <w:rPr>
          <w:b/>
          <w:bCs/>
        </w:rPr>
        <w:t xml:space="preserve">Third‑party data:</w:t>
      </w:r>
      <w:r>
        <w:t xml:space="preserve"> </w:t>
      </w:r>
      <w:r>
        <w:t xml:space="preserve">Information about supporters or other individuals should only be stored if necessary and after obtaining consent from the user (and, where applicable, the supporter). Do not auto‑import contacts or calendars.</w:t>
      </w:r>
    </w:p>
    <w:p>
      <w:pPr>
        <w:pStyle w:val="Compact"/>
        <w:numPr>
          <w:ilvl w:val="0"/>
          <w:numId w:val="1011"/>
        </w:numPr>
      </w:pPr>
      <w:r>
        <w:rPr>
          <w:b/>
          <w:bCs/>
        </w:rPr>
        <w:t xml:space="preserve">User metadata (location, device data, analytics) beyond what is necessary for functionality:</w:t>
      </w:r>
      <w:r>
        <w:t xml:space="preserve"> </w:t>
      </w:r>
      <w:r>
        <w:t xml:space="preserve">Following privacy‑first principles</w:t>
      </w:r>
      <w:hyperlink r:id="rId41">
        <w:r>
          <w:rPr>
            <w:rStyle w:val="Hyperlink"/>
          </w:rPr>
          <w:t xml:space="preserve">[17]</w:t>
        </w:r>
      </w:hyperlink>
      <w:r>
        <w:t xml:space="preserve"> </w:t>
      </w:r>
      <w:r>
        <w:t xml:space="preserve">and data minimisation guidelines</w:t>
      </w:r>
      <w:hyperlink r:id="rId21">
        <w:r>
          <w:rPr>
            <w:rStyle w:val="Hyperlink"/>
          </w:rPr>
          <w:t xml:space="preserve">[1]</w:t>
        </w:r>
      </w:hyperlink>
      <w:r>
        <w:t xml:space="preserve">, avoid collecting telemetry or behavioural analytics unless the user opts in.</w:t>
      </w:r>
    </w:p>
    <w:bookmarkEnd w:id="42"/>
    <w:bookmarkStart w:id="47" w:name="privacy-and-memory-rules"/>
    <w:p>
      <w:pPr>
        <w:pStyle w:val="Heading2"/>
      </w:pPr>
      <w:r>
        <w:t xml:space="preserve">Privacy and Memory Rules</w:t>
      </w:r>
    </w:p>
    <w:p>
      <w:pPr>
        <w:numPr>
          <w:ilvl w:val="0"/>
          <w:numId w:val="1012"/>
        </w:numPr>
      </w:pPr>
      <w:r>
        <w:rPr>
          <w:b/>
          <w:bCs/>
        </w:rPr>
        <w:t xml:space="preserve">Local, user‑controlled storage:</w:t>
      </w:r>
      <w:r>
        <w:t xml:space="preserve"> </w:t>
      </w:r>
      <w:r>
        <w:t xml:space="preserve">Inspired by Mind Well’s privacy commitment</w:t>
      </w:r>
      <w:hyperlink r:id="rId43">
        <w:r>
          <w:rPr>
            <w:rStyle w:val="Hyperlink"/>
          </w:rPr>
          <w:t xml:space="preserve">[18]</w:t>
        </w:r>
      </w:hyperlink>
      <w:hyperlink r:id="rId41">
        <w:r>
          <w:rPr>
            <w:rStyle w:val="Hyperlink"/>
          </w:rPr>
          <w:t xml:space="preserve">[19]</w:t>
        </w:r>
      </w:hyperlink>
      <w:r>
        <w:t xml:space="preserve">, BecomingOS should store user data locally on the user’s device whenever possible. Core features should work offline; no third‑party servers should be required. Cloud sync (if offered) must be optional and end‑to‑end encrypted.</w:t>
      </w:r>
    </w:p>
    <w:p>
      <w:pPr>
        <w:numPr>
          <w:ilvl w:val="0"/>
          <w:numId w:val="1012"/>
        </w:numPr>
      </w:pPr>
      <w:r>
        <w:rPr>
          <w:b/>
          <w:bCs/>
        </w:rPr>
        <w:t xml:space="preserve">User control over data:</w:t>
      </w:r>
      <w:r>
        <w:t xml:space="preserve"> </w:t>
      </w:r>
      <w:r>
        <w:t xml:space="preserve">Users own their data and can export, delete or modify it at any time</w:t>
      </w:r>
      <w:hyperlink r:id="rId30">
        <w:r>
          <w:rPr>
            <w:rStyle w:val="Hyperlink"/>
          </w:rPr>
          <w:t xml:space="preserve">[13]</w:t>
        </w:r>
      </w:hyperlink>
      <w:r>
        <w:t xml:space="preserve">. Provide easy in‑app controls for deletion and a clear explanation of what deletion does. Remind users that deleting the app does not necessarily delete their data from backups; they should explicitly request deletion</w:t>
      </w:r>
      <w:hyperlink r:id="rId44">
        <w:r>
          <w:rPr>
            <w:rStyle w:val="Hyperlink"/>
          </w:rPr>
          <w:t xml:space="preserve">[20]</w:t>
        </w:r>
      </w:hyperlink>
      <w:r>
        <w:t xml:space="preserve">.</w:t>
      </w:r>
    </w:p>
    <w:p>
      <w:pPr>
        <w:numPr>
          <w:ilvl w:val="0"/>
          <w:numId w:val="1012"/>
        </w:numPr>
      </w:pPr>
      <w:r>
        <w:rPr>
          <w:b/>
          <w:bCs/>
        </w:rPr>
        <w:t xml:space="preserve">Data minimisation and de‑identification:</w:t>
      </w:r>
      <w:r>
        <w:t xml:space="preserve"> </w:t>
      </w:r>
      <w:r>
        <w:t xml:space="preserve">Only collect data essential for the service. If data is used for analytics or improvement, it must be de‑identified so it cannot reasonably be linked back to individual users</w:t>
      </w:r>
      <w:hyperlink r:id="rId21">
        <w:r>
          <w:rPr>
            <w:rStyle w:val="Hyperlink"/>
          </w:rPr>
          <w:t xml:space="preserve">[1]</w:t>
        </w:r>
      </w:hyperlink>
      <w:r>
        <w:t xml:space="preserve">. Publicly commit not to re‑identify data and require third‑party partners to make the same commitment</w:t>
      </w:r>
      <w:hyperlink r:id="rId45">
        <w:r>
          <w:rPr>
            <w:rStyle w:val="Hyperlink"/>
          </w:rPr>
          <w:t xml:space="preserve">[21]</w:t>
        </w:r>
      </w:hyperlink>
      <w:r>
        <w:t xml:space="preserve">.</w:t>
      </w:r>
    </w:p>
    <w:p>
      <w:pPr>
        <w:numPr>
          <w:ilvl w:val="0"/>
          <w:numId w:val="1012"/>
        </w:numPr>
      </w:pPr>
      <w:r>
        <w:rPr>
          <w:b/>
          <w:bCs/>
        </w:rPr>
        <w:t xml:space="preserve">Least privilege and privacy‑protective defaults:</w:t>
      </w:r>
      <w:r>
        <w:t xml:space="preserve"> </w:t>
      </w:r>
      <w:r>
        <w:t xml:space="preserve">When requesting permissions (e.g., calendar, contacts), ask for the minimum required and default to “off” until the user consents</w:t>
      </w:r>
      <w:hyperlink r:id="rId29">
        <w:r>
          <w:rPr>
            <w:rStyle w:val="Hyperlink"/>
          </w:rPr>
          <w:t xml:space="preserve">[12]</w:t>
        </w:r>
      </w:hyperlink>
      <w:r>
        <w:t xml:space="preserve">. Provide granular choices and transparent data flows</w:t>
      </w:r>
      <w:hyperlink r:id="rId28">
        <w:r>
          <w:rPr>
            <w:rStyle w:val="Hyperlink"/>
          </w:rPr>
          <w:t xml:space="preserve">[22]</w:t>
        </w:r>
      </w:hyperlink>
      <w:r>
        <w:t xml:space="preserve">.</w:t>
      </w:r>
    </w:p>
    <w:p>
      <w:pPr>
        <w:numPr>
          <w:ilvl w:val="0"/>
          <w:numId w:val="1012"/>
        </w:numPr>
      </w:pPr>
      <w:r>
        <w:rPr>
          <w:b/>
          <w:bCs/>
        </w:rPr>
        <w:t xml:space="preserve">Authentication and security:</w:t>
      </w:r>
      <w:r>
        <w:t xml:space="preserve"> </w:t>
      </w:r>
      <w:r>
        <w:t xml:space="preserve">Implement strong authentication, secure password policies and optional multi‑factor authentication</w:t>
      </w:r>
      <w:hyperlink r:id="rId46">
        <w:r>
          <w:rPr>
            <w:rStyle w:val="Hyperlink"/>
          </w:rPr>
          <w:t xml:space="preserve">[23]</w:t>
        </w:r>
      </w:hyperlink>
      <w:r>
        <w:t xml:space="preserve">. Store credentials securely; never store passwords in clear text.</w:t>
      </w:r>
    </w:p>
    <w:p>
      <w:pPr>
        <w:numPr>
          <w:ilvl w:val="0"/>
          <w:numId w:val="1012"/>
        </w:numPr>
      </w:pPr>
      <w:r>
        <w:rPr>
          <w:b/>
          <w:bCs/>
        </w:rPr>
        <w:t xml:space="preserve">No data sharing without explicit consent:</w:t>
      </w:r>
      <w:r>
        <w:t xml:space="preserve"> </w:t>
      </w:r>
      <w:r>
        <w:t xml:space="preserve">Do not sell or share personal data with advertisers or third parties. The Mozilla review praised apps that state they do not sell or disclose personal information</w:t>
      </w:r>
      <w:hyperlink r:id="rId36">
        <w:r>
          <w:rPr>
            <w:rStyle w:val="Hyperlink"/>
          </w:rPr>
          <w:t xml:space="preserve">[15]</w:t>
        </w:r>
      </w:hyperlink>
      <w:r>
        <w:t xml:space="preserve">. If aggregated or anonymised data is used to improve the service, disclose this in plain language and allow users to opt out.</w:t>
      </w:r>
    </w:p>
    <w:p>
      <w:pPr>
        <w:numPr>
          <w:ilvl w:val="0"/>
          <w:numId w:val="1012"/>
        </w:numPr>
      </w:pPr>
      <w:r>
        <w:rPr>
          <w:b/>
          <w:bCs/>
        </w:rPr>
        <w:t xml:space="preserve">Transparency:</w:t>
      </w:r>
      <w:r>
        <w:t xml:space="preserve"> </w:t>
      </w:r>
      <w:r>
        <w:t xml:space="preserve">Provide clear privacy notices explaining what data is collected, how it is used, how long it is retained and how users can exercise their rights</w:t>
      </w:r>
      <w:hyperlink r:id="rId28">
        <w:r>
          <w:rPr>
            <w:rStyle w:val="Hyperlink"/>
          </w:rPr>
          <w:t xml:space="preserve">[22]</w:t>
        </w:r>
      </w:hyperlink>
      <w:r>
        <w:t xml:space="preserve">. Use simple language, not legal jargon.</w:t>
      </w:r>
    </w:p>
    <w:p>
      <w:pPr>
        <w:numPr>
          <w:ilvl w:val="0"/>
          <w:numId w:val="1012"/>
        </w:numPr>
      </w:pPr>
      <w:r>
        <w:rPr>
          <w:b/>
          <w:bCs/>
        </w:rPr>
        <w:t xml:space="preserve">Audit trails and accountability:</w:t>
      </w:r>
      <w:r>
        <w:t xml:space="preserve"> </w:t>
      </w:r>
      <w:r>
        <w:t xml:space="preserve">Maintain logs of user consent and data‑sharing events (de‑identified and secure). Allow users to view an audit of when and what data was shared or accessed.</w:t>
      </w:r>
    </w:p>
    <w:bookmarkEnd w:id="47"/>
    <w:bookmarkStart w:id="50" w:name="supporter-sharing-rules"/>
    <w:p>
      <w:pPr>
        <w:pStyle w:val="Heading2"/>
      </w:pPr>
      <w:r>
        <w:t xml:space="preserve">Supporter Sharing Rules</w:t>
      </w:r>
    </w:p>
    <w:p>
      <w:pPr>
        <w:pStyle w:val="FirstParagraph"/>
      </w:pPr>
      <w:r>
        <w:t xml:space="preserve">BecomingOS may allow users to invite trusted individuals (“supporters”) to view certain reflections or progress updates. To ensure privacy and consent:</w:t>
      </w:r>
    </w:p>
    <w:p>
      <w:pPr>
        <w:numPr>
          <w:ilvl w:val="0"/>
          <w:numId w:val="1013"/>
        </w:numPr>
      </w:pPr>
      <w:r>
        <w:rPr>
          <w:b/>
          <w:bCs/>
        </w:rPr>
        <w:t xml:space="preserve">Opt‑in basis:</w:t>
      </w:r>
      <w:r>
        <w:t xml:space="preserve"> </w:t>
      </w:r>
      <w:r>
        <w:t xml:space="preserve">Supporter sharing must be off by default. Users decide whether to enable it and select which supporters to invite.</w:t>
      </w:r>
    </w:p>
    <w:p>
      <w:pPr>
        <w:numPr>
          <w:ilvl w:val="0"/>
          <w:numId w:val="1013"/>
        </w:numPr>
      </w:pPr>
      <w:r>
        <w:rPr>
          <w:b/>
          <w:bCs/>
        </w:rPr>
        <w:t xml:space="preserve">Granular permission levels:</w:t>
      </w:r>
      <w:r>
        <w:t xml:space="preserve"> </w:t>
      </w:r>
      <w:r>
        <w:t xml:space="preserve">Allow users to choose what types of data supporters can see (e.g., only goal progress, not full journal entries). Do not bundle all data under a single consent</w:t>
      </w:r>
      <w:hyperlink r:id="rId48">
        <w:r>
          <w:rPr>
            <w:rStyle w:val="Hyperlink"/>
          </w:rPr>
          <w:t xml:space="preserve">[24]</w:t>
        </w:r>
      </w:hyperlink>
      <w:r>
        <w:t xml:space="preserve">.</w:t>
      </w:r>
    </w:p>
    <w:p>
      <w:pPr>
        <w:numPr>
          <w:ilvl w:val="0"/>
          <w:numId w:val="1013"/>
        </w:numPr>
      </w:pPr>
      <w:r>
        <w:rPr>
          <w:b/>
          <w:bCs/>
        </w:rPr>
        <w:t xml:space="preserve">Clear explanation:</w:t>
      </w:r>
      <w:r>
        <w:t xml:space="preserve"> </w:t>
      </w:r>
      <w:r>
        <w:t xml:space="preserve">Before enabling sharing, explain what information will be shared, how it will be used and that supporters cannot provide emergency monitoring or crisis support. Remind users that BecomingOS is not a substitute for professional care.</w:t>
      </w:r>
    </w:p>
    <w:p>
      <w:pPr>
        <w:numPr>
          <w:ilvl w:val="0"/>
          <w:numId w:val="1013"/>
        </w:numPr>
      </w:pPr>
      <w:r>
        <w:rPr>
          <w:b/>
          <w:bCs/>
        </w:rPr>
        <w:t xml:space="preserve">Consent from supporters:</w:t>
      </w:r>
      <w:r>
        <w:t xml:space="preserve"> </w:t>
      </w:r>
      <w:r>
        <w:t xml:space="preserve">Obtain the supporter’s agreement to respect the user’s privacy and not misuse shared information. Provide them with guidelines on how to respond if the user discloses distressing content (e.g., encourage seeking professional help).</w:t>
      </w:r>
    </w:p>
    <w:p>
      <w:pPr>
        <w:numPr>
          <w:ilvl w:val="0"/>
          <w:numId w:val="1013"/>
        </w:numPr>
      </w:pPr>
      <w:r>
        <w:rPr>
          <w:b/>
          <w:bCs/>
        </w:rPr>
        <w:t xml:space="preserve">Revocation:</w:t>
      </w:r>
      <w:r>
        <w:t xml:space="preserve"> </w:t>
      </w:r>
      <w:r>
        <w:t xml:space="preserve">Users can revoke supporter access at any time. The system should immediately terminate the supporter’s access and delete their copy of the shared data (if stored)</w:t>
      </w:r>
      <w:hyperlink r:id="rId49">
        <w:r>
          <w:rPr>
            <w:rStyle w:val="Hyperlink"/>
          </w:rPr>
          <w:t xml:space="preserve">[25]</w:t>
        </w:r>
      </w:hyperlink>
      <w:r>
        <w:t xml:space="preserve">.</w:t>
      </w:r>
    </w:p>
    <w:p>
      <w:pPr>
        <w:numPr>
          <w:ilvl w:val="0"/>
          <w:numId w:val="1013"/>
        </w:numPr>
      </w:pPr>
      <w:r>
        <w:rPr>
          <w:b/>
          <w:bCs/>
        </w:rPr>
        <w:t xml:space="preserve">No hidden notifications:</w:t>
      </w:r>
      <w:r>
        <w:t xml:space="preserve"> </w:t>
      </w:r>
      <w:r>
        <w:t xml:space="preserve">Do not notify supporters of every user action. Only share what the user has approved, and avoid real‑time alerts unless the user explicitly enables them (e.g., weekly summary). This prevents unintentional surveillance.</w:t>
      </w:r>
    </w:p>
    <w:p>
      <w:pPr>
        <w:numPr>
          <w:ilvl w:val="0"/>
          <w:numId w:val="1013"/>
        </w:numPr>
      </w:pPr>
      <w:r>
        <w:rPr>
          <w:b/>
          <w:bCs/>
        </w:rPr>
        <w:t xml:space="preserve">No automatic crisis escalation:</w:t>
      </w:r>
      <w:r>
        <w:t xml:space="preserve"> </w:t>
      </w:r>
      <w:r>
        <w:t xml:space="preserve">The AI should not send supporter alerts about high‑risk inputs without the user’s consent. Instead, provide the user with crisis resources and encourage them to seek help directly. If legal obligations exist (e.g., imminent harm), follow applicable laws but inform users of these policies.</w:t>
      </w:r>
    </w:p>
    <w:p>
      <w:pPr>
        <w:numPr>
          <w:ilvl w:val="0"/>
          <w:numId w:val="1013"/>
        </w:numPr>
      </w:pPr>
      <w:r>
        <w:rPr>
          <w:b/>
          <w:bCs/>
        </w:rPr>
        <w:t xml:space="preserve">Protect supporter data:</w:t>
      </w:r>
      <w:r>
        <w:t xml:space="preserve"> </w:t>
      </w:r>
      <w:r>
        <w:t xml:space="preserve">Collect only essential information about supporters (e.g., name, email). Do not share supporter data with third parties. Allow supporters to delete their information.</w:t>
      </w:r>
    </w:p>
    <w:p>
      <w:pPr>
        <w:numPr>
          <w:ilvl w:val="0"/>
          <w:numId w:val="1013"/>
        </w:numPr>
      </w:pPr>
      <w:r>
        <w:rPr>
          <w:b/>
          <w:bCs/>
        </w:rPr>
        <w:t xml:space="preserve">Calendar approvals:</w:t>
      </w:r>
      <w:r>
        <w:t xml:space="preserve"> </w:t>
      </w:r>
      <w:r>
        <w:t xml:space="preserve">If users share calendar events with supporters, they must confirm before sending invites. The invitation should describe the event without exposing private journal content.</w:t>
      </w:r>
    </w:p>
    <w:p>
      <w:pPr>
        <w:pStyle w:val="FirstParagraph"/>
      </w:pPr>
      <w:r>
        <w:t xml:space="preserve">By following these policies, BecomingOS can provide meaningful self‑reflection and planning support while maintaining clear safety boundaries and respecting user privacy.</w:t>
      </w:r>
    </w:p>
    <w:bookmarkEnd w:id="50"/>
    <w:bookmarkEnd w:id="51"/>
    <w:bookmarkEnd w:id="52"/>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9">
        <w:r>
          <w:rPr>
            <w:rStyle w:val="Hyperlink"/>
          </w:rPr>
          <w:t xml:space="preserve">[12]</w:t>
        </w:r>
      </w:hyperlink>
      <w:r>
        <w:t xml:space="preserve"> </w:t>
      </w:r>
      <w:hyperlink r:id="rId45">
        <w:r>
          <w:rPr>
            <w:rStyle w:val="Hyperlink"/>
          </w:rPr>
          <w:t xml:space="preserve">[21]</w:t>
        </w:r>
      </w:hyperlink>
      <w:r>
        <w:t xml:space="preserve"> </w:t>
      </w:r>
      <w:hyperlink r:id="rId46">
        <w:r>
          <w:rPr>
            <w:rStyle w:val="Hyperlink"/>
          </w:rPr>
          <w:t xml:space="preserve">[23]</w:t>
        </w:r>
      </w:hyperlink>
      <w:r>
        <w:t xml:space="preserve"> </w:t>
      </w:r>
      <w:r>
        <w:t xml:space="preserve">Mobile Health App Developers: FTC Best Practices | Federal Trade Commission</w:t>
      </w:r>
    </w:p>
    <w:p>
      <w:pPr>
        <w:pStyle w:val="BodyText"/>
      </w:pPr>
      <w:hyperlink r:id="rId29">
        <w:r>
          <w:rPr>
            <w:rStyle w:val="Hyperlink"/>
          </w:rPr>
          <w:t xml:space="preserve">https://www.ftc.gov/business-guidance/resources/mobile-health-app-developers-ftc-best-practices</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3">
        <w:r>
          <w:rPr>
            <w:rStyle w:val="Hyperlink"/>
          </w:rPr>
          <w:t xml:space="preserve">[8]</w:t>
        </w:r>
      </w:hyperlink>
      <w:r>
        <w:t xml:space="preserve"> </w:t>
      </w:r>
      <w:hyperlink r:id="rId26">
        <w:r>
          <w:rPr>
            <w:rStyle w:val="Hyperlink"/>
          </w:rPr>
          <w:t xml:space="preserve">[10]</w:t>
        </w:r>
      </w:hyperlink>
      <w:r>
        <w:t xml:space="preserve"> </w:t>
      </w:r>
      <w:r>
        <w:t xml:space="preserve">Legal Disclaimer | VoCalm</w:t>
      </w:r>
    </w:p>
    <w:p>
      <w:pPr>
        <w:pStyle w:val="BodyText"/>
      </w:pPr>
      <w:hyperlink r:id="rId53">
        <w:r>
          <w:rPr>
            <w:rStyle w:val="Hyperlink"/>
          </w:rPr>
          <w:t xml:space="preserve">https://vocalm.io/legal-disclaimer</w:t>
        </w:r>
      </w:hyperlink>
    </w:p>
    <w:p>
      <w:pPr>
        <w:pStyle w:val="BodyText"/>
      </w:pPr>
      <w:hyperlink r:id="rId24">
        <w:r>
          <w:rPr>
            <w:rStyle w:val="Hyperlink"/>
          </w:rPr>
          <w:t xml:space="preserve">[5]</w:t>
        </w:r>
      </w:hyperlink>
      <w:r>
        <w:t xml:space="preserve"> </w:t>
      </w:r>
      <w:hyperlink r:id="rId24">
        <w:r>
          <w:rPr>
            <w:rStyle w:val="Hyperlink"/>
          </w:rPr>
          <w:t xml:space="preserve">[9]</w:t>
        </w:r>
      </w:hyperlink>
      <w:r>
        <w:t xml:space="preserve"> </w:t>
      </w:r>
      <w:hyperlink r:id="rId24">
        <w:r>
          <w:rPr>
            <w:rStyle w:val="Hyperlink"/>
          </w:rPr>
          <w:t xml:space="preserve">[14]</w:t>
        </w:r>
      </w:hyperlink>
      <w:r>
        <w:t xml:space="preserve"> </w:t>
      </w:r>
      <w:r>
        <w:t xml:space="preserve">Health advisory: Use of generative AI chatbots and wellness applications for mental health</w:t>
      </w:r>
    </w:p>
    <w:p>
      <w:pPr>
        <w:pStyle w:val="BodyText"/>
      </w:pPr>
      <w:hyperlink r:id="rId24">
        <w:r>
          <w:rPr>
            <w:rStyle w:val="Hyperlink"/>
          </w:rPr>
          <w:t xml:space="preserve">https://www.apa.org/topics/artificial-intelligence-machine-learning/health-advisory-chatbots-wellness-apps</w:t>
        </w:r>
      </w:hyperlink>
    </w:p>
    <w:p>
      <w:pPr>
        <w:pStyle w:val="BodyText"/>
      </w:pPr>
      <w:hyperlink r:id="rId28">
        <w:r>
          <w:rPr>
            <w:rStyle w:val="Hyperlink"/>
          </w:rPr>
          <w:t xml:space="preserve">[11]</w:t>
        </w:r>
      </w:hyperlink>
      <w:r>
        <w:t xml:space="preserve"> </w:t>
      </w:r>
      <w:hyperlink r:id="rId39">
        <w:r>
          <w:rPr>
            <w:rStyle w:val="Hyperlink"/>
          </w:rPr>
          <w:t xml:space="preserve">[16]</w:t>
        </w:r>
      </w:hyperlink>
      <w:r>
        <w:t xml:space="preserve"> </w:t>
      </w:r>
      <w:hyperlink r:id="rId28">
        <w:r>
          <w:rPr>
            <w:rStyle w:val="Hyperlink"/>
          </w:rPr>
          <w:t xml:space="preserve">[22]</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r>
        <w:t xml:space="preserve">AI Consent Management Best Practices: Your Complete 2025 Guide</w:t>
      </w:r>
    </w:p>
    <w:p>
      <w:pPr>
        <w:pStyle w:val="BodyText"/>
      </w:pPr>
      <w:hyperlink r:id="rId54">
        <w:r>
          <w:rPr>
            <w:rStyle w:val="Hyperlink"/>
          </w:rPr>
          <w:t xml:space="preserve">https://dialzara.com/blog/10-ai-consent-management-best-practices-2024</w:t>
        </w:r>
      </w:hyperlink>
    </w:p>
    <w:p>
      <w:pPr>
        <w:pStyle w:val="BodyText"/>
      </w:pPr>
      <w:hyperlink r:id="rId30">
        <w:r>
          <w:rPr>
            <w:rStyle w:val="Hyperlink"/>
          </w:rPr>
          <w:t xml:space="preserve">[13]</w:t>
        </w:r>
      </w:hyperlink>
      <w:r>
        <w:t xml:space="preserve"> </w:t>
      </w:r>
      <w:hyperlink r:id="rId41">
        <w:r>
          <w:rPr>
            <w:rStyle w:val="Hyperlink"/>
          </w:rPr>
          <w:t xml:space="preserve">[17]</w:t>
        </w:r>
      </w:hyperlink>
      <w:r>
        <w:t xml:space="preserve"> </w:t>
      </w:r>
      <w:hyperlink r:id="rId43">
        <w:r>
          <w:rPr>
            <w:rStyle w:val="Hyperlink"/>
          </w:rPr>
          <w:t xml:space="preserve">[18]</w:t>
        </w:r>
      </w:hyperlink>
      <w:r>
        <w:t xml:space="preserve"> </w:t>
      </w:r>
      <w:hyperlink r:id="rId41">
        <w:r>
          <w:rPr>
            <w:rStyle w:val="Hyperlink"/>
          </w:rPr>
          <w:t xml:space="preserve">[19]</w:t>
        </w:r>
      </w:hyperlink>
      <w:r>
        <w:t xml:space="preserve"> </w:t>
      </w:r>
      <w:r>
        <w:t xml:space="preserve">About Mind Well | Mind Well</w:t>
      </w:r>
    </w:p>
    <w:p>
      <w:pPr>
        <w:pStyle w:val="BodyText"/>
      </w:pPr>
      <w:hyperlink r:id="rId55">
        <w:r>
          <w:rPr>
            <w:rStyle w:val="Hyperlink"/>
          </w:rPr>
          <w:t xml:space="preserve">https://mind-well.health/about</w:t>
        </w:r>
      </w:hyperlink>
    </w:p>
    <w:p>
      <w:pPr>
        <w:pStyle w:val="BodyText"/>
      </w:pPr>
      <w:hyperlink r:id="rId36">
        <w:r>
          <w:rPr>
            <w:rStyle w:val="Hyperlink"/>
          </w:rPr>
          <w:t xml:space="preserve">[15]</w:t>
        </w:r>
      </w:hyperlink>
      <w:r>
        <w:t xml:space="preserve"> </w:t>
      </w:r>
      <w:hyperlink r:id="rId44">
        <w:r>
          <w:rPr>
            <w:rStyle w:val="Hyperlink"/>
          </w:rPr>
          <w:t xml:space="preserve">[20]</w:t>
        </w:r>
      </w:hyperlink>
      <w:r>
        <w:t xml:space="preserve"> </w:t>
      </w:r>
      <w:r>
        <w:t xml:space="preserve"> </w:t>
      </w:r>
      <w:r>
        <w:t xml:space="preserve">Modern Health | Privacy &amp; security guide | Mozilla Foundation</w:t>
      </w:r>
      <w:r>
        <w:t xml:space="preserve"> </w:t>
      </w:r>
    </w:p>
    <w:p>
      <w:pPr>
        <w:pStyle w:val="BodyText"/>
      </w:pPr>
      <w:hyperlink r:id="rId56">
        <w:r>
          <w:rPr>
            <w:rStyle w:val="Hyperlink"/>
          </w:rPr>
          <w:t xml:space="preserve">https://www.mozillafoundation.org/en/privacynotincluded/modern-health/</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dialzara.com/blog/10-ai-consent-management-best-practices-2024" TargetMode="External" /><Relationship Type="http://schemas.openxmlformats.org/officeDocument/2006/relationships/hyperlink" Id="rId28" Target="https://dialzara.com/blog/10-ai-consent-management-best-practices-2024#:~:text=Be%20specific%20about%20AI%20usage" TargetMode="External" /><Relationship Type="http://schemas.openxmlformats.org/officeDocument/2006/relationships/hyperlink" Id="rId48" Target="https://dialzara.com/blog/10-ai-consent-management-best-practices-2024#:~:text=Implement%20granular%20consent%20options" TargetMode="External" /><Relationship Type="http://schemas.openxmlformats.org/officeDocument/2006/relationships/hyperlink" Id="rId49" Target="https://dialzara.com/blog/10-ai-consent-management-best-practices-2024#:~:text=Real" TargetMode="External" /><Relationship Type="http://schemas.openxmlformats.org/officeDocument/2006/relationships/hyperlink" Id="rId39" Target="https://dialzara.com/blog/10-ai-consent-management-best-practices-2024#:~:text=Transparent%20data%20flows" TargetMode="External" /><Relationship Type="http://schemas.openxmlformats.org/officeDocument/2006/relationships/hyperlink" Id="rId55" Target="https://mind-well.health/about" TargetMode="External" /><Relationship Type="http://schemas.openxmlformats.org/officeDocument/2006/relationships/hyperlink" Id="rId41" Target="https://mind-well.health/about#:~:text=%23%20100" TargetMode="External" /><Relationship Type="http://schemas.openxmlformats.org/officeDocument/2006/relationships/hyperlink" Id="rId43" Target="https://mind-well.health/about#:~:text=All%20your%20data%20stays%20on,health%20information%20is%20completely%20private" TargetMode="External" /><Relationship Type="http://schemas.openxmlformats.org/officeDocument/2006/relationships/hyperlink" Id="rId30" Target="https://mind-well.health/about#:~:text=You%20own%20your%20data,it%E2%80%94the%20choice%20is%20always%20yours" TargetMode="External" /><Relationship Type="http://schemas.openxmlformats.org/officeDocument/2006/relationships/hyperlink" Id="rId53" Target="https://vocalm.io/legal-disclaimer" TargetMode="External" /><Relationship Type="http://schemas.openxmlformats.org/officeDocument/2006/relationships/hyperlink" Id="rId26" Target="https://vocalm.io/legal-disclaimer#:~:text=CRITICAL%3A%20VoCalm%20is%20NOT%20an,and%20CANNOT%20provide%20emergency%20intervention" TargetMode="External" /><Relationship Type="http://schemas.openxmlformats.org/officeDocument/2006/relationships/hyperlink" Id="rId25" Target="https://vocalm.io/legal-disclaimer#:~:text=Not%20for%20Medical%20Conditions" TargetMode="External" /><Relationship Type="http://schemas.openxmlformats.org/officeDocument/2006/relationships/hyperlink" Id="rId22" Target="https://vocalm.io/legal-disclaimer#:~:text=VoCalm%20is%20a%20digital%20wellness,management%20tool%20designed%20to%20support" TargetMode="External" /><Relationship Type="http://schemas.openxmlformats.org/officeDocument/2006/relationships/hyperlink" Id="rId23" Target="https://vocalm.io/legal-disclaimer#:~:text=What%20VoCalm%20IS%20NOT" TargetMode="External" /><Relationship Type="http://schemas.openxmlformats.org/officeDocument/2006/relationships/hyperlink" Id="rId24" Target="https://www.apa.org/topics/artificial-intelligence-machine-learning/health-advisory-chatbots-wellness-apps" TargetMode="External" /><Relationship Type="http://schemas.openxmlformats.org/officeDocument/2006/relationships/hyperlink" Id="rId29" Target="https://www.ftc.gov/business-guidance/resources/mobile-health-app-developers-ftc-best-practices" TargetMode="External" /><Relationship Type="http://schemas.openxmlformats.org/officeDocument/2006/relationships/hyperlink" Id="rId21" Target="https://www.ftc.gov/business-guidance/resources/mobile-health-app-developers-ftc-best-practices#:~:text=1" TargetMode="External" /><Relationship Type="http://schemas.openxmlformats.org/officeDocument/2006/relationships/hyperlink" Id="rId46" Target="https://www.ftc.gov/business-guidance/resources/mobile-health-app-developers-ftc-best-practices#:~:text=3" TargetMode="External" /><Relationship Type="http://schemas.openxmlformats.org/officeDocument/2006/relationships/hyperlink" Id="rId45" Target="https://www.ftc.gov/business-guidance/resources/mobile-health-app-developers-ftc-best-practices#:~:text=Since%20re,sure%20they%20live%20up%20to" TargetMode="External" /><Relationship Type="http://schemas.openxmlformats.org/officeDocument/2006/relationships/hyperlink" Id="rId56" Target="https://www.mozillafoundation.org/en/privacynotincluded/modern-health/" TargetMode="External" /><Relationship Type="http://schemas.openxmlformats.org/officeDocument/2006/relationships/hyperlink" Id="rId44" Target="https://www.mozillafoundation.org/en/privacynotincluded/modern-health/#:~:text=,of%20your%20data%20if%20possible" TargetMode="External" /><Relationship Type="http://schemas.openxmlformats.org/officeDocument/2006/relationships/hyperlink" Id="rId36" Target="https://www.mozillafoundation.org/en/privacynotincluded/modern-health/#:~:text=they%20live%20under%2C%20have%20the,something%20we%20like%20to%20see" TargetMode="External" /></Relationships>
</file>

<file path=word/_rels/footnotes.xml.rels><?xml version="1.0" encoding="UTF-8"?><Relationships xmlns="http://schemas.openxmlformats.org/package/2006/relationships"><Relationship Type="http://schemas.openxmlformats.org/officeDocument/2006/relationships/hyperlink" Id="rId54" Target="https://dialzara.com/blog/10-ai-consent-management-best-practices-2024" TargetMode="External" /><Relationship Type="http://schemas.openxmlformats.org/officeDocument/2006/relationships/hyperlink" Id="rId28" Target="https://dialzara.com/blog/10-ai-consent-management-best-practices-2024#:~:text=Be%20specific%20about%20AI%20usage" TargetMode="External" /><Relationship Type="http://schemas.openxmlformats.org/officeDocument/2006/relationships/hyperlink" Id="rId48" Target="https://dialzara.com/blog/10-ai-consent-management-best-practices-2024#:~:text=Implement%20granular%20consent%20options" TargetMode="External" /><Relationship Type="http://schemas.openxmlformats.org/officeDocument/2006/relationships/hyperlink" Id="rId49" Target="https://dialzara.com/blog/10-ai-consent-management-best-practices-2024#:~:text=Real" TargetMode="External" /><Relationship Type="http://schemas.openxmlformats.org/officeDocument/2006/relationships/hyperlink" Id="rId39" Target="https://dialzara.com/blog/10-ai-consent-management-best-practices-2024#:~:text=Transparent%20data%20flows" TargetMode="External" /><Relationship Type="http://schemas.openxmlformats.org/officeDocument/2006/relationships/hyperlink" Id="rId55" Target="https://mind-well.health/about" TargetMode="External" /><Relationship Type="http://schemas.openxmlformats.org/officeDocument/2006/relationships/hyperlink" Id="rId41" Target="https://mind-well.health/about#:~:text=%23%20100" TargetMode="External" /><Relationship Type="http://schemas.openxmlformats.org/officeDocument/2006/relationships/hyperlink" Id="rId43" Target="https://mind-well.health/about#:~:text=All%20your%20data%20stays%20on,health%20information%20is%20completely%20private" TargetMode="External" /><Relationship Type="http://schemas.openxmlformats.org/officeDocument/2006/relationships/hyperlink" Id="rId30" Target="https://mind-well.health/about#:~:text=You%20own%20your%20data,it%E2%80%94the%20choice%20is%20always%20yours" TargetMode="External" /><Relationship Type="http://schemas.openxmlformats.org/officeDocument/2006/relationships/hyperlink" Id="rId53" Target="https://vocalm.io/legal-disclaimer" TargetMode="External" /><Relationship Type="http://schemas.openxmlformats.org/officeDocument/2006/relationships/hyperlink" Id="rId26" Target="https://vocalm.io/legal-disclaimer#:~:text=CRITICAL%3A%20VoCalm%20is%20NOT%20an,and%20CANNOT%20provide%20emergency%20intervention" TargetMode="External" /><Relationship Type="http://schemas.openxmlformats.org/officeDocument/2006/relationships/hyperlink" Id="rId25" Target="https://vocalm.io/legal-disclaimer#:~:text=Not%20for%20Medical%20Conditions" TargetMode="External" /><Relationship Type="http://schemas.openxmlformats.org/officeDocument/2006/relationships/hyperlink" Id="rId22" Target="https://vocalm.io/legal-disclaimer#:~:text=VoCalm%20is%20a%20digital%20wellness,management%20tool%20designed%20to%20support" TargetMode="External" /><Relationship Type="http://schemas.openxmlformats.org/officeDocument/2006/relationships/hyperlink" Id="rId23" Target="https://vocalm.io/legal-disclaimer#:~:text=What%20VoCalm%20IS%20NOT" TargetMode="External" /><Relationship Type="http://schemas.openxmlformats.org/officeDocument/2006/relationships/hyperlink" Id="rId24" Target="https://www.apa.org/topics/artificial-intelligence-machine-learning/health-advisory-chatbots-wellness-apps" TargetMode="External" /><Relationship Type="http://schemas.openxmlformats.org/officeDocument/2006/relationships/hyperlink" Id="rId29" Target="https://www.ftc.gov/business-guidance/resources/mobile-health-app-developers-ftc-best-practices" TargetMode="External" /><Relationship Type="http://schemas.openxmlformats.org/officeDocument/2006/relationships/hyperlink" Id="rId21" Target="https://www.ftc.gov/business-guidance/resources/mobile-health-app-developers-ftc-best-practices#:~:text=1" TargetMode="External" /><Relationship Type="http://schemas.openxmlformats.org/officeDocument/2006/relationships/hyperlink" Id="rId46" Target="https://www.ftc.gov/business-guidance/resources/mobile-health-app-developers-ftc-best-practices#:~:text=3" TargetMode="External" /><Relationship Type="http://schemas.openxmlformats.org/officeDocument/2006/relationships/hyperlink" Id="rId45" Target="https://www.ftc.gov/business-guidance/resources/mobile-health-app-developers-ftc-best-practices#:~:text=Since%20re,sure%20they%20live%20up%20to" TargetMode="External" /><Relationship Type="http://schemas.openxmlformats.org/officeDocument/2006/relationships/hyperlink" Id="rId56" Target="https://www.mozillafoundation.org/en/privacynotincluded/modern-health/" TargetMode="External" /><Relationship Type="http://schemas.openxmlformats.org/officeDocument/2006/relationships/hyperlink" Id="rId44" Target="https://www.mozillafoundation.org/en/privacynotincluded/modern-health/#:~:text=,of%20your%20data%20if%20possible" TargetMode="External" /><Relationship Type="http://schemas.openxmlformats.org/officeDocument/2006/relationships/hyperlink" Id="rId36" Target="https://www.mozillafoundation.org/en/privacynotincluded/modern-health/#:~:text=they%20live%20under%2C%20have%20the,something%20we%20like%20to%20s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2026-05-14T12:27:45Z</dcterms:created>
  <dcterms:modified xsi:type="dcterms:W3CDTF">2026-05-14T12:27:45Z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