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becomingos-master-orchestration-plan"/>
    <w:p>
      <w:pPr>
        <w:pStyle w:val="Heading1"/>
      </w:pPr>
      <w:r>
        <w:t xml:space="preserve">BecomingOS Master Orchestration Plan</w:t>
      </w:r>
    </w:p>
    <w:bookmarkStart w:id="23" w:name="introduction"/>
    <w:p>
      <w:pPr>
        <w:pStyle w:val="Heading2"/>
      </w:pPr>
      <w:r>
        <w:t xml:space="preserve">Introduction</w:t>
      </w:r>
    </w:p>
    <w:p>
      <w:pPr>
        <w:pStyle w:val="FirstParagraph"/>
      </w:pPr>
      <w:r>
        <w:t xml:space="preserve">BecomingOS is an educational, non‑clinical personal operating system for self‑discovery, behaviour alignment and daily action. It deliberately avoids therapy, diagnosis, legal/medical/financial advice, crisis monitoring or any other high‑impact decision making. The current codebase is documentation only; no production code exists. Before engineering can start, a series of specialist agents must produce evidence‑backed documents. This plan guides their work and sequencing.</w:t>
      </w:r>
    </w:p>
    <w:p>
      <w:pPr>
        <w:pStyle w:val="BodyText"/>
      </w:pPr>
      <w:r>
        <w:rPr>
          <w:b/>
          <w:bCs/>
        </w:rPr>
        <w:t xml:space="preserve">Scope</w:t>
      </w:r>
      <w:r>
        <w:t xml:space="preserve"> </w:t>
      </w:r>
      <w:r>
        <w:t xml:space="preserve">– The plan focuses on closing</w:t>
      </w:r>
      <w:r>
        <w:t xml:space="preserve"> </w:t>
      </w:r>
      <w:r>
        <w:rPr>
          <w:b/>
          <w:bCs/>
        </w:rPr>
        <w:t xml:space="preserve">P0 blockers</w:t>
      </w:r>
      <w:r>
        <w:t xml:space="preserve"> </w:t>
      </w:r>
      <w:r>
        <w:t xml:space="preserve">before any technical architecture or MVP build. It defines objectives, required inputs, expected deliverables, acceptance criteria, dependencies and risks for each agent, based on the documented readiness checklist</w:t>
      </w:r>
      <w:hyperlink r:id="rId21">
        <w:r>
          <w:rPr>
            <w:rStyle w:val="Hyperlink"/>
          </w:rPr>
          <w:t xml:space="preserve">[1]</w:t>
        </w:r>
      </w:hyperlink>
      <w:hyperlink r:id="rId22">
        <w:r>
          <w:rPr>
            <w:rStyle w:val="Hyperlink"/>
          </w:rPr>
          <w:t xml:space="preserve">[2]</w:t>
        </w:r>
      </w:hyperlink>
      <w:r>
        <w:t xml:space="preserve">. It also provides a dependency map, recommended execution order, go/no‑go checklist and a list of documents needed before engineering begins.</w:t>
      </w:r>
    </w:p>
    <w:bookmarkEnd w:id="23"/>
    <w:bookmarkStart w:id="66" w:name="specialist-agent-work-plans"/>
    <w:p>
      <w:pPr>
        <w:pStyle w:val="Heading2"/>
      </w:pPr>
      <w:r>
        <w:t xml:space="preserve">Specialist agent work plans</w:t>
      </w:r>
    </w:p>
    <w:bookmarkStart w:id="29" w:name="master-orchestrator-agent-p0"/>
    <w:p>
      <w:pPr>
        <w:pStyle w:val="Heading3"/>
      </w:pPr>
      <w:r>
        <w:t xml:space="preserve">1. Master Orchestrator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Define overall execution plan, sequencing, dependencies and go/no‑go rules for BecomingOS readiness. Ensure all other agents have clear mandates and that P0 evidence is gathered before architectural work begins.</w:t>
            </w:r>
          </w:p>
        </w:tc>
      </w:tr>
      <w:tr>
        <w:tc>
          <w:tcPr/>
          <w:p>
            <w:pPr>
              <w:pStyle w:val="Compact"/>
            </w:pPr>
            <w:r>
              <w:rPr>
                <w:b/>
                <w:bCs/>
              </w:rPr>
              <w:t xml:space="preserve">Inputs needed</w:t>
            </w:r>
          </w:p>
        </w:tc>
        <w:tc>
          <w:tcPr/>
          <w:p>
            <w:pPr>
              <w:pStyle w:val="Compact"/>
            </w:pPr>
            <w:r>
              <w:t xml:space="preserve">The</w:t>
            </w:r>
            <w:r>
              <w:t xml:space="preserve"> </w:t>
            </w:r>
            <w:r>
              <w:rPr>
                <w:rStyle w:val="VerbatimChar"/>
              </w:rPr>
              <w:t xml:space="preserve">Agent Execution Order</w:t>
            </w:r>
            <w:r>
              <w:t xml:space="preserve">,</w:t>
            </w:r>
            <w:r>
              <w:t xml:space="preserve"> </w:t>
            </w:r>
            <w:r>
              <w:rPr>
                <w:rStyle w:val="VerbatimChar"/>
              </w:rPr>
              <w:t xml:space="preserve">Agent Output Index</w:t>
            </w:r>
            <w:r>
              <w:t xml:space="preserve"> </w:t>
            </w:r>
            <w:r>
              <w:t xml:space="preserve">and</w:t>
            </w:r>
            <w:r>
              <w:t xml:space="preserve"> </w:t>
            </w:r>
            <w:r>
              <w:rPr>
                <w:rStyle w:val="VerbatimChar"/>
              </w:rPr>
              <w:t xml:space="preserve">Agent Readiness Checklist</w:t>
            </w:r>
            <w:r>
              <w:t xml:space="preserve"> </w:t>
            </w:r>
            <w:r>
              <w:t xml:space="preserve">documents</w:t>
            </w:r>
            <w:hyperlink r:id="rId24">
              <w:r>
                <w:rPr>
                  <w:rStyle w:val="Hyperlink"/>
                </w:rPr>
                <w:t xml:space="preserve">[3]</w:t>
              </w:r>
            </w:hyperlink>
            <w:hyperlink r:id="rId25">
              <w:r>
                <w:rPr>
                  <w:rStyle w:val="Hyperlink"/>
                </w:rPr>
                <w:t xml:space="preserve">[4]</w:t>
              </w:r>
            </w:hyperlink>
            <w:hyperlink r:id="rId26">
              <w:r>
                <w:rPr>
                  <w:rStyle w:val="Hyperlink"/>
                </w:rPr>
                <w:t xml:space="preserve">[5]</w:t>
              </w:r>
            </w:hyperlink>
            <w:r>
              <w:t xml:space="preserve">; any existing drafts from previous agents; high‑level product intent.</w:t>
            </w:r>
          </w:p>
        </w:tc>
      </w:tr>
      <w:tr>
        <w:tc>
          <w:tcPr/>
          <w:p>
            <w:pPr>
              <w:pStyle w:val="Compact"/>
            </w:pPr>
            <w:r>
              <w:rPr>
                <w:b/>
                <w:bCs/>
              </w:rPr>
              <w:t xml:space="preserve">Deliverables</w:t>
            </w:r>
          </w:p>
        </w:tc>
        <w:tc>
          <w:tcPr/>
          <w:p>
            <w:pPr>
              <w:pStyle w:val="Compact"/>
            </w:pPr>
            <w:r>
              <w:t xml:space="preserve">1. Work plan (this document) outlining objectives, inputs, deliverables, acceptance criteria, dependencies and risks for each specialist agent; 2. Recommended execution order; 3. Dependency map; 4. Go/no‑go checklist for moving from prototype to MVP; 5. List of required documents before engineering begins.</w:t>
            </w:r>
          </w:p>
        </w:tc>
      </w:tr>
      <w:tr>
        <w:tc>
          <w:tcPr/>
          <w:p>
            <w:pPr>
              <w:pStyle w:val="Compact"/>
            </w:pPr>
            <w:r>
              <w:rPr>
                <w:b/>
                <w:bCs/>
              </w:rPr>
              <w:t xml:space="preserve">Acceptance criteria</w:t>
            </w:r>
          </w:p>
        </w:tc>
        <w:tc>
          <w:tcPr/>
          <w:p>
            <w:pPr>
              <w:pStyle w:val="Compact"/>
            </w:pPr>
            <w:r>
              <w:t xml:space="preserve">The plan covers all agents listed in the execution order</w:t>
            </w:r>
            <w:hyperlink r:id="rId27">
              <w:r>
                <w:rPr>
                  <w:rStyle w:val="Hyperlink"/>
                </w:rPr>
                <w:t xml:space="preserve">[6]</w:t>
              </w:r>
            </w:hyperlink>
            <w:r>
              <w:t xml:space="preserve">, uses the readiness checklist as the benchmark</w:t>
            </w:r>
            <w:hyperlink r:id="rId26">
              <w:r>
                <w:rPr>
                  <w:rStyle w:val="Hyperlink"/>
                </w:rPr>
                <w:t xml:space="preserve">[5]</w:t>
              </w:r>
            </w:hyperlink>
            <w:r>
              <w:t xml:space="preserve">, clearly defines dependencies, and is accepted by the product lead.</w:t>
            </w:r>
          </w:p>
        </w:tc>
      </w:tr>
      <w:tr>
        <w:tc>
          <w:tcPr/>
          <w:p>
            <w:pPr>
              <w:pStyle w:val="Compact"/>
            </w:pPr>
            <w:r>
              <w:rPr>
                <w:b/>
                <w:bCs/>
              </w:rPr>
              <w:t xml:space="preserve">Dependencies</w:t>
            </w:r>
          </w:p>
        </w:tc>
        <w:tc>
          <w:tcPr/>
          <w:p>
            <w:pPr>
              <w:pStyle w:val="Compact"/>
            </w:pPr>
            <w:r>
              <w:t xml:space="preserve">None (first agent).</w:t>
            </w:r>
          </w:p>
        </w:tc>
      </w:tr>
      <w:tr>
        <w:tc>
          <w:tcPr/>
          <w:p>
            <w:pPr>
              <w:pStyle w:val="Compact"/>
            </w:pPr>
            <w:r>
              <w:rPr>
                <w:b/>
                <w:bCs/>
              </w:rPr>
              <w:t xml:space="preserve">Risks</w:t>
            </w:r>
          </w:p>
        </w:tc>
        <w:tc>
          <w:tcPr/>
          <w:p>
            <w:pPr>
              <w:pStyle w:val="Compact"/>
            </w:pPr>
            <w:r>
              <w:t xml:space="preserve">Incomplete understanding of scope may lead to missing deliverables; failing to clearly state boundaries could result in misaligned work. Mitigate by cross‑referencing repository docs and updating the plan as new information emerges.</w:t>
            </w:r>
          </w:p>
        </w:tc>
      </w:tr>
      <w:tr>
        <w:tc>
          <w:tcPr/>
          <w:p>
            <w:pPr>
              <w:pStyle w:val="Compact"/>
            </w:pPr>
            <w:r>
              <w:rPr>
                <w:b/>
                <w:bCs/>
              </w:rPr>
              <w:t xml:space="preserve">Output format</w:t>
            </w:r>
          </w:p>
        </w:tc>
        <w:tc>
          <w:tcPr/>
          <w:p>
            <w:pPr>
              <w:pStyle w:val="Compact"/>
            </w:pPr>
            <w:r>
              <w:t xml:space="preserve">Markdown document stored in</w:t>
            </w:r>
            <w:r>
              <w:t xml:space="preserve"> </w:t>
            </w:r>
            <w:r>
              <w:rPr>
                <w:rStyle w:val="VerbatimChar"/>
              </w:rPr>
              <w:t xml:space="preserve">docs/07_analysis/</w:t>
            </w:r>
            <w:r>
              <w:t xml:space="preserve"> </w:t>
            </w:r>
            <w:r>
              <w:t xml:space="preserve">as "Work Plan / Orchestration Map"</w:t>
            </w:r>
            <w:hyperlink r:id="rId28">
              <w:r>
                <w:rPr>
                  <w:rStyle w:val="Hyperlink"/>
                </w:rPr>
                <w:t xml:space="preserve">[7]</w:t>
              </w:r>
            </w:hyperlink>
            <w:r>
              <w:t xml:space="preserve">.</w:t>
            </w:r>
          </w:p>
        </w:tc>
      </w:tr>
      <w:tr>
        <w:tc>
          <w:tcPr/>
          <w:p>
            <w:pPr>
              <w:pStyle w:val="Compact"/>
            </w:pPr>
            <w:r>
              <w:rPr>
                <w:b/>
                <w:bCs/>
              </w:rPr>
              <w:t xml:space="preserve">Priority</w:t>
            </w:r>
          </w:p>
        </w:tc>
        <w:tc>
          <w:tcPr/>
          <w:p>
            <w:pPr>
              <w:pStyle w:val="Compact"/>
            </w:pPr>
            <w:r>
              <w:t xml:space="preserve">P0</w:t>
            </w:r>
          </w:p>
        </w:tc>
      </w:tr>
    </w:tbl>
    <w:bookmarkEnd w:id="29"/>
    <w:bookmarkStart w:id="31" w:name="user-research-agent-p0"/>
    <w:p>
      <w:pPr>
        <w:pStyle w:val="Heading3"/>
      </w:pPr>
      <w:r>
        <w:t xml:space="preserve">2. User Research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Validate target segments, user problems and the value proposition before any build decisions. Conduct ethical research to ensure that the product solves a real need and doesn’t recruit vulnerable users without approval.</w:t>
            </w:r>
          </w:p>
        </w:tc>
      </w:tr>
      <w:tr>
        <w:tc>
          <w:tcPr/>
          <w:p>
            <w:pPr>
              <w:pStyle w:val="Compact"/>
            </w:pPr>
            <w:r>
              <w:rPr>
                <w:b/>
                <w:bCs/>
              </w:rPr>
              <w:t xml:space="preserve">Inputs needed</w:t>
            </w:r>
          </w:p>
        </w:tc>
        <w:tc>
          <w:tcPr/>
          <w:p>
            <w:pPr>
              <w:pStyle w:val="Compact"/>
            </w:pPr>
            <w:r>
              <w:t xml:space="preserve">Product intent and vision; existing problem statements; research guidelines; ethical approval requirements; any previous user research.</w:t>
            </w:r>
          </w:p>
        </w:tc>
      </w:tr>
      <w:tr>
        <w:tc>
          <w:tcPr/>
          <w:p>
            <w:pPr>
              <w:pStyle w:val="Compact"/>
            </w:pPr>
            <w:r>
              <w:rPr>
                <w:b/>
                <w:bCs/>
              </w:rPr>
              <w:t xml:space="preserve">Deliverables</w:t>
            </w:r>
          </w:p>
        </w:tc>
        <w:tc>
          <w:tcPr/>
          <w:p>
            <w:pPr>
              <w:pStyle w:val="Compact"/>
            </w:pPr>
            <w:r>
              <w:t xml:space="preserve">User research plan (methodology, recruitment criteria, interview scripts); synthesis template; de‑identified research findings; evidence of target‑segment problems; recommended personas.</w:t>
            </w:r>
          </w:p>
        </w:tc>
      </w:tr>
      <w:tr>
        <w:tc>
          <w:tcPr/>
          <w:p>
            <w:pPr>
              <w:pStyle w:val="Compact"/>
            </w:pPr>
            <w:r>
              <w:rPr>
                <w:b/>
                <w:bCs/>
              </w:rPr>
              <w:t xml:space="preserve">Acceptance criteria</w:t>
            </w:r>
          </w:p>
        </w:tc>
        <w:tc>
          <w:tcPr/>
          <w:p>
            <w:pPr>
              <w:pStyle w:val="Compact"/>
            </w:pPr>
            <w:r>
              <w:t xml:space="preserve">Research plan approved by research owner; recruitment avoids vulnerable participants without approval</w:t>
            </w:r>
            <w:hyperlink r:id="rId30">
              <w:r>
                <w:rPr>
                  <w:rStyle w:val="Hyperlink"/>
                </w:rPr>
                <w:t xml:space="preserve">[8]</w:t>
              </w:r>
            </w:hyperlink>
            <w:r>
              <w:t xml:space="preserve">; findings provide clear evidence of user problems/needs and align with product boundaries (non‑clinical, no therapy).</w:t>
            </w:r>
          </w:p>
        </w:tc>
      </w:tr>
      <w:tr>
        <w:tc>
          <w:tcPr/>
          <w:p>
            <w:pPr>
              <w:pStyle w:val="Compact"/>
            </w:pPr>
            <w:r>
              <w:rPr>
                <w:b/>
                <w:bCs/>
              </w:rPr>
              <w:t xml:space="preserve">Dependencies</w:t>
            </w:r>
          </w:p>
        </w:tc>
        <w:tc>
          <w:tcPr/>
          <w:p>
            <w:pPr>
              <w:pStyle w:val="Compact"/>
            </w:pPr>
            <w:r>
              <w:t xml:space="preserve">Dependent on Master Orchestrator plan for scope; results inform the PRD Agent, Curriculum Agent and Market Validation Agent.</w:t>
            </w:r>
          </w:p>
        </w:tc>
      </w:tr>
      <w:tr>
        <w:tc>
          <w:tcPr/>
          <w:p>
            <w:pPr>
              <w:pStyle w:val="Compact"/>
            </w:pPr>
            <w:r>
              <w:rPr>
                <w:b/>
                <w:bCs/>
              </w:rPr>
              <w:t xml:space="preserve">Risks</w:t>
            </w:r>
          </w:p>
        </w:tc>
        <w:tc>
          <w:tcPr/>
          <w:p>
            <w:pPr>
              <w:pStyle w:val="Compact"/>
            </w:pPr>
            <w:r>
              <w:t xml:space="preserve">Recruiting participants outside ethics guidelines; misinterpreting data; insufficient sample sizes. Mitigate by adhering to privacy/safety guidelines and using independent review.</w:t>
            </w:r>
          </w:p>
        </w:tc>
      </w:tr>
      <w:tr>
        <w:tc>
          <w:tcPr/>
          <w:p>
            <w:pPr>
              <w:pStyle w:val="Compact"/>
            </w:pPr>
            <w:r>
              <w:rPr>
                <w:b/>
                <w:bCs/>
              </w:rPr>
              <w:t xml:space="preserve">Output format</w:t>
            </w:r>
          </w:p>
        </w:tc>
        <w:tc>
          <w:tcPr/>
          <w:p>
            <w:pPr>
              <w:pStyle w:val="Compact"/>
            </w:pPr>
            <w:r>
              <w:t xml:space="preserve">Markdown documents stored in</w:t>
            </w:r>
            <w:r>
              <w:t xml:space="preserve"> </w:t>
            </w:r>
            <w:r>
              <w:rPr>
                <w:rStyle w:val="VerbatimChar"/>
              </w:rPr>
              <w:t xml:space="preserve">docs/02_research_and_validation/</w:t>
            </w:r>
            <w:r>
              <w:t xml:space="preserve"> </w:t>
            </w:r>
            <w:r>
              <w:t xml:space="preserve">(User Research Plan and synthesis).</w:t>
            </w:r>
          </w:p>
        </w:tc>
      </w:tr>
      <w:tr>
        <w:tc>
          <w:tcPr/>
          <w:p>
            <w:pPr>
              <w:pStyle w:val="Compact"/>
            </w:pPr>
            <w:r>
              <w:rPr>
                <w:b/>
                <w:bCs/>
              </w:rPr>
              <w:t xml:space="preserve">Priority</w:t>
            </w:r>
          </w:p>
        </w:tc>
        <w:tc>
          <w:tcPr/>
          <w:p>
            <w:pPr>
              <w:pStyle w:val="Compact"/>
            </w:pPr>
            <w:r>
              <w:t xml:space="preserve">P0</w:t>
            </w:r>
          </w:p>
        </w:tc>
      </w:tr>
    </w:tbl>
    <w:bookmarkEnd w:id="31"/>
    <w:bookmarkStart w:id="34" w:name="X8a3b7af52bb8859f52dd3a8b8524a1503de41e4"/>
    <w:p>
      <w:pPr>
        <w:pStyle w:val="Heading3"/>
      </w:pPr>
      <w:r>
        <w:t xml:space="preserve">3. PRD Agent (Product Requirements Document Agent –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Translate the product vision and research evidence into a versioned MVP requirements document. Define the MVP scope, features, boundaries and release gates while respecting legal, privacy and safety constraints.</w:t>
            </w:r>
          </w:p>
        </w:tc>
      </w:tr>
      <w:tr>
        <w:tc>
          <w:tcPr/>
          <w:p>
            <w:pPr>
              <w:pStyle w:val="Compact"/>
            </w:pPr>
            <w:r>
              <w:rPr>
                <w:b/>
                <w:bCs/>
              </w:rPr>
              <w:t xml:space="preserve">Inputs needed</w:t>
            </w:r>
          </w:p>
        </w:tc>
        <w:tc>
          <w:tcPr/>
          <w:p>
            <w:pPr>
              <w:pStyle w:val="Compact"/>
            </w:pPr>
            <w:r>
              <w:t xml:space="preserve">Master plan; user research findings; product vision; readiness boundaries (non‑therapy, non‑medical etc.); privacy/legal guidance; risk analysis.</w:t>
            </w:r>
          </w:p>
        </w:tc>
      </w:tr>
      <w:tr>
        <w:tc>
          <w:tcPr/>
          <w:p>
            <w:pPr>
              <w:pStyle w:val="Compact"/>
            </w:pPr>
            <w:r>
              <w:rPr>
                <w:b/>
                <w:bCs/>
              </w:rPr>
              <w:t xml:space="preserve">Deliverables</w:t>
            </w:r>
          </w:p>
        </w:tc>
        <w:tc>
          <w:tcPr/>
          <w:p>
            <w:pPr>
              <w:pStyle w:val="Compact"/>
            </w:pPr>
            <w:r>
              <w:t xml:space="preserve">PRD v0.1 covering goals, user stories, feature list, success metrics, out‑of‑scope items, boundaries (no therapy, no automatic high‑impact decisions), privacy requirements, and release gates.</w:t>
            </w:r>
          </w:p>
        </w:tc>
      </w:tr>
      <w:tr>
        <w:tc>
          <w:tcPr/>
          <w:p>
            <w:pPr>
              <w:pStyle w:val="Compact"/>
            </w:pPr>
            <w:r>
              <w:rPr>
                <w:b/>
                <w:bCs/>
              </w:rPr>
              <w:t xml:space="preserve">Acceptance criteria</w:t>
            </w:r>
          </w:p>
        </w:tc>
        <w:tc>
          <w:tcPr/>
          <w:p>
            <w:pPr>
              <w:pStyle w:val="Compact"/>
            </w:pPr>
            <w:r>
              <w:t xml:space="preserve">Document adheres to P0 boundaries</w:t>
            </w:r>
            <w:hyperlink r:id="rId32">
              <w:r>
                <w:rPr>
                  <w:rStyle w:val="Hyperlink"/>
                </w:rPr>
                <w:t xml:space="preserve">[9]</w:t>
              </w:r>
            </w:hyperlink>
            <w:r>
              <w:t xml:space="preserve">; includes measurable metrics; addresses AI draft confirmation and deletion rules; is reviewed and accepted by product owner.</w:t>
            </w:r>
          </w:p>
        </w:tc>
      </w:tr>
      <w:tr>
        <w:tc>
          <w:tcPr/>
          <w:p>
            <w:pPr>
              <w:pStyle w:val="Compact"/>
            </w:pPr>
            <w:r>
              <w:rPr>
                <w:b/>
                <w:bCs/>
              </w:rPr>
              <w:t xml:space="preserve">Dependencies</w:t>
            </w:r>
          </w:p>
        </w:tc>
        <w:tc>
          <w:tcPr/>
          <w:p>
            <w:pPr>
              <w:pStyle w:val="Compact"/>
            </w:pPr>
            <w:r>
              <w:t xml:space="preserve">Requires user research outcomes; influences NFR, data model, curriculum, prototype UX and legal review.</w:t>
            </w:r>
          </w:p>
        </w:tc>
      </w:tr>
      <w:tr>
        <w:tc>
          <w:tcPr/>
          <w:p>
            <w:pPr>
              <w:pStyle w:val="Compact"/>
            </w:pPr>
            <w:r>
              <w:rPr>
                <w:b/>
                <w:bCs/>
              </w:rPr>
              <w:t xml:space="preserve">Risks</w:t>
            </w:r>
          </w:p>
        </w:tc>
        <w:tc>
          <w:tcPr/>
          <w:p>
            <w:pPr>
              <w:pStyle w:val="Compact"/>
            </w:pPr>
            <w:r>
              <w:t xml:space="preserve">Over‑scoping; ignoring P0 boundaries; unspecified metrics. Mitigate through iterative review and stakeholder sign‑off.</w:t>
            </w:r>
          </w:p>
        </w:tc>
      </w:tr>
      <w:tr>
        <w:tc>
          <w:tcPr/>
          <w:p>
            <w:pPr>
              <w:pStyle w:val="Compact"/>
            </w:pPr>
            <w:r>
              <w:rPr>
                <w:b/>
                <w:bCs/>
              </w:rPr>
              <w:t xml:space="preserve">Output format</w:t>
            </w:r>
          </w:p>
        </w:tc>
        <w:tc>
          <w:tcPr/>
          <w:p>
            <w:pPr>
              <w:pStyle w:val="Compact"/>
            </w:pPr>
            <w:r>
              <w:t xml:space="preserve">Markdown document stored in</w:t>
            </w:r>
            <w:r>
              <w:t xml:space="preserve"> </w:t>
            </w:r>
            <w:r>
              <w:rPr>
                <w:rStyle w:val="VerbatimChar"/>
              </w:rPr>
              <w:t xml:space="preserve">docs/01_product/</w:t>
            </w:r>
            <w:r>
              <w:t xml:space="preserve"> </w:t>
            </w:r>
            <w:r>
              <w:t xml:space="preserve">as PRD v0.1</w:t>
            </w:r>
            <w:hyperlink r:id="rId33">
              <w:r>
                <w:rPr>
                  <w:rStyle w:val="Hyperlink"/>
                </w:rPr>
                <w:t xml:space="preserve">[10]</w:t>
              </w:r>
            </w:hyperlink>
            <w:r>
              <w:t xml:space="preserve">.</w:t>
            </w:r>
          </w:p>
        </w:tc>
      </w:tr>
      <w:tr>
        <w:tc>
          <w:tcPr/>
          <w:p>
            <w:pPr>
              <w:pStyle w:val="Compact"/>
            </w:pPr>
            <w:r>
              <w:rPr>
                <w:b/>
                <w:bCs/>
              </w:rPr>
              <w:t xml:space="preserve">Priority</w:t>
            </w:r>
          </w:p>
        </w:tc>
        <w:tc>
          <w:tcPr/>
          <w:p>
            <w:pPr>
              <w:pStyle w:val="Compact"/>
            </w:pPr>
            <w:r>
              <w:t xml:space="preserve">P0</w:t>
            </w:r>
          </w:p>
        </w:tc>
      </w:tr>
    </w:tbl>
    <w:bookmarkEnd w:id="34"/>
    <w:bookmarkStart w:id="37" w:name="privacy-and-consent-agent-p0"/>
    <w:p>
      <w:pPr>
        <w:pStyle w:val="Heading3"/>
      </w:pPr>
      <w:r>
        <w:t xml:space="preserve">4. Privacy and Consent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Define the data inventory, consent model, retention and deletion policies for all user data captured by BecomingOS. Ensure compliance with privacy laws and avoid storing raw sensitive crisis text by default.</w:t>
            </w:r>
          </w:p>
        </w:tc>
      </w:tr>
      <w:tr>
        <w:tc>
          <w:tcPr/>
          <w:p>
            <w:pPr>
              <w:pStyle w:val="Compact"/>
            </w:pPr>
            <w:r>
              <w:rPr>
                <w:b/>
                <w:bCs/>
              </w:rPr>
              <w:t xml:space="preserve">Inputs needed</w:t>
            </w:r>
          </w:p>
        </w:tc>
        <w:tc>
          <w:tcPr/>
          <w:p>
            <w:pPr>
              <w:pStyle w:val="Compact"/>
            </w:pPr>
            <w:r>
              <w:t xml:space="preserve">PRD v0.1; canonical data model draft; relevant privacy regulations; user research on data sensitivity; existing privacy policies; safety guidelines (no therapy, no high‑impact decisions).</w:t>
            </w:r>
          </w:p>
        </w:tc>
      </w:tr>
      <w:tr>
        <w:tc>
          <w:tcPr/>
          <w:p>
            <w:pPr>
              <w:pStyle w:val="Compact"/>
            </w:pPr>
            <w:r>
              <w:rPr>
                <w:b/>
                <w:bCs/>
              </w:rPr>
              <w:t xml:space="preserve">Deliverables</w:t>
            </w:r>
          </w:p>
        </w:tc>
        <w:tc>
          <w:tcPr/>
          <w:p>
            <w:pPr>
              <w:pStyle w:val="Compact"/>
            </w:pPr>
            <w:r>
              <w:t xml:space="preserve">Privacy and consent pack containing: data inventory; lawful basis and purpose for each data type; consent flows; retention and deletion rules; exportability; user rights handling; crisis text exclusion; embedding invalidation rules; and consents for research and AI training.</w:t>
            </w:r>
          </w:p>
        </w:tc>
      </w:tr>
      <w:tr>
        <w:tc>
          <w:tcPr/>
          <w:p>
            <w:pPr>
              <w:pStyle w:val="Compact"/>
            </w:pPr>
            <w:r>
              <w:rPr>
                <w:b/>
                <w:bCs/>
              </w:rPr>
              <w:t xml:space="preserve">Acceptance criteria</w:t>
            </w:r>
          </w:p>
        </w:tc>
        <w:tc>
          <w:tcPr/>
          <w:p>
            <w:pPr>
              <w:pStyle w:val="Compact"/>
            </w:pPr>
            <w:r>
              <w:t xml:space="preserve">Pack meets regulatory requirements; describes explicit consent for AI generation; includes retention periods and deletion processes; ensures deleted or rejected memories are never used for recommendations</w:t>
            </w:r>
            <w:hyperlink r:id="rId35">
              <w:r>
                <w:rPr>
                  <w:rStyle w:val="Hyperlink"/>
                </w:rPr>
                <w:t xml:space="preserve">[11]</w:t>
              </w:r>
            </w:hyperlink>
            <w:r>
              <w:t xml:space="preserve">; approved by privacy/legal owner.</w:t>
            </w:r>
          </w:p>
        </w:tc>
      </w:tr>
      <w:tr>
        <w:tc>
          <w:tcPr/>
          <w:p>
            <w:pPr>
              <w:pStyle w:val="Compact"/>
            </w:pPr>
            <w:r>
              <w:rPr>
                <w:b/>
                <w:bCs/>
              </w:rPr>
              <w:t xml:space="preserve">Dependencies</w:t>
            </w:r>
          </w:p>
        </w:tc>
        <w:tc>
          <w:tcPr/>
          <w:p>
            <w:pPr>
              <w:pStyle w:val="Compact"/>
            </w:pPr>
            <w:r>
              <w:t xml:space="preserve">Informed by PRD, Canonical Data Model, and Legal Claims Review; influences Data Model and AI Evaluation Harness.</w:t>
            </w:r>
          </w:p>
        </w:tc>
      </w:tr>
      <w:tr>
        <w:tc>
          <w:tcPr/>
          <w:p>
            <w:pPr>
              <w:pStyle w:val="Compact"/>
            </w:pPr>
            <w:r>
              <w:rPr>
                <w:b/>
                <w:bCs/>
              </w:rPr>
              <w:t xml:space="preserve">Risks</w:t>
            </w:r>
          </w:p>
        </w:tc>
        <w:tc>
          <w:tcPr/>
          <w:p>
            <w:pPr>
              <w:pStyle w:val="Compact"/>
            </w:pPr>
            <w:r>
              <w:t xml:space="preserve">Inadequate compliance; unclear deletion flows; conflicting with legal/technical constraints. Mitigate via legal review and alignment with data model.</w:t>
            </w:r>
          </w:p>
        </w:tc>
      </w:tr>
      <w:tr>
        <w:tc>
          <w:tcPr/>
          <w:p>
            <w:pPr>
              <w:pStyle w:val="Compact"/>
            </w:pPr>
            <w:r>
              <w:rPr>
                <w:b/>
                <w:bCs/>
              </w:rPr>
              <w:t xml:space="preserve">Output format</w:t>
            </w:r>
          </w:p>
        </w:tc>
        <w:tc>
          <w:tcPr/>
          <w:p>
            <w:pPr>
              <w:pStyle w:val="Compact"/>
            </w:pPr>
            <w:r>
              <w:t xml:space="preserve">Markdown document stored in</w:t>
            </w:r>
            <w:r>
              <w:t xml:space="preserve"> </w:t>
            </w:r>
            <w:r>
              <w:rPr>
                <w:rStyle w:val="VerbatimChar"/>
              </w:rPr>
              <w:t xml:space="preserve">docs/05_privacy_legal_safety/</w:t>
            </w:r>
            <w:hyperlink r:id="rId36">
              <w:r>
                <w:rPr>
                  <w:rStyle w:val="Hyperlink"/>
                </w:rPr>
                <w:t xml:space="preserve">[12]</w:t>
              </w:r>
            </w:hyperlink>
            <w:r>
              <w:t xml:space="preserve">.</w:t>
            </w:r>
          </w:p>
        </w:tc>
      </w:tr>
      <w:tr>
        <w:tc>
          <w:tcPr/>
          <w:p>
            <w:pPr>
              <w:pStyle w:val="Compact"/>
            </w:pPr>
            <w:r>
              <w:rPr>
                <w:b/>
                <w:bCs/>
              </w:rPr>
              <w:t xml:space="preserve">Priority</w:t>
            </w:r>
          </w:p>
        </w:tc>
        <w:tc>
          <w:tcPr/>
          <w:p>
            <w:pPr>
              <w:pStyle w:val="Compact"/>
            </w:pPr>
            <w:r>
              <w:t xml:space="preserve">P0</w:t>
            </w:r>
          </w:p>
        </w:tc>
      </w:tr>
    </w:tbl>
    <w:bookmarkEnd w:id="37"/>
    <w:bookmarkStart w:id="38" w:name="legal-claims-review-agent-p0"/>
    <w:p>
      <w:pPr>
        <w:pStyle w:val="Heading3"/>
      </w:pPr>
      <w:r>
        <w:t xml:space="preserve">5. Legal Claims Review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Ensure that all product copy, feature descriptions and marketing claims avoid offering therapy, diagnosis, or other prohibited services. Provide guidelines for safe wording and highlight high‑risk areas.</w:t>
            </w:r>
          </w:p>
        </w:tc>
      </w:tr>
      <w:tr>
        <w:tc>
          <w:tcPr/>
          <w:p>
            <w:pPr>
              <w:pStyle w:val="Compact"/>
            </w:pPr>
            <w:r>
              <w:rPr>
                <w:b/>
                <w:bCs/>
              </w:rPr>
              <w:t xml:space="preserve">Inputs needed</w:t>
            </w:r>
          </w:p>
        </w:tc>
        <w:tc>
          <w:tcPr/>
          <w:p>
            <w:pPr>
              <w:pStyle w:val="Compact"/>
            </w:pPr>
            <w:r>
              <w:t xml:space="preserve">PRD v0.1; marketing draft copy; user research insights; legal and regulatory frameworks (e.g., health/financial regulations).</w:t>
            </w:r>
          </w:p>
        </w:tc>
      </w:tr>
      <w:tr>
        <w:tc>
          <w:tcPr/>
          <w:p>
            <w:pPr>
              <w:pStyle w:val="Compact"/>
            </w:pPr>
            <w:r>
              <w:rPr>
                <w:b/>
                <w:bCs/>
              </w:rPr>
              <w:t xml:space="preserve">Deliverables</w:t>
            </w:r>
          </w:p>
        </w:tc>
        <w:tc>
          <w:tcPr/>
          <w:p>
            <w:pPr>
              <w:pStyle w:val="Compact"/>
            </w:pPr>
            <w:r>
              <w:t xml:space="preserve">Legal claims review pack: list of approved and rejected phrases; risk analysis; recommended copy edits; guidelines for future claims.</w:t>
            </w:r>
          </w:p>
        </w:tc>
      </w:tr>
      <w:tr>
        <w:tc>
          <w:tcPr/>
          <w:p>
            <w:pPr>
              <w:pStyle w:val="Compact"/>
            </w:pPr>
            <w:r>
              <w:rPr>
                <w:b/>
                <w:bCs/>
              </w:rPr>
              <w:t xml:space="preserve">Acceptance criteria</w:t>
            </w:r>
          </w:p>
        </w:tc>
        <w:tc>
          <w:tcPr/>
          <w:p>
            <w:pPr>
              <w:pStyle w:val="Compact"/>
            </w:pPr>
            <w:r>
              <w:t xml:space="preserve">Document identifies all claim risks; ensures compliance with regulations; approved by legal owner; integrated into PRD and marketing; ensures boundaries are clearly communicated</w:t>
            </w:r>
            <w:hyperlink r:id="rId21">
              <w:r>
                <w:rPr>
                  <w:rStyle w:val="Hyperlink"/>
                </w:rPr>
                <w:t xml:space="preserve">[1]</w:t>
              </w:r>
            </w:hyperlink>
            <w:r>
              <w:t xml:space="preserve">.</w:t>
            </w:r>
          </w:p>
        </w:tc>
      </w:tr>
      <w:tr>
        <w:tc>
          <w:tcPr/>
          <w:p>
            <w:pPr>
              <w:pStyle w:val="Compact"/>
            </w:pPr>
            <w:r>
              <w:rPr>
                <w:b/>
                <w:bCs/>
              </w:rPr>
              <w:t xml:space="preserve">Dependencies</w:t>
            </w:r>
          </w:p>
        </w:tc>
        <w:tc>
          <w:tcPr/>
          <w:p>
            <w:pPr>
              <w:pStyle w:val="Compact"/>
            </w:pPr>
            <w:r>
              <w:t xml:space="preserve">PRD and privacy pack; influences marketing, user research communications, prototype UX and integration.</w:t>
            </w:r>
          </w:p>
        </w:tc>
      </w:tr>
      <w:tr>
        <w:tc>
          <w:tcPr/>
          <w:p>
            <w:pPr>
              <w:pStyle w:val="Compact"/>
            </w:pPr>
            <w:r>
              <w:rPr>
                <w:b/>
                <w:bCs/>
              </w:rPr>
              <w:t xml:space="preserve">Risks</w:t>
            </w:r>
          </w:p>
        </w:tc>
        <w:tc>
          <w:tcPr/>
          <w:p>
            <w:pPr>
              <w:pStyle w:val="Compact"/>
            </w:pPr>
            <w:r>
              <w:t xml:space="preserve">Over‑restricting copy may reduce clarity; under‑restricting may cause legal risk. Mitigate via qualified legal counsel.</w:t>
            </w:r>
          </w:p>
        </w:tc>
      </w:tr>
      <w:tr>
        <w:tc>
          <w:tcPr/>
          <w:p>
            <w:pPr>
              <w:pStyle w:val="Compact"/>
            </w:pPr>
            <w:r>
              <w:rPr>
                <w:b/>
                <w:bCs/>
              </w:rPr>
              <w:t xml:space="preserve">Output format</w:t>
            </w:r>
          </w:p>
        </w:tc>
        <w:tc>
          <w:tcPr/>
          <w:p>
            <w:pPr>
              <w:pStyle w:val="Compact"/>
            </w:pPr>
            <w:r>
              <w:t xml:space="preserve">Markdown document stored in</w:t>
            </w:r>
            <w:r>
              <w:t xml:space="preserve"> </w:t>
            </w:r>
            <w:r>
              <w:rPr>
                <w:rStyle w:val="VerbatimChar"/>
              </w:rPr>
              <w:t xml:space="preserve">docs/05_privacy_legal_safety/</w:t>
            </w:r>
            <w:r>
              <w:t xml:space="preserve">.</w:t>
            </w:r>
          </w:p>
        </w:tc>
      </w:tr>
      <w:tr>
        <w:tc>
          <w:tcPr/>
          <w:p>
            <w:pPr>
              <w:pStyle w:val="Compact"/>
            </w:pPr>
            <w:r>
              <w:rPr>
                <w:b/>
                <w:bCs/>
              </w:rPr>
              <w:t xml:space="preserve">Priority</w:t>
            </w:r>
          </w:p>
        </w:tc>
        <w:tc>
          <w:tcPr/>
          <w:p>
            <w:pPr>
              <w:pStyle w:val="Compact"/>
            </w:pPr>
            <w:r>
              <w:t xml:space="preserve">P0</w:t>
            </w:r>
          </w:p>
        </w:tc>
      </w:tr>
    </w:tbl>
    <w:bookmarkEnd w:id="38"/>
    <w:bookmarkStart w:id="40" w:name="nonfunctional-requirements-nfr-agent-p0"/>
    <w:p>
      <w:pPr>
        <w:pStyle w:val="Heading3"/>
      </w:pPr>
      <w:r>
        <w:t xml:space="preserve">6. Non‑Functional Requirements (NFR)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Define measurable system qualities (e.g., performance, reliability, scalability, security, availability, accessibility, privacy, and safety). Set acceptance thresholds for the MVP.</w:t>
            </w:r>
          </w:p>
        </w:tc>
      </w:tr>
      <w:tr>
        <w:tc>
          <w:tcPr/>
          <w:p>
            <w:pPr>
              <w:pStyle w:val="Compact"/>
            </w:pPr>
            <w:r>
              <w:rPr>
                <w:b/>
                <w:bCs/>
              </w:rPr>
              <w:t xml:space="preserve">Inputs needed</w:t>
            </w:r>
          </w:p>
        </w:tc>
        <w:tc>
          <w:tcPr/>
          <w:p>
            <w:pPr>
              <w:pStyle w:val="Compact"/>
            </w:pPr>
            <w:r>
              <w:t xml:space="preserve">PRD; privacy and consent pack; security threat model; crisis localisation policy; accessibility plan; user research about reliability expectations.</w:t>
            </w:r>
          </w:p>
        </w:tc>
      </w:tr>
      <w:tr>
        <w:tc>
          <w:tcPr/>
          <w:p>
            <w:pPr>
              <w:pStyle w:val="Compact"/>
            </w:pPr>
            <w:r>
              <w:rPr>
                <w:b/>
                <w:bCs/>
              </w:rPr>
              <w:t xml:space="preserve">Deliverables</w:t>
            </w:r>
          </w:p>
        </w:tc>
        <w:tc>
          <w:tcPr/>
          <w:p>
            <w:pPr>
              <w:pStyle w:val="Compact"/>
            </w:pPr>
            <w:r>
              <w:t xml:space="preserve">NFR document detailing metrics (latency, uptime, accessibility level, data deletion response time), target thresholds, test methods, and dependency on AI evaluation harness for refusal rates and accuracy.</w:t>
            </w:r>
          </w:p>
        </w:tc>
      </w:tr>
      <w:tr>
        <w:tc>
          <w:tcPr/>
          <w:p>
            <w:pPr>
              <w:pStyle w:val="Compact"/>
            </w:pPr>
            <w:r>
              <w:rPr>
                <w:b/>
                <w:bCs/>
              </w:rPr>
              <w:t xml:space="preserve">Acceptance criteria</w:t>
            </w:r>
          </w:p>
        </w:tc>
        <w:tc>
          <w:tcPr/>
          <w:p>
            <w:pPr>
              <w:pStyle w:val="Compact"/>
            </w:pPr>
            <w:r>
              <w:t xml:space="preserve">Document includes measurable and testable criteria; avoids implementation details; aligns with PRD boundaries; is approved by engineering/product owner</w:t>
            </w:r>
            <w:hyperlink r:id="rId39">
              <w:r>
                <w:rPr>
                  <w:rStyle w:val="Hyperlink"/>
                </w:rPr>
                <w:t xml:space="preserve">[13]</w:t>
              </w:r>
            </w:hyperlink>
            <w:r>
              <w:t xml:space="preserve">.</w:t>
            </w:r>
          </w:p>
        </w:tc>
      </w:tr>
      <w:tr>
        <w:tc>
          <w:tcPr/>
          <w:p>
            <w:pPr>
              <w:pStyle w:val="Compact"/>
            </w:pPr>
            <w:r>
              <w:rPr>
                <w:b/>
                <w:bCs/>
              </w:rPr>
              <w:t xml:space="preserve">Dependencies</w:t>
            </w:r>
          </w:p>
        </w:tc>
        <w:tc>
          <w:tcPr/>
          <w:p>
            <w:pPr>
              <w:pStyle w:val="Compact"/>
            </w:pPr>
            <w:r>
              <w:t xml:space="preserve">PRD, privacy pack, security threat model, crisis localisation, accessibility plan; influences technical architecture and testing strategy.</w:t>
            </w:r>
          </w:p>
        </w:tc>
      </w:tr>
      <w:tr>
        <w:tc>
          <w:tcPr/>
          <w:p>
            <w:pPr>
              <w:pStyle w:val="Compact"/>
            </w:pPr>
            <w:r>
              <w:rPr>
                <w:b/>
                <w:bCs/>
              </w:rPr>
              <w:t xml:space="preserve">Risks</w:t>
            </w:r>
          </w:p>
        </w:tc>
        <w:tc>
          <w:tcPr/>
          <w:p>
            <w:pPr>
              <w:pStyle w:val="Compact"/>
            </w:pPr>
            <w:r>
              <w:t xml:space="preserve">Setting unrealistic metrics; ignoring privacy or safety constraints. Mitigate through cross‑team review.</w:t>
            </w:r>
          </w:p>
        </w:tc>
      </w:tr>
      <w:tr>
        <w:tc>
          <w:tcPr/>
          <w:p>
            <w:pPr>
              <w:pStyle w:val="Compact"/>
            </w:pPr>
            <w:r>
              <w:rPr>
                <w:b/>
                <w:bCs/>
              </w:rPr>
              <w:t xml:space="preserve">Output format</w:t>
            </w:r>
          </w:p>
        </w:tc>
        <w:tc>
          <w:tcPr/>
          <w:p>
            <w:pPr>
              <w:pStyle w:val="Compact"/>
            </w:pPr>
            <w:r>
              <w:t xml:space="preserve">Markdown document stored in</w:t>
            </w:r>
            <w:r>
              <w:t xml:space="preserve"> </w:t>
            </w:r>
            <w:r>
              <w:rPr>
                <w:rStyle w:val="VerbatimChar"/>
              </w:rPr>
              <w:t xml:space="preserve">docs/06_architecture_and_api/</w:t>
            </w:r>
            <w:r>
              <w:t xml:space="preserve">.</w:t>
            </w:r>
          </w:p>
        </w:tc>
      </w:tr>
      <w:tr>
        <w:tc>
          <w:tcPr/>
          <w:p>
            <w:pPr>
              <w:pStyle w:val="Compact"/>
            </w:pPr>
            <w:r>
              <w:rPr>
                <w:b/>
                <w:bCs/>
              </w:rPr>
              <w:t xml:space="preserve">Priority</w:t>
            </w:r>
          </w:p>
        </w:tc>
        <w:tc>
          <w:tcPr/>
          <w:p>
            <w:pPr>
              <w:pStyle w:val="Compact"/>
            </w:pPr>
            <w:r>
              <w:t xml:space="preserve">P0</w:t>
            </w:r>
          </w:p>
        </w:tc>
      </w:tr>
    </w:tbl>
    <w:bookmarkEnd w:id="40"/>
    <w:bookmarkStart w:id="41" w:name="canonical-data-model-agent-p0"/>
    <w:p>
      <w:pPr>
        <w:pStyle w:val="Heading3"/>
      </w:pPr>
      <w:r>
        <w:t xml:space="preserve">7. Canonical Data Model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Define the data entities, relationships, memory lifecycle, consent annotations, and deletion/embedding invalidation rules for all data used in BecomingOS.</w:t>
            </w:r>
          </w:p>
        </w:tc>
      </w:tr>
      <w:tr>
        <w:tc>
          <w:tcPr/>
          <w:p>
            <w:pPr>
              <w:pStyle w:val="Compact"/>
            </w:pPr>
            <w:r>
              <w:rPr>
                <w:b/>
                <w:bCs/>
              </w:rPr>
              <w:t xml:space="preserve">Inputs needed</w:t>
            </w:r>
          </w:p>
        </w:tc>
        <w:tc>
          <w:tcPr/>
          <w:p>
            <w:pPr>
              <w:pStyle w:val="Compact"/>
            </w:pPr>
            <w:r>
              <w:t xml:space="preserve">PRD; privacy and consent pack; user research on data types; AI evaluation harness needs; memory retrieval guidelines; deletion policy; NFRs.</w:t>
            </w:r>
          </w:p>
        </w:tc>
      </w:tr>
      <w:tr>
        <w:tc>
          <w:tcPr/>
          <w:p>
            <w:pPr>
              <w:pStyle w:val="Compact"/>
            </w:pPr>
            <w:r>
              <w:rPr>
                <w:b/>
                <w:bCs/>
              </w:rPr>
              <w:t xml:space="preserve">Deliverables</w:t>
            </w:r>
          </w:p>
        </w:tc>
        <w:tc>
          <w:tcPr/>
          <w:p>
            <w:pPr>
              <w:pStyle w:val="Compact"/>
            </w:pPr>
            <w:r>
              <w:t xml:space="preserve">Canonical data model document: entity diagrams; description of memory objects (e.g., Module completion records, interpreted answers, Today directives, tags); fields for consent, versioning and deletion markers; rules for embedding invalidation; explanation of how rejected memories are isolated from recommendations</w:t>
            </w:r>
            <w:hyperlink r:id="rId35">
              <w:r>
                <w:rPr>
                  <w:rStyle w:val="Hyperlink"/>
                </w:rPr>
                <w:t xml:space="preserve">[11]</w:t>
              </w:r>
            </w:hyperlink>
            <w:r>
              <w:t xml:space="preserve">.</w:t>
            </w:r>
          </w:p>
        </w:tc>
      </w:tr>
      <w:tr>
        <w:tc>
          <w:tcPr/>
          <w:p>
            <w:pPr>
              <w:pStyle w:val="Compact"/>
            </w:pPr>
            <w:r>
              <w:rPr>
                <w:b/>
                <w:bCs/>
              </w:rPr>
              <w:t xml:space="preserve">Acceptance criteria</w:t>
            </w:r>
          </w:p>
        </w:tc>
        <w:tc>
          <w:tcPr/>
          <w:p>
            <w:pPr>
              <w:pStyle w:val="Compact"/>
            </w:pPr>
            <w:r>
              <w:t xml:space="preserve">Model covers all data types; includes metadata for consent and deletion; consistent with privacy pack; reviewed by data/privacy owner; ensures the AI cannot use deleted memories.</w:t>
            </w:r>
          </w:p>
        </w:tc>
      </w:tr>
      <w:tr>
        <w:tc>
          <w:tcPr/>
          <w:p>
            <w:pPr>
              <w:pStyle w:val="Compact"/>
            </w:pPr>
            <w:r>
              <w:rPr>
                <w:b/>
                <w:bCs/>
              </w:rPr>
              <w:t xml:space="preserve">Dependencies</w:t>
            </w:r>
          </w:p>
        </w:tc>
        <w:tc>
          <w:tcPr/>
          <w:p>
            <w:pPr>
              <w:pStyle w:val="Compact"/>
            </w:pPr>
            <w:r>
              <w:t xml:space="preserve">Dependent on PRD, privacy pack; informs AI evaluation harness, prototype UX and API contracts.</w:t>
            </w:r>
          </w:p>
        </w:tc>
      </w:tr>
      <w:tr>
        <w:tc>
          <w:tcPr/>
          <w:p>
            <w:pPr>
              <w:pStyle w:val="Compact"/>
            </w:pPr>
            <w:r>
              <w:rPr>
                <w:b/>
                <w:bCs/>
              </w:rPr>
              <w:t xml:space="preserve">Risks</w:t>
            </w:r>
          </w:p>
        </w:tc>
        <w:tc>
          <w:tcPr/>
          <w:p>
            <w:pPr>
              <w:pStyle w:val="Compact"/>
            </w:pPr>
            <w:r>
              <w:t xml:space="preserve">Missing data elements; misaligning with privacy laws; creating unscalable models. Mitigate by reviewing with engineering and privacy.</w:t>
            </w:r>
          </w:p>
        </w:tc>
      </w:tr>
      <w:tr>
        <w:tc>
          <w:tcPr/>
          <w:p>
            <w:pPr>
              <w:pStyle w:val="Compact"/>
            </w:pPr>
            <w:r>
              <w:rPr>
                <w:b/>
                <w:bCs/>
              </w:rPr>
              <w:t xml:space="preserve">Output format</w:t>
            </w:r>
          </w:p>
        </w:tc>
        <w:tc>
          <w:tcPr/>
          <w:p>
            <w:pPr>
              <w:pStyle w:val="Compact"/>
            </w:pPr>
            <w:r>
              <w:t xml:space="preserve">Diagrams and markdown in</w:t>
            </w:r>
            <w:r>
              <w:t xml:space="preserve"> </w:t>
            </w:r>
            <w:r>
              <w:rPr>
                <w:rStyle w:val="VerbatimChar"/>
              </w:rPr>
              <w:t xml:space="preserve">docs/04_ai_memory_and_data/</w:t>
            </w:r>
            <w:r>
              <w:t xml:space="preserve">.</w:t>
            </w:r>
          </w:p>
        </w:tc>
      </w:tr>
      <w:tr>
        <w:tc>
          <w:tcPr/>
          <w:p>
            <w:pPr>
              <w:pStyle w:val="Compact"/>
            </w:pPr>
            <w:r>
              <w:rPr>
                <w:b/>
                <w:bCs/>
              </w:rPr>
              <w:t xml:space="preserve">Priority</w:t>
            </w:r>
          </w:p>
        </w:tc>
        <w:tc>
          <w:tcPr/>
          <w:p>
            <w:pPr>
              <w:pStyle w:val="Compact"/>
            </w:pPr>
            <w:r>
              <w:t xml:space="preserve">P0</w:t>
            </w:r>
          </w:p>
        </w:tc>
      </w:tr>
    </w:tbl>
    <w:bookmarkEnd w:id="41"/>
    <w:bookmarkStart w:id="42" w:name="ai-evaluation-harness-agent-p0"/>
    <w:p>
      <w:pPr>
        <w:pStyle w:val="Heading3"/>
      </w:pPr>
      <w:r>
        <w:t xml:space="preserve">8. AI Evaluation Harness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Create a plan for evaluating AI modules (e.g., AI‑generated interpretations and decision support) for quality, safety, privacy and refusal rates. This is conceptual: no code, but define tests and metrics.</w:t>
            </w:r>
          </w:p>
        </w:tc>
      </w:tr>
      <w:tr>
        <w:tc>
          <w:tcPr/>
          <w:p>
            <w:pPr>
              <w:pStyle w:val="Compact"/>
            </w:pPr>
            <w:r>
              <w:rPr>
                <w:b/>
                <w:bCs/>
              </w:rPr>
              <w:t xml:space="preserve">Inputs needed</w:t>
            </w:r>
          </w:p>
        </w:tc>
        <w:tc>
          <w:tcPr/>
          <w:p>
            <w:pPr>
              <w:pStyle w:val="Compact"/>
            </w:pPr>
            <w:r>
              <w:t xml:space="preserve">PRD; canonical data model; privacy/consent rules; legal guidelines; NFRs.</w:t>
            </w:r>
          </w:p>
        </w:tc>
      </w:tr>
      <w:tr>
        <w:tc>
          <w:tcPr/>
          <w:p>
            <w:pPr>
              <w:pStyle w:val="Compact"/>
            </w:pPr>
            <w:r>
              <w:rPr>
                <w:b/>
                <w:bCs/>
              </w:rPr>
              <w:t xml:space="preserve">Deliverables</w:t>
            </w:r>
          </w:p>
        </w:tc>
        <w:tc>
          <w:tcPr/>
          <w:p>
            <w:pPr>
              <w:pStyle w:val="Compact"/>
            </w:pPr>
            <w:r>
              <w:t xml:space="preserve">AI evaluation harness plan: test categories (golden path, red‑team prompts, refusal triggers, privacy checks); metrics (accuracy, harmful content detection, refusal rate); human review process; acceptance thresholds; plan for dataset generation and annotation.</w:t>
            </w:r>
          </w:p>
        </w:tc>
      </w:tr>
      <w:tr>
        <w:tc>
          <w:tcPr/>
          <w:p>
            <w:pPr>
              <w:pStyle w:val="Compact"/>
            </w:pPr>
            <w:r>
              <w:rPr>
                <w:b/>
                <w:bCs/>
              </w:rPr>
              <w:t xml:space="preserve">Acceptance criteria</w:t>
            </w:r>
          </w:p>
        </w:tc>
        <w:tc>
          <w:tcPr/>
          <w:p>
            <w:pPr>
              <w:pStyle w:val="Compact"/>
            </w:pPr>
            <w:r>
              <w:t xml:space="preserve">Tests cover golden, red‑team, refusal, privacy and deleted‑memory scenarios</w:t>
            </w:r>
            <w:hyperlink r:id="rId35">
              <w:r>
                <w:rPr>
                  <w:rStyle w:val="Hyperlink"/>
                </w:rPr>
                <w:t xml:space="preserve">[11]</w:t>
              </w:r>
            </w:hyperlink>
            <w:r>
              <w:t xml:space="preserve">; metrics and thresholds align with NFR and PRD; plan avoids storing sensitive data; approved by AI safety owner.</w:t>
            </w:r>
          </w:p>
        </w:tc>
      </w:tr>
      <w:tr>
        <w:tc>
          <w:tcPr/>
          <w:p>
            <w:pPr>
              <w:pStyle w:val="Compact"/>
            </w:pPr>
            <w:r>
              <w:rPr>
                <w:b/>
                <w:bCs/>
              </w:rPr>
              <w:t xml:space="preserve">Dependencies</w:t>
            </w:r>
          </w:p>
        </w:tc>
        <w:tc>
          <w:tcPr/>
          <w:p>
            <w:pPr>
              <w:pStyle w:val="Compact"/>
            </w:pPr>
            <w:r>
              <w:t xml:space="preserve">Requires data model, PRD, legal and privacy packs; influences NFRs, testing strategy and technical architecture.</w:t>
            </w:r>
          </w:p>
        </w:tc>
      </w:tr>
      <w:tr>
        <w:tc>
          <w:tcPr/>
          <w:p>
            <w:pPr>
              <w:pStyle w:val="Compact"/>
            </w:pPr>
            <w:r>
              <w:rPr>
                <w:b/>
                <w:bCs/>
              </w:rPr>
              <w:t xml:space="preserve">Risks</w:t>
            </w:r>
          </w:p>
        </w:tc>
        <w:tc>
          <w:tcPr/>
          <w:p>
            <w:pPr>
              <w:pStyle w:val="Compact"/>
            </w:pPr>
            <w:r>
              <w:t xml:space="preserve">Inadequate coverage; unrealistic thresholds; dataset privacy concerns. Mitigate by involving AI safety experts and privacy team.</w:t>
            </w:r>
          </w:p>
        </w:tc>
      </w:tr>
      <w:tr>
        <w:tc>
          <w:tcPr/>
          <w:p>
            <w:pPr>
              <w:pStyle w:val="Compact"/>
            </w:pPr>
            <w:r>
              <w:rPr>
                <w:b/>
                <w:bCs/>
              </w:rPr>
              <w:t xml:space="preserve">Output format</w:t>
            </w:r>
          </w:p>
        </w:tc>
        <w:tc>
          <w:tcPr/>
          <w:p>
            <w:pPr>
              <w:pStyle w:val="Compact"/>
            </w:pPr>
            <w:r>
              <w:t xml:space="preserve">Markdown document in</w:t>
            </w:r>
            <w:r>
              <w:t xml:space="preserve"> </w:t>
            </w:r>
            <w:r>
              <w:rPr>
                <w:rStyle w:val="VerbatimChar"/>
              </w:rPr>
              <w:t xml:space="preserve">docs/04_ai_memory_and_data/</w:t>
            </w:r>
            <w:r>
              <w:t xml:space="preserve">.</w:t>
            </w:r>
          </w:p>
        </w:tc>
      </w:tr>
      <w:tr>
        <w:tc>
          <w:tcPr/>
          <w:p>
            <w:pPr>
              <w:pStyle w:val="Compact"/>
            </w:pPr>
            <w:r>
              <w:rPr>
                <w:b/>
                <w:bCs/>
              </w:rPr>
              <w:t xml:space="preserve">Priority</w:t>
            </w:r>
          </w:p>
        </w:tc>
        <w:tc>
          <w:tcPr/>
          <w:p>
            <w:pPr>
              <w:pStyle w:val="Compact"/>
            </w:pPr>
            <w:r>
              <w:t xml:space="preserve">P0</w:t>
            </w:r>
          </w:p>
        </w:tc>
      </w:tr>
    </w:tbl>
    <w:bookmarkEnd w:id="42"/>
    <w:bookmarkStart w:id="43" w:name="security-threat-model-agent-p0"/>
    <w:p>
      <w:pPr>
        <w:pStyle w:val="Heading3"/>
      </w:pPr>
      <w:r>
        <w:t xml:space="preserve">9. Security Threat Model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Identify assets, attack surfaces, threats and mitigations for BecomingOS. Pay particular attention to prompt injection, AI provider risks, data exfiltration, and unsafe user inputs.</w:t>
            </w:r>
          </w:p>
        </w:tc>
      </w:tr>
      <w:tr>
        <w:tc>
          <w:tcPr/>
          <w:p>
            <w:pPr>
              <w:pStyle w:val="Compact"/>
            </w:pPr>
            <w:r>
              <w:rPr>
                <w:b/>
                <w:bCs/>
              </w:rPr>
              <w:t xml:space="preserve">Inputs needed</w:t>
            </w:r>
          </w:p>
        </w:tc>
        <w:tc>
          <w:tcPr/>
          <w:p>
            <w:pPr>
              <w:pStyle w:val="Compact"/>
            </w:pPr>
            <w:r>
              <w:t xml:space="preserve">PRD; data model; privacy/consent pack; AI evaluation plan; relevant security frameworks; repository docs.</w:t>
            </w:r>
          </w:p>
        </w:tc>
      </w:tr>
      <w:tr>
        <w:tc>
          <w:tcPr/>
          <w:p>
            <w:pPr>
              <w:pStyle w:val="Compact"/>
            </w:pPr>
            <w:r>
              <w:rPr>
                <w:b/>
                <w:bCs/>
              </w:rPr>
              <w:t xml:space="preserve">Deliverables</w:t>
            </w:r>
          </w:p>
        </w:tc>
        <w:tc>
          <w:tcPr/>
          <w:p>
            <w:pPr>
              <w:pStyle w:val="Compact"/>
            </w:pPr>
            <w:r>
              <w:t xml:space="preserve">Security threat model: asset inventory; trust boundaries; threat scenarios (prompt injection, data leakage, cross‑site scripting, model manipulation); recommended mitigations; classification of threat severities; responsibilities for addressing them.</w:t>
            </w:r>
          </w:p>
        </w:tc>
      </w:tr>
      <w:tr>
        <w:tc>
          <w:tcPr/>
          <w:p>
            <w:pPr>
              <w:pStyle w:val="Compact"/>
            </w:pPr>
            <w:r>
              <w:rPr>
                <w:b/>
                <w:bCs/>
              </w:rPr>
              <w:t xml:space="preserve">Acceptance criteria</w:t>
            </w:r>
          </w:p>
        </w:tc>
        <w:tc>
          <w:tcPr/>
          <w:p>
            <w:pPr>
              <w:pStyle w:val="Compact"/>
            </w:pPr>
            <w:r>
              <w:t xml:space="preserve">Model covers key assets and threats; includes prompt‑injection and AI provider risks</w:t>
            </w:r>
            <w:hyperlink r:id="rId39">
              <w:r>
                <w:rPr>
                  <w:rStyle w:val="Hyperlink"/>
                </w:rPr>
                <w:t xml:space="preserve">[13]</w:t>
              </w:r>
            </w:hyperlink>
            <w:r>
              <w:t xml:space="preserve">; mitigations are actionable; reviewed by security owner.</w:t>
            </w:r>
          </w:p>
        </w:tc>
      </w:tr>
      <w:tr>
        <w:tc>
          <w:tcPr/>
          <w:p>
            <w:pPr>
              <w:pStyle w:val="Compact"/>
            </w:pPr>
            <w:r>
              <w:rPr>
                <w:b/>
                <w:bCs/>
              </w:rPr>
              <w:t xml:space="preserve">Dependencies</w:t>
            </w:r>
          </w:p>
        </w:tc>
        <w:tc>
          <w:tcPr/>
          <w:p>
            <w:pPr>
              <w:pStyle w:val="Compact"/>
            </w:pPr>
            <w:r>
              <w:t xml:space="preserve">Dependent on data model, privacy pack; influences technical architecture, NFRs and testing strategy.</w:t>
            </w:r>
          </w:p>
        </w:tc>
      </w:tr>
      <w:tr>
        <w:tc>
          <w:tcPr/>
          <w:p>
            <w:pPr>
              <w:pStyle w:val="Compact"/>
            </w:pPr>
            <w:r>
              <w:rPr>
                <w:b/>
                <w:bCs/>
              </w:rPr>
              <w:t xml:space="preserve">Risks</w:t>
            </w:r>
          </w:p>
        </w:tc>
        <w:tc>
          <w:tcPr/>
          <w:p>
            <w:pPr>
              <w:pStyle w:val="Compact"/>
            </w:pPr>
            <w:r>
              <w:t xml:space="preserve">Overlooking vulnerabilities; misclassifying severity; insufficient mitigation. Mitigate with security expert review.</w:t>
            </w:r>
          </w:p>
        </w:tc>
      </w:tr>
      <w:tr>
        <w:tc>
          <w:tcPr/>
          <w:p>
            <w:pPr>
              <w:pStyle w:val="Compact"/>
            </w:pPr>
            <w:r>
              <w:rPr>
                <w:b/>
                <w:bCs/>
              </w:rPr>
              <w:t xml:space="preserve">Output format</w:t>
            </w:r>
          </w:p>
        </w:tc>
        <w:tc>
          <w:tcPr/>
          <w:p>
            <w:pPr>
              <w:pStyle w:val="Compact"/>
            </w:pPr>
            <w:r>
              <w:t xml:space="preserve">Markdown document in</w:t>
            </w:r>
            <w:r>
              <w:t xml:space="preserve"> </w:t>
            </w:r>
            <w:r>
              <w:rPr>
                <w:rStyle w:val="VerbatimChar"/>
              </w:rPr>
              <w:t xml:space="preserve">docs/05_privacy_legal_safety/</w:t>
            </w:r>
            <w:r>
              <w:t xml:space="preserve">.</w:t>
            </w:r>
          </w:p>
        </w:tc>
      </w:tr>
      <w:tr>
        <w:tc>
          <w:tcPr/>
          <w:p>
            <w:pPr>
              <w:pStyle w:val="Compact"/>
            </w:pPr>
            <w:r>
              <w:rPr>
                <w:b/>
                <w:bCs/>
              </w:rPr>
              <w:t xml:space="preserve">Priority</w:t>
            </w:r>
          </w:p>
        </w:tc>
        <w:tc>
          <w:tcPr/>
          <w:p>
            <w:pPr>
              <w:pStyle w:val="Compact"/>
            </w:pPr>
            <w:r>
              <w:t xml:space="preserve">P0</w:t>
            </w:r>
          </w:p>
        </w:tc>
      </w:tr>
    </w:tbl>
    <w:bookmarkEnd w:id="43"/>
    <w:bookmarkStart w:id="45" w:name="crisis-localisation-agent-p0"/>
    <w:p>
      <w:pPr>
        <w:pStyle w:val="Heading3"/>
      </w:pPr>
      <w:r>
        <w:t xml:space="preserve">10. Crisis Localisation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Define how BecomingOS handles crises (e.g., user disclosures of self‑harm) and localises resources by region. Provide fallback copy and ensure raw crisis text is not stored by default.</w:t>
            </w:r>
          </w:p>
        </w:tc>
      </w:tr>
      <w:tr>
        <w:tc>
          <w:tcPr/>
          <w:p>
            <w:pPr>
              <w:pStyle w:val="Compact"/>
            </w:pPr>
            <w:r>
              <w:rPr>
                <w:b/>
                <w:bCs/>
              </w:rPr>
              <w:t xml:space="preserve">Inputs needed</w:t>
            </w:r>
          </w:p>
        </w:tc>
        <w:tc>
          <w:tcPr/>
          <w:p>
            <w:pPr>
              <w:pStyle w:val="Compact"/>
            </w:pPr>
            <w:r>
              <w:t xml:space="preserve">PRD; legal and privacy pack; crisis management guidelines; list of emergency hotlines and support resources per locale.</w:t>
            </w:r>
          </w:p>
        </w:tc>
      </w:tr>
      <w:tr>
        <w:tc>
          <w:tcPr/>
          <w:p>
            <w:pPr>
              <w:pStyle w:val="Compact"/>
            </w:pPr>
            <w:r>
              <w:rPr>
                <w:b/>
                <w:bCs/>
              </w:rPr>
              <w:t xml:space="preserve">Deliverables</w:t>
            </w:r>
          </w:p>
        </w:tc>
        <w:tc>
          <w:tcPr/>
          <w:p>
            <w:pPr>
              <w:pStyle w:val="Compact"/>
            </w:pPr>
            <w:r>
              <w:t xml:space="preserve">Crisis localisation policy: list of supported locales and languages; fallback copy for unsupported locales; process for maintaining up‑to‑date crisis resources; guidelines for not storing or embedding crisis content; hand‑off process to external support lines.</w:t>
            </w:r>
          </w:p>
        </w:tc>
      </w:tr>
      <w:tr>
        <w:tc>
          <w:tcPr/>
          <w:p>
            <w:pPr>
              <w:pStyle w:val="Compact"/>
            </w:pPr>
            <w:r>
              <w:rPr>
                <w:b/>
                <w:bCs/>
              </w:rPr>
              <w:t xml:space="preserve">Acceptance criteria</w:t>
            </w:r>
          </w:p>
        </w:tc>
        <w:tc>
          <w:tcPr/>
          <w:p>
            <w:pPr>
              <w:pStyle w:val="Compact"/>
            </w:pPr>
            <w:r>
              <w:t xml:space="preserve">Policy defines crisis detection boundaries; includes region‑specific resources and fallback text; ensures crisis data is not stored or used by AI; reviewed by safety/legal owner</w:t>
            </w:r>
            <w:hyperlink r:id="rId44">
              <w:r>
                <w:rPr>
                  <w:rStyle w:val="Hyperlink"/>
                </w:rPr>
                <w:t xml:space="preserve">[14]</w:t>
              </w:r>
            </w:hyperlink>
            <w:r>
              <w:t xml:space="preserve">.</w:t>
            </w:r>
          </w:p>
        </w:tc>
      </w:tr>
      <w:tr>
        <w:tc>
          <w:tcPr/>
          <w:p>
            <w:pPr>
              <w:pStyle w:val="Compact"/>
            </w:pPr>
            <w:r>
              <w:rPr>
                <w:b/>
                <w:bCs/>
              </w:rPr>
              <w:t xml:space="preserve">Dependencies</w:t>
            </w:r>
          </w:p>
        </w:tc>
        <w:tc>
          <w:tcPr/>
          <w:p>
            <w:pPr>
              <w:pStyle w:val="Compact"/>
            </w:pPr>
            <w:r>
              <w:t xml:space="preserve">Informed by legal, privacy and security guidelines; influences data model, prototype UX and AI evaluation plan.</w:t>
            </w:r>
          </w:p>
        </w:tc>
      </w:tr>
      <w:tr>
        <w:tc>
          <w:tcPr/>
          <w:p>
            <w:pPr>
              <w:pStyle w:val="Compact"/>
            </w:pPr>
            <w:r>
              <w:rPr>
                <w:b/>
                <w:bCs/>
              </w:rPr>
              <w:t xml:space="preserve">Risks</w:t>
            </w:r>
          </w:p>
        </w:tc>
        <w:tc>
          <w:tcPr/>
          <w:p>
            <w:pPr>
              <w:pStyle w:val="Compact"/>
            </w:pPr>
            <w:r>
              <w:t xml:space="preserve">Missing local resources; legal non‑compliance; storing crisis content inadvertently. Mitigate by using authoritative lists and periodic updates.</w:t>
            </w:r>
          </w:p>
        </w:tc>
      </w:tr>
      <w:tr>
        <w:tc>
          <w:tcPr/>
          <w:p>
            <w:pPr>
              <w:pStyle w:val="Compact"/>
            </w:pPr>
            <w:r>
              <w:rPr>
                <w:b/>
                <w:bCs/>
              </w:rPr>
              <w:t xml:space="preserve">Output format</w:t>
            </w:r>
          </w:p>
        </w:tc>
        <w:tc>
          <w:tcPr/>
          <w:p>
            <w:pPr>
              <w:pStyle w:val="Compact"/>
            </w:pPr>
            <w:r>
              <w:t xml:space="preserve">Markdown document in</w:t>
            </w:r>
            <w:r>
              <w:t xml:space="preserve"> </w:t>
            </w:r>
            <w:r>
              <w:rPr>
                <w:rStyle w:val="VerbatimChar"/>
              </w:rPr>
              <w:t xml:space="preserve">docs/05_privacy_legal_safety/</w:t>
            </w:r>
            <w:r>
              <w:t xml:space="preserve">.</w:t>
            </w:r>
          </w:p>
        </w:tc>
      </w:tr>
      <w:tr>
        <w:tc>
          <w:tcPr/>
          <w:p>
            <w:pPr>
              <w:pStyle w:val="Compact"/>
            </w:pPr>
            <w:r>
              <w:rPr>
                <w:b/>
                <w:bCs/>
              </w:rPr>
              <w:t xml:space="preserve">Priority</w:t>
            </w:r>
          </w:p>
        </w:tc>
        <w:tc>
          <w:tcPr/>
          <w:p>
            <w:pPr>
              <w:pStyle w:val="Compact"/>
            </w:pPr>
            <w:r>
              <w:t xml:space="preserve">P0</w:t>
            </w:r>
          </w:p>
        </w:tc>
      </w:tr>
    </w:tbl>
    <w:bookmarkEnd w:id="45"/>
    <w:bookmarkStart w:id="47" w:name="accessibility-qa-agent-p0"/>
    <w:p>
      <w:pPr>
        <w:pStyle w:val="Heading3"/>
      </w:pPr>
      <w:r>
        <w:t xml:space="preserve">11. Accessibility QA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Ensure the product meets accessibility requirements (e.g., WCAG 2.2 AA) and is inclusive to users with diverse abilities and cognition. Define test scripts for the prototype stage.</w:t>
            </w:r>
          </w:p>
        </w:tc>
      </w:tr>
      <w:tr>
        <w:tc>
          <w:tcPr/>
          <w:p>
            <w:pPr>
              <w:pStyle w:val="Compact"/>
            </w:pPr>
            <w:r>
              <w:rPr>
                <w:b/>
                <w:bCs/>
              </w:rPr>
              <w:t xml:space="preserve">Inputs needed</w:t>
            </w:r>
          </w:p>
        </w:tc>
        <w:tc>
          <w:tcPr/>
          <w:p>
            <w:pPr>
              <w:pStyle w:val="Compact"/>
            </w:pPr>
            <w:r>
              <w:t xml:space="preserve">Prototype UX specification; NFRs; WCAG guidelines; accessibility best practices; user research insights on accessibility needs.</w:t>
            </w:r>
          </w:p>
        </w:tc>
      </w:tr>
      <w:tr>
        <w:tc>
          <w:tcPr/>
          <w:p>
            <w:pPr>
              <w:pStyle w:val="Compact"/>
            </w:pPr>
            <w:r>
              <w:rPr>
                <w:b/>
                <w:bCs/>
              </w:rPr>
              <w:t xml:space="preserve">Deliverables</w:t>
            </w:r>
          </w:p>
        </w:tc>
        <w:tc>
          <w:tcPr/>
          <w:p>
            <w:pPr>
              <w:pStyle w:val="Compact"/>
            </w:pPr>
            <w:r>
              <w:t xml:space="preserve">Accessibility QA plan: WCAG 2.2 AA checklist; cognitive accessibility considerations; test scripts for verifying contrast, keyboard navigation, screen‑reader support and alternative text; plan for accessible patterns in the prototype.</w:t>
            </w:r>
          </w:p>
        </w:tc>
      </w:tr>
      <w:tr>
        <w:tc>
          <w:tcPr/>
          <w:p>
            <w:pPr>
              <w:pStyle w:val="Compact"/>
            </w:pPr>
            <w:r>
              <w:rPr>
                <w:b/>
                <w:bCs/>
              </w:rPr>
              <w:t xml:space="preserve">Acceptance criteria</w:t>
            </w:r>
          </w:p>
        </w:tc>
        <w:tc>
          <w:tcPr/>
          <w:p>
            <w:pPr>
              <w:pStyle w:val="Compact"/>
            </w:pPr>
            <w:r>
              <w:t xml:space="preserve">Plan covers relevant WCAG checkpoints; includes cognitive considerations; test scripts are actionable; approved by accessibility owner</w:t>
            </w:r>
            <w:hyperlink r:id="rId46">
              <w:r>
                <w:rPr>
                  <w:rStyle w:val="Hyperlink"/>
                </w:rPr>
                <w:t xml:space="preserve">[15]</w:t>
              </w:r>
            </w:hyperlink>
            <w:r>
              <w:t xml:space="preserve">.</w:t>
            </w:r>
          </w:p>
        </w:tc>
      </w:tr>
      <w:tr>
        <w:tc>
          <w:tcPr/>
          <w:p>
            <w:pPr>
              <w:pStyle w:val="Compact"/>
            </w:pPr>
            <w:r>
              <w:rPr>
                <w:b/>
                <w:bCs/>
              </w:rPr>
              <w:t xml:space="preserve">Dependencies</w:t>
            </w:r>
          </w:p>
        </w:tc>
        <w:tc>
          <w:tcPr/>
          <w:p>
            <w:pPr>
              <w:pStyle w:val="Compact"/>
            </w:pPr>
            <w:r>
              <w:t xml:space="preserve">Requires prototype UX specification and NFRs; informs testing strategy and design.</w:t>
            </w:r>
          </w:p>
        </w:tc>
      </w:tr>
      <w:tr>
        <w:tc>
          <w:tcPr/>
          <w:p>
            <w:pPr>
              <w:pStyle w:val="Compact"/>
            </w:pPr>
            <w:r>
              <w:rPr>
                <w:b/>
                <w:bCs/>
              </w:rPr>
              <w:t xml:space="preserve">Risks</w:t>
            </w:r>
          </w:p>
        </w:tc>
        <w:tc>
          <w:tcPr/>
          <w:p>
            <w:pPr>
              <w:pStyle w:val="Compact"/>
            </w:pPr>
            <w:r>
              <w:t xml:space="preserve">Overlooking cognitive aspects; insufficient test scripts; misalignment with design. Mitigate by involving accessibility experts early.</w:t>
            </w:r>
          </w:p>
        </w:tc>
      </w:tr>
      <w:tr>
        <w:tc>
          <w:tcPr/>
          <w:p>
            <w:pPr>
              <w:pStyle w:val="Compact"/>
            </w:pPr>
            <w:r>
              <w:rPr>
                <w:b/>
                <w:bCs/>
              </w:rPr>
              <w:t xml:space="preserve">Output format</w:t>
            </w:r>
          </w:p>
        </w:tc>
        <w:tc>
          <w:tcPr/>
          <w:p>
            <w:pPr>
              <w:pStyle w:val="Compact"/>
            </w:pPr>
            <w:r>
              <w:t xml:space="preserve">Markdown document in</w:t>
            </w:r>
            <w:r>
              <w:t xml:space="preserve"> </w:t>
            </w:r>
            <w:r>
              <w:rPr>
                <w:rStyle w:val="VerbatimChar"/>
              </w:rPr>
              <w:t xml:space="preserve">docs/10_operations_testing_accessibility/</w:t>
            </w:r>
            <w:r>
              <w:t xml:space="preserve">.</w:t>
            </w:r>
          </w:p>
        </w:tc>
      </w:tr>
      <w:tr>
        <w:tc>
          <w:tcPr/>
          <w:p>
            <w:pPr>
              <w:pStyle w:val="Compact"/>
            </w:pPr>
            <w:r>
              <w:rPr>
                <w:b/>
                <w:bCs/>
              </w:rPr>
              <w:t xml:space="preserve">Priority</w:t>
            </w:r>
          </w:p>
        </w:tc>
        <w:tc>
          <w:tcPr/>
          <w:p>
            <w:pPr>
              <w:pStyle w:val="Compact"/>
            </w:pPr>
            <w:r>
              <w:t xml:space="preserve">P0</w:t>
            </w:r>
          </w:p>
        </w:tc>
      </w:tr>
    </w:tbl>
    <w:bookmarkEnd w:id="47"/>
    <w:bookmarkStart w:id="50" w:name="prototype-ux-agent-p0"/>
    <w:p>
      <w:pPr>
        <w:pStyle w:val="Heading3"/>
      </w:pPr>
      <w:r>
        <w:t xml:space="preserve">12. Prototype UX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Create a low‑fidelity prototype specification for Modules 0–1 (e.g., onboarding, micro‑lessons, reflective questions, AI draft interpretations, user confirmation, My OS memory system, Today directives, manual calendar alignment and review loops). It should support validation interviews and not be treated as final design.</w:t>
            </w:r>
          </w:p>
        </w:tc>
      </w:tr>
      <w:tr>
        <w:tc>
          <w:tcPr/>
          <w:p>
            <w:pPr>
              <w:pStyle w:val="Compact"/>
            </w:pPr>
            <w:r>
              <w:rPr>
                <w:b/>
                <w:bCs/>
              </w:rPr>
              <w:t xml:space="preserve">Inputs needed</w:t>
            </w:r>
          </w:p>
        </w:tc>
        <w:tc>
          <w:tcPr/>
          <w:p>
            <w:pPr>
              <w:pStyle w:val="Compact"/>
            </w:pPr>
            <w:r>
              <w:t xml:space="preserve">PRD; user research; curriculum draft; data model; privacy and crisis policies; accessibility guidelines.</w:t>
            </w:r>
          </w:p>
        </w:tc>
      </w:tr>
      <w:tr>
        <w:tc>
          <w:tcPr/>
          <w:p>
            <w:pPr>
              <w:pStyle w:val="Compact"/>
            </w:pPr>
            <w:r>
              <w:rPr>
                <w:b/>
                <w:bCs/>
              </w:rPr>
              <w:t xml:space="preserve">Deliverables</w:t>
            </w:r>
          </w:p>
        </w:tc>
        <w:tc>
          <w:tcPr/>
          <w:p>
            <w:pPr>
              <w:pStyle w:val="Compact"/>
            </w:pPr>
            <w:r>
              <w:t xml:space="preserve">Prototype UX specification: screen flows, wireframes, content placeholders, micro‑copy guidelines; annotation of AI draft flows (draft, confirm/edit, reject); skip/pause controls; notes on crisis fallback copy; and explicit confirmation steps before adding memory.</w:t>
            </w:r>
          </w:p>
        </w:tc>
      </w:tr>
      <w:tr>
        <w:tc>
          <w:tcPr/>
          <w:p>
            <w:pPr>
              <w:pStyle w:val="Compact"/>
            </w:pPr>
            <w:r>
              <w:rPr>
                <w:b/>
                <w:bCs/>
              </w:rPr>
              <w:t xml:space="preserve">Acceptance criteria</w:t>
            </w:r>
          </w:p>
        </w:tc>
        <w:tc>
          <w:tcPr/>
          <w:p>
            <w:pPr>
              <w:pStyle w:val="Compact"/>
            </w:pPr>
            <w:r>
              <w:t xml:space="preserve">Specification covers Modules 0–1 and shows complete user journey; includes AI draft confirmation/edit/reject flows</w:t>
            </w:r>
            <w:hyperlink r:id="rId48">
              <w:r>
                <w:rPr>
                  <w:rStyle w:val="Hyperlink"/>
                </w:rPr>
                <w:t xml:space="preserve">[16]</w:t>
              </w:r>
            </w:hyperlink>
            <w:r>
              <w:t xml:space="preserve">; contains skip/pause controls; addresses crisis fallback and accessibility; is approved by design/product owner.</w:t>
            </w:r>
          </w:p>
        </w:tc>
      </w:tr>
      <w:tr>
        <w:tc>
          <w:tcPr/>
          <w:p>
            <w:pPr>
              <w:pStyle w:val="Compact"/>
            </w:pPr>
            <w:r>
              <w:rPr>
                <w:b/>
                <w:bCs/>
              </w:rPr>
              <w:t xml:space="preserve">Dependencies</w:t>
            </w:r>
          </w:p>
        </w:tc>
        <w:tc>
          <w:tcPr/>
          <w:p>
            <w:pPr>
              <w:pStyle w:val="Compact"/>
            </w:pPr>
            <w:r>
              <w:t xml:space="preserve">Dependent on PRD, curriculum, privacy, data model, crisis localisation and accessibility plan; informs the Curriculum Agent and Testing Strategy.</w:t>
            </w:r>
          </w:p>
        </w:tc>
      </w:tr>
      <w:tr>
        <w:tc>
          <w:tcPr/>
          <w:p>
            <w:pPr>
              <w:pStyle w:val="Compact"/>
            </w:pPr>
            <w:r>
              <w:rPr>
                <w:b/>
                <w:bCs/>
              </w:rPr>
              <w:t xml:space="preserve">Risks</w:t>
            </w:r>
          </w:p>
        </w:tc>
        <w:tc>
          <w:tcPr/>
          <w:p>
            <w:pPr>
              <w:pStyle w:val="Compact"/>
            </w:pPr>
            <w:r>
              <w:t xml:space="preserve">Over‑scoping; unclear flows; ignoring accessibility or privacy guidelines. Mitigate by iterative review and alignment with P0 boundaries.</w:t>
            </w:r>
          </w:p>
        </w:tc>
      </w:tr>
      <w:tr>
        <w:tc>
          <w:tcPr/>
          <w:p>
            <w:pPr>
              <w:pStyle w:val="Compact"/>
            </w:pPr>
            <w:r>
              <w:rPr>
                <w:b/>
                <w:bCs/>
              </w:rPr>
              <w:t xml:space="preserve">Output format</w:t>
            </w:r>
          </w:p>
        </w:tc>
        <w:tc>
          <w:tcPr/>
          <w:p>
            <w:pPr>
              <w:pStyle w:val="Compact"/>
            </w:pPr>
            <w:r>
              <w:t xml:space="preserve">Markdown with embedded wireframe images in</w:t>
            </w:r>
            <w:r>
              <w:t xml:space="preserve"> </w:t>
            </w:r>
            <w:r>
              <w:rPr>
                <w:rStyle w:val="VerbatimChar"/>
              </w:rPr>
              <w:t xml:space="preserve">docs/01_product/</w:t>
            </w:r>
            <w:hyperlink r:id="rId49">
              <w:r>
                <w:rPr>
                  <w:rStyle w:val="Hyperlink"/>
                </w:rPr>
                <w:t xml:space="preserve">[17]</w:t>
              </w:r>
            </w:hyperlink>
            <w:r>
              <w:t xml:space="preserve">.</w:t>
            </w:r>
          </w:p>
        </w:tc>
      </w:tr>
      <w:tr>
        <w:tc>
          <w:tcPr/>
          <w:p>
            <w:pPr>
              <w:pStyle w:val="Compact"/>
            </w:pPr>
            <w:r>
              <w:rPr>
                <w:b/>
                <w:bCs/>
              </w:rPr>
              <w:t xml:space="preserve">Priority</w:t>
            </w:r>
          </w:p>
        </w:tc>
        <w:tc>
          <w:tcPr/>
          <w:p>
            <w:pPr>
              <w:pStyle w:val="Compact"/>
            </w:pPr>
            <w:r>
              <w:t xml:space="preserve">P0</w:t>
            </w:r>
          </w:p>
        </w:tc>
      </w:tr>
    </w:tbl>
    <w:bookmarkEnd w:id="50"/>
    <w:bookmarkStart w:id="52" w:name="curriculum-and-question-bank-agent-p0"/>
    <w:p>
      <w:pPr>
        <w:pStyle w:val="Heading3"/>
      </w:pPr>
      <w:r>
        <w:t xml:space="preserve">13. Curriculum and Question Bank Agent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Draft the educational content, micro‑lessons and reflective questions for Modules 0–2 (prototype scope). Content must be non‑clinical, safe and aligned with privacy and crisis guidelines.</w:t>
            </w:r>
          </w:p>
        </w:tc>
      </w:tr>
      <w:tr>
        <w:tc>
          <w:tcPr/>
          <w:p>
            <w:pPr>
              <w:pStyle w:val="Compact"/>
            </w:pPr>
            <w:r>
              <w:rPr>
                <w:b/>
                <w:bCs/>
              </w:rPr>
              <w:t xml:space="preserve">Inputs needed</w:t>
            </w:r>
          </w:p>
        </w:tc>
        <w:tc>
          <w:tcPr/>
          <w:p>
            <w:pPr>
              <w:pStyle w:val="Compact"/>
            </w:pPr>
            <w:r>
              <w:t xml:space="preserve">PRD; user research insights; existing curriculum frameworks; safety and legal guidelines; AI safety evaluation; crisis localisation policy.</w:t>
            </w:r>
          </w:p>
        </w:tc>
      </w:tr>
      <w:tr>
        <w:tc>
          <w:tcPr/>
          <w:p>
            <w:pPr>
              <w:pStyle w:val="Compact"/>
            </w:pPr>
            <w:r>
              <w:rPr>
                <w:b/>
                <w:bCs/>
              </w:rPr>
              <w:t xml:space="preserve">Deliverables</w:t>
            </w:r>
          </w:p>
        </w:tc>
        <w:tc>
          <w:tcPr/>
          <w:p>
            <w:pPr>
              <w:pStyle w:val="Compact"/>
            </w:pPr>
            <w:r>
              <w:t xml:space="preserve">Curriculum and question bank: module objectives; micro‑lesson outlines; reflective questions; AI prompt templates; safety review notes; classification of questions that may trigger crisis detection; instructions for AI summarisation and draft interpretation.</w:t>
            </w:r>
          </w:p>
        </w:tc>
      </w:tr>
      <w:tr>
        <w:tc>
          <w:tcPr/>
          <w:p>
            <w:pPr>
              <w:pStyle w:val="Compact"/>
            </w:pPr>
            <w:r>
              <w:rPr>
                <w:b/>
                <w:bCs/>
              </w:rPr>
              <w:t xml:space="preserve">Acceptance criteria</w:t>
            </w:r>
          </w:p>
        </w:tc>
        <w:tc>
          <w:tcPr/>
          <w:p>
            <w:pPr>
              <w:pStyle w:val="Compact"/>
            </w:pPr>
            <w:r>
              <w:t xml:space="preserve">Content fits within non‑clinical, educational scope; includes safety notes; avoids therapy or diagnosis; integrates with prototype UX; approved by curriculum owner</w:t>
            </w:r>
            <w:hyperlink r:id="rId51">
              <w:r>
                <w:rPr>
                  <w:rStyle w:val="Hyperlink"/>
                </w:rPr>
                <w:t xml:space="preserve">[18]</w:t>
              </w:r>
            </w:hyperlink>
            <w:r>
              <w:t xml:space="preserve">.</w:t>
            </w:r>
          </w:p>
        </w:tc>
      </w:tr>
      <w:tr>
        <w:tc>
          <w:tcPr/>
          <w:p>
            <w:pPr>
              <w:pStyle w:val="Compact"/>
            </w:pPr>
            <w:r>
              <w:rPr>
                <w:b/>
                <w:bCs/>
              </w:rPr>
              <w:t xml:space="preserve">Dependencies</w:t>
            </w:r>
          </w:p>
        </w:tc>
        <w:tc>
          <w:tcPr/>
          <w:p>
            <w:pPr>
              <w:pStyle w:val="Compact"/>
            </w:pPr>
            <w:r>
              <w:t xml:space="preserve">Informed by user research, PRD, privacy, legal, crisis and data model; influences prototype UX and AI evaluation harness.</w:t>
            </w:r>
          </w:p>
        </w:tc>
      </w:tr>
      <w:tr>
        <w:tc>
          <w:tcPr/>
          <w:p>
            <w:pPr>
              <w:pStyle w:val="Compact"/>
            </w:pPr>
            <w:r>
              <w:rPr>
                <w:b/>
                <w:bCs/>
              </w:rPr>
              <w:t xml:space="preserve">Risks</w:t>
            </w:r>
          </w:p>
        </w:tc>
        <w:tc>
          <w:tcPr/>
          <w:p>
            <w:pPr>
              <w:pStyle w:val="Compact"/>
            </w:pPr>
            <w:r>
              <w:t xml:space="preserve">Writing therapeutic or high‑impact content; misalignment with privacy/crisis guidelines. Mitigate through content review by subject experts and legal.</w:t>
            </w:r>
          </w:p>
        </w:tc>
      </w:tr>
      <w:tr>
        <w:tc>
          <w:tcPr/>
          <w:p>
            <w:pPr>
              <w:pStyle w:val="Compact"/>
            </w:pPr>
            <w:r>
              <w:rPr>
                <w:b/>
                <w:bCs/>
              </w:rPr>
              <w:t xml:space="preserve">Output format</w:t>
            </w:r>
          </w:p>
        </w:tc>
        <w:tc>
          <w:tcPr/>
          <w:p>
            <w:pPr>
              <w:pStyle w:val="Compact"/>
            </w:pPr>
            <w:r>
              <w:t xml:space="preserve">Markdown and structured data (e.g., tables) in</w:t>
            </w:r>
            <w:r>
              <w:t xml:space="preserve"> </w:t>
            </w:r>
            <w:r>
              <w:rPr>
                <w:rStyle w:val="VerbatimChar"/>
              </w:rPr>
              <w:t xml:space="preserve">docs/03_curriculum_and_questions/</w:t>
            </w:r>
            <w:r>
              <w:t xml:space="preserve">.</w:t>
            </w:r>
          </w:p>
        </w:tc>
      </w:tr>
      <w:tr>
        <w:tc>
          <w:tcPr/>
          <w:p>
            <w:pPr>
              <w:pStyle w:val="Compact"/>
            </w:pPr>
            <w:r>
              <w:rPr>
                <w:b/>
                <w:bCs/>
              </w:rPr>
              <w:t xml:space="preserve">Priority</w:t>
            </w:r>
          </w:p>
        </w:tc>
        <w:tc>
          <w:tcPr/>
          <w:p>
            <w:pPr>
              <w:pStyle w:val="Compact"/>
            </w:pPr>
            <w:r>
              <w:t xml:space="preserve">P0</w:t>
            </w:r>
          </w:p>
        </w:tc>
      </w:tr>
    </w:tbl>
    <w:bookmarkEnd w:id="52"/>
    <w:bookmarkStart w:id="54" w:name="market-validation-agent-p1"/>
    <w:p>
      <w:pPr>
        <w:pStyle w:val="Heading3"/>
      </w:pPr>
      <w:r>
        <w:t xml:space="preserve">14. Market Validation Agent (P1)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Test demand, positioning and pricing hypotheses after the P0 foundation exists. Conduct experiments to see if the product resonates with target segments and if there is willingness to pay or adopt.</w:t>
            </w:r>
          </w:p>
        </w:tc>
      </w:tr>
      <w:tr>
        <w:tc>
          <w:tcPr/>
          <w:p>
            <w:pPr>
              <w:pStyle w:val="Compact"/>
            </w:pPr>
            <w:r>
              <w:rPr>
                <w:b/>
                <w:bCs/>
              </w:rPr>
              <w:t xml:space="preserve">Inputs needed</w:t>
            </w:r>
          </w:p>
        </w:tc>
        <w:tc>
          <w:tcPr/>
          <w:p>
            <w:pPr>
              <w:pStyle w:val="Compact"/>
            </w:pPr>
            <w:r>
              <w:t xml:space="preserve">PRD, user research personas and pain points; competitor analysis; early prototype or landing page; marketing hypotheses.</w:t>
            </w:r>
          </w:p>
        </w:tc>
      </w:tr>
      <w:tr>
        <w:tc>
          <w:tcPr/>
          <w:p>
            <w:pPr>
              <w:pStyle w:val="Compact"/>
            </w:pPr>
            <w:r>
              <w:rPr>
                <w:b/>
                <w:bCs/>
              </w:rPr>
              <w:t xml:space="preserve">Deliverables</w:t>
            </w:r>
          </w:p>
        </w:tc>
        <w:tc>
          <w:tcPr/>
          <w:p>
            <w:pPr>
              <w:pStyle w:val="Compact"/>
            </w:pPr>
            <w:r>
              <w:t xml:space="preserve">Market validation report: experiment design (landing pages, messaging variations, pricing tests); metrics (conversion, signup, retention intent); analysis; go/no‑go recommendations for product viability; segmentation insights.</w:t>
            </w:r>
          </w:p>
        </w:tc>
      </w:tr>
      <w:tr>
        <w:tc>
          <w:tcPr/>
          <w:p>
            <w:pPr>
              <w:pStyle w:val="Compact"/>
            </w:pPr>
            <w:r>
              <w:rPr>
                <w:b/>
                <w:bCs/>
              </w:rPr>
              <w:t xml:space="preserve">Acceptance criteria</w:t>
            </w:r>
          </w:p>
        </w:tc>
        <w:tc>
          <w:tcPr/>
          <w:p>
            <w:pPr>
              <w:pStyle w:val="Compact"/>
            </w:pPr>
            <w:r>
              <w:t xml:space="preserve">Experiments use ethical recruitment and privacy consent; results measure demand and price sensitivity; report identifies segments and informs GTM strategy; approved by product/GTM owner</w:t>
            </w:r>
            <w:hyperlink r:id="rId53">
              <w:r>
                <w:rPr>
                  <w:rStyle w:val="Hyperlink"/>
                </w:rPr>
                <w:t xml:space="preserve">[19]</w:t>
              </w:r>
            </w:hyperlink>
            <w:r>
              <w:t xml:space="preserve">.</w:t>
            </w:r>
          </w:p>
        </w:tc>
      </w:tr>
      <w:tr>
        <w:tc>
          <w:tcPr/>
          <w:p>
            <w:pPr>
              <w:pStyle w:val="Compact"/>
            </w:pPr>
            <w:r>
              <w:rPr>
                <w:b/>
                <w:bCs/>
              </w:rPr>
              <w:t xml:space="preserve">Dependencies</w:t>
            </w:r>
          </w:p>
        </w:tc>
        <w:tc>
          <w:tcPr/>
          <w:p>
            <w:pPr>
              <w:pStyle w:val="Compact"/>
            </w:pPr>
            <w:r>
              <w:t xml:space="preserve">Requires P0 documents (PRD, user research) to define hypotheses; may run in parallel with P1 tasks.</w:t>
            </w:r>
          </w:p>
        </w:tc>
      </w:tr>
      <w:tr>
        <w:tc>
          <w:tcPr/>
          <w:p>
            <w:pPr>
              <w:pStyle w:val="Compact"/>
            </w:pPr>
            <w:r>
              <w:rPr>
                <w:b/>
                <w:bCs/>
              </w:rPr>
              <w:t xml:space="preserve">Risks</w:t>
            </w:r>
          </w:p>
        </w:tc>
        <w:tc>
          <w:tcPr/>
          <w:p>
            <w:pPr>
              <w:pStyle w:val="Compact"/>
            </w:pPr>
            <w:r>
              <w:t xml:space="preserve">Poor experiment design; misinterpreting data; inaccurate pricing assumptions. Mitigate with clear hypotheses and statistical analysis.</w:t>
            </w:r>
          </w:p>
        </w:tc>
      </w:tr>
      <w:tr>
        <w:tc>
          <w:tcPr/>
          <w:p>
            <w:pPr>
              <w:pStyle w:val="Compact"/>
            </w:pPr>
            <w:r>
              <w:rPr>
                <w:b/>
                <w:bCs/>
              </w:rPr>
              <w:t xml:space="preserve">Output format</w:t>
            </w:r>
          </w:p>
        </w:tc>
        <w:tc>
          <w:tcPr/>
          <w:p>
            <w:pPr>
              <w:pStyle w:val="Compact"/>
            </w:pPr>
            <w:r>
              <w:t xml:space="preserve">Markdown report in</w:t>
            </w:r>
            <w:r>
              <w:t xml:space="preserve"> </w:t>
            </w:r>
            <w:r>
              <w:rPr>
                <w:rStyle w:val="VerbatimChar"/>
              </w:rPr>
              <w:t xml:space="preserve">docs/02_research_and_validation/</w:t>
            </w:r>
            <w:r>
              <w:t xml:space="preserve">.</w:t>
            </w:r>
          </w:p>
        </w:tc>
      </w:tr>
      <w:tr>
        <w:tc>
          <w:tcPr/>
          <w:p>
            <w:pPr>
              <w:pStyle w:val="Compact"/>
            </w:pPr>
            <w:r>
              <w:rPr>
                <w:b/>
                <w:bCs/>
              </w:rPr>
              <w:t xml:space="preserve">Priority</w:t>
            </w:r>
          </w:p>
        </w:tc>
        <w:tc>
          <w:tcPr/>
          <w:p>
            <w:pPr>
              <w:pStyle w:val="Compact"/>
            </w:pPr>
            <w:r>
              <w:t xml:space="preserve">P1</w:t>
            </w:r>
          </w:p>
        </w:tc>
      </w:tr>
    </w:tbl>
    <w:bookmarkEnd w:id="54"/>
    <w:bookmarkStart w:id="56" w:name="analytics-and-event-taxonomy-agent-p1"/>
    <w:p>
      <w:pPr>
        <w:pStyle w:val="Heading3"/>
      </w:pPr>
      <w:r>
        <w:t xml:space="preserve">15. Analytics and Event Taxonomy Agent (P1)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Define a privacy‑preserving analytics taxonomy for measuring user behaviour, learning outcomes and product health without compromising personal data.</w:t>
            </w:r>
          </w:p>
        </w:tc>
      </w:tr>
      <w:tr>
        <w:tc>
          <w:tcPr/>
          <w:p>
            <w:pPr>
              <w:pStyle w:val="Compact"/>
            </w:pPr>
            <w:r>
              <w:rPr>
                <w:b/>
                <w:bCs/>
              </w:rPr>
              <w:t xml:space="preserve">Inputs needed</w:t>
            </w:r>
          </w:p>
        </w:tc>
        <w:tc>
          <w:tcPr/>
          <w:p>
            <w:pPr>
              <w:pStyle w:val="Compact"/>
            </w:pPr>
            <w:r>
              <w:t xml:space="preserve">PRD; privacy and consent pack; data model; prototype UX flows; NFR metrics.</w:t>
            </w:r>
          </w:p>
        </w:tc>
      </w:tr>
      <w:tr>
        <w:tc>
          <w:tcPr/>
          <w:p>
            <w:pPr>
              <w:pStyle w:val="Compact"/>
            </w:pPr>
            <w:r>
              <w:rPr>
                <w:b/>
                <w:bCs/>
              </w:rPr>
              <w:t xml:space="preserve">Deliverables</w:t>
            </w:r>
          </w:p>
        </w:tc>
        <w:tc>
          <w:tcPr/>
          <w:p>
            <w:pPr>
              <w:pStyle w:val="Compact"/>
            </w:pPr>
            <w:r>
              <w:t xml:space="preserve">Analytics taxonomy: list of events (e.g., module start/completion, reflection submitted, AI draft accepted/rejected, directive executed); properties captured; retention and minimisation rules; consent mechanisms; guidelines for anonymisation.</w:t>
            </w:r>
          </w:p>
        </w:tc>
      </w:tr>
      <w:tr>
        <w:tc>
          <w:tcPr/>
          <w:p>
            <w:pPr>
              <w:pStyle w:val="Compact"/>
            </w:pPr>
            <w:r>
              <w:rPr>
                <w:b/>
                <w:bCs/>
              </w:rPr>
              <w:t xml:space="preserve">Acceptance criteria</w:t>
            </w:r>
          </w:p>
        </w:tc>
        <w:tc>
          <w:tcPr/>
          <w:p>
            <w:pPr>
              <w:pStyle w:val="Compact"/>
            </w:pPr>
            <w:r>
              <w:t xml:space="preserve">Taxonomy respects consent and minimisation (only collects essential metrics); events align with PRD goals; anonymity and security are ensured; approved by product analytics owner</w:t>
            </w:r>
            <w:hyperlink r:id="rId55">
              <w:r>
                <w:rPr>
                  <w:rStyle w:val="Hyperlink"/>
                </w:rPr>
                <w:t xml:space="preserve">[20]</w:t>
              </w:r>
            </w:hyperlink>
            <w:r>
              <w:t xml:space="preserve">.</w:t>
            </w:r>
          </w:p>
        </w:tc>
      </w:tr>
      <w:tr>
        <w:tc>
          <w:tcPr/>
          <w:p>
            <w:pPr>
              <w:pStyle w:val="Compact"/>
            </w:pPr>
            <w:r>
              <w:rPr>
                <w:b/>
                <w:bCs/>
              </w:rPr>
              <w:t xml:space="preserve">Dependencies</w:t>
            </w:r>
          </w:p>
        </w:tc>
        <w:tc>
          <w:tcPr/>
          <w:p>
            <w:pPr>
              <w:pStyle w:val="Compact"/>
            </w:pPr>
            <w:r>
              <w:t xml:space="preserve">Depends on PRD, privacy pack, data model and prototype UX; informs technical architecture and testing strategy.</w:t>
            </w:r>
          </w:p>
        </w:tc>
      </w:tr>
      <w:tr>
        <w:tc>
          <w:tcPr/>
          <w:p>
            <w:pPr>
              <w:pStyle w:val="Compact"/>
            </w:pPr>
            <w:r>
              <w:rPr>
                <w:b/>
                <w:bCs/>
              </w:rPr>
              <w:t xml:space="preserve">Risks</w:t>
            </w:r>
          </w:p>
        </w:tc>
        <w:tc>
          <w:tcPr/>
          <w:p>
            <w:pPr>
              <w:pStyle w:val="Compact"/>
            </w:pPr>
            <w:r>
              <w:t xml:space="preserve">Over‑collection of data; event naming inconsistency; unclear metrics. Mitigate by cross‑function review and aligning with privacy laws.</w:t>
            </w:r>
          </w:p>
        </w:tc>
      </w:tr>
      <w:tr>
        <w:tc>
          <w:tcPr/>
          <w:p>
            <w:pPr>
              <w:pStyle w:val="Compact"/>
            </w:pPr>
            <w:r>
              <w:rPr>
                <w:b/>
                <w:bCs/>
              </w:rPr>
              <w:t xml:space="preserve">Output format</w:t>
            </w:r>
          </w:p>
        </w:tc>
        <w:tc>
          <w:tcPr/>
          <w:p>
            <w:pPr>
              <w:pStyle w:val="Compact"/>
            </w:pPr>
            <w:r>
              <w:t xml:space="preserve">Markdown document in</w:t>
            </w:r>
            <w:r>
              <w:t xml:space="preserve"> </w:t>
            </w:r>
            <w:r>
              <w:rPr>
                <w:rStyle w:val="VerbatimChar"/>
              </w:rPr>
              <w:t xml:space="preserve">docs/10_operations_testing_accessibility/</w:t>
            </w:r>
            <w:r>
              <w:t xml:space="preserve">.</w:t>
            </w:r>
          </w:p>
        </w:tc>
      </w:tr>
      <w:tr>
        <w:tc>
          <w:tcPr/>
          <w:p>
            <w:pPr>
              <w:pStyle w:val="Compact"/>
            </w:pPr>
            <w:r>
              <w:rPr>
                <w:b/>
                <w:bCs/>
              </w:rPr>
              <w:t xml:space="preserve">Priority</w:t>
            </w:r>
          </w:p>
        </w:tc>
        <w:tc>
          <w:tcPr/>
          <w:p>
            <w:pPr>
              <w:pStyle w:val="Compact"/>
            </w:pPr>
            <w:r>
              <w:t xml:space="preserve">P1</w:t>
            </w:r>
          </w:p>
        </w:tc>
      </w:tr>
    </w:tbl>
    <w:bookmarkEnd w:id="56"/>
    <w:bookmarkStart w:id="58" w:name="operations-and-support-agent-p1"/>
    <w:p>
      <w:pPr>
        <w:pStyle w:val="Heading3"/>
      </w:pPr>
      <w:r>
        <w:t xml:space="preserve">16. Operations and Support Agent (P1)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Define operational processes for user support, incident response, data export/deletion requests, consent revocation and other operational scenarios before closed beta.</w:t>
            </w:r>
          </w:p>
        </w:tc>
      </w:tr>
      <w:tr>
        <w:tc>
          <w:tcPr/>
          <w:p>
            <w:pPr>
              <w:pStyle w:val="Compact"/>
            </w:pPr>
            <w:r>
              <w:rPr>
                <w:b/>
                <w:bCs/>
              </w:rPr>
              <w:t xml:space="preserve">Inputs needed</w:t>
            </w:r>
          </w:p>
        </w:tc>
        <w:tc>
          <w:tcPr/>
          <w:p>
            <w:pPr>
              <w:pStyle w:val="Compact"/>
            </w:pPr>
            <w:r>
              <w:t xml:space="preserve">PRD; privacy pack; NFRs; crisis localisation policy; data model; analytics taxonomy; user research on support needs.</w:t>
            </w:r>
          </w:p>
        </w:tc>
      </w:tr>
      <w:tr>
        <w:tc>
          <w:tcPr/>
          <w:p>
            <w:pPr>
              <w:pStyle w:val="Compact"/>
            </w:pPr>
            <w:r>
              <w:rPr>
                <w:b/>
                <w:bCs/>
              </w:rPr>
              <w:t xml:space="preserve">Deliverables</w:t>
            </w:r>
          </w:p>
        </w:tc>
        <w:tc>
          <w:tcPr/>
          <w:p>
            <w:pPr>
              <w:pStyle w:val="Compact"/>
            </w:pPr>
            <w:r>
              <w:t xml:space="preserve">Operations and support playbook: support ticket workflows; escalation paths; incident response protocols; roles and responsibilities; scripts for consent revocation and data deletion; support hours and channel plan; integration with crisis response.</w:t>
            </w:r>
          </w:p>
        </w:tc>
      </w:tr>
      <w:tr>
        <w:tc>
          <w:tcPr/>
          <w:p>
            <w:pPr>
              <w:pStyle w:val="Compact"/>
            </w:pPr>
            <w:r>
              <w:rPr>
                <w:b/>
                <w:bCs/>
              </w:rPr>
              <w:t xml:space="preserve">Acceptance criteria</w:t>
            </w:r>
          </w:p>
        </w:tc>
        <w:tc>
          <w:tcPr/>
          <w:p>
            <w:pPr>
              <w:pStyle w:val="Compact"/>
            </w:pPr>
            <w:r>
              <w:t xml:space="preserve">Playbook covers support cases and incident types; defines accountable owners; ensures compliance with privacy and crisis guidelines</w:t>
            </w:r>
            <w:hyperlink r:id="rId57">
              <w:r>
                <w:rPr>
                  <w:rStyle w:val="Hyperlink"/>
                </w:rPr>
                <w:t xml:space="preserve">[21]</w:t>
              </w:r>
            </w:hyperlink>
            <w:r>
              <w:t xml:space="preserve">; approved by operations owner.</w:t>
            </w:r>
          </w:p>
        </w:tc>
      </w:tr>
      <w:tr>
        <w:tc>
          <w:tcPr/>
          <w:p>
            <w:pPr>
              <w:pStyle w:val="Compact"/>
            </w:pPr>
            <w:r>
              <w:rPr>
                <w:b/>
                <w:bCs/>
              </w:rPr>
              <w:t xml:space="preserve">Dependencies</w:t>
            </w:r>
          </w:p>
        </w:tc>
        <w:tc>
          <w:tcPr/>
          <w:p>
            <w:pPr>
              <w:pStyle w:val="Compact"/>
            </w:pPr>
            <w:r>
              <w:t xml:space="preserve">Informed by privacy pack, crisis policy, analytics taxonomy and NFRs; influences testing strategy and integration.</w:t>
            </w:r>
          </w:p>
        </w:tc>
      </w:tr>
      <w:tr>
        <w:tc>
          <w:tcPr/>
          <w:p>
            <w:pPr>
              <w:pStyle w:val="Compact"/>
            </w:pPr>
            <w:r>
              <w:rPr>
                <w:b/>
                <w:bCs/>
              </w:rPr>
              <w:t xml:space="preserve">Risks</w:t>
            </w:r>
          </w:p>
        </w:tc>
        <w:tc>
          <w:tcPr/>
          <w:p>
            <w:pPr>
              <w:pStyle w:val="Compact"/>
            </w:pPr>
            <w:r>
              <w:t xml:space="preserve">Under‑defined processes; unclear roles; failure to meet regulatory requirements. Mitigate through cross‑team review and simulation exercises.</w:t>
            </w:r>
          </w:p>
        </w:tc>
      </w:tr>
      <w:tr>
        <w:tc>
          <w:tcPr/>
          <w:p>
            <w:pPr>
              <w:pStyle w:val="Compact"/>
            </w:pPr>
            <w:r>
              <w:rPr>
                <w:b/>
                <w:bCs/>
              </w:rPr>
              <w:t xml:space="preserve">Output format</w:t>
            </w:r>
          </w:p>
        </w:tc>
        <w:tc>
          <w:tcPr/>
          <w:p>
            <w:pPr>
              <w:pStyle w:val="Compact"/>
            </w:pPr>
            <w:r>
              <w:t xml:space="preserve">Markdown document in</w:t>
            </w:r>
            <w:r>
              <w:t xml:space="preserve"> </w:t>
            </w:r>
            <w:r>
              <w:rPr>
                <w:rStyle w:val="VerbatimChar"/>
              </w:rPr>
              <w:t xml:space="preserve">docs/10_operations_testing_accessibility/</w:t>
            </w:r>
            <w:r>
              <w:t xml:space="preserve">.</w:t>
            </w:r>
          </w:p>
        </w:tc>
      </w:tr>
      <w:tr>
        <w:tc>
          <w:tcPr/>
          <w:p>
            <w:pPr>
              <w:pStyle w:val="Compact"/>
            </w:pPr>
            <w:r>
              <w:rPr>
                <w:b/>
                <w:bCs/>
              </w:rPr>
              <w:t xml:space="preserve">Priority</w:t>
            </w:r>
          </w:p>
        </w:tc>
        <w:tc>
          <w:tcPr/>
          <w:p>
            <w:pPr>
              <w:pStyle w:val="Compact"/>
            </w:pPr>
            <w:r>
              <w:t xml:space="preserve">P1</w:t>
            </w:r>
          </w:p>
        </w:tc>
      </w:tr>
    </w:tbl>
    <w:bookmarkEnd w:id="58"/>
    <w:bookmarkStart w:id="59" w:name="testing-strategy-agent-p1"/>
    <w:p>
      <w:pPr>
        <w:pStyle w:val="Heading3"/>
      </w:pPr>
      <w:r>
        <w:t xml:space="preserve">17. Testing Strategy Agent (P1)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Develop a testing strategy that defines coverage, test types and release gates for the MVP. Ensure functional, accessibility, security, privacy, deletion, consent and AI tests are planned.</w:t>
            </w:r>
          </w:p>
        </w:tc>
      </w:tr>
      <w:tr>
        <w:tc>
          <w:tcPr/>
          <w:p>
            <w:pPr>
              <w:pStyle w:val="Compact"/>
            </w:pPr>
            <w:r>
              <w:rPr>
                <w:b/>
                <w:bCs/>
              </w:rPr>
              <w:t xml:space="preserve">Inputs needed</w:t>
            </w:r>
          </w:p>
        </w:tc>
        <w:tc>
          <w:tcPr/>
          <w:p>
            <w:pPr>
              <w:pStyle w:val="Compact"/>
            </w:pPr>
            <w:r>
              <w:t xml:space="preserve">NFR document; privacy pack; data model; AI evaluation harness; accessibility plan; prototype UX; analytics taxonomy; operations playbook.</w:t>
            </w:r>
          </w:p>
        </w:tc>
      </w:tr>
      <w:tr>
        <w:tc>
          <w:tcPr/>
          <w:p>
            <w:pPr>
              <w:pStyle w:val="Compact"/>
            </w:pPr>
            <w:r>
              <w:rPr>
                <w:b/>
                <w:bCs/>
              </w:rPr>
              <w:t xml:space="preserve">Deliverables</w:t>
            </w:r>
          </w:p>
        </w:tc>
        <w:tc>
          <w:tcPr/>
          <w:p>
            <w:pPr>
              <w:pStyle w:val="Compact"/>
            </w:pPr>
            <w:r>
              <w:t xml:space="preserve">Testing strategy: test matrix (unit, integration, end‑to‑end, AI evaluation, security, privacy, accessibility); severity classification; exit criteria for each phase; release gates; plan for test data management; guidelines for handling deleted memory in tests.</w:t>
            </w:r>
          </w:p>
        </w:tc>
      </w:tr>
      <w:tr>
        <w:tc>
          <w:tcPr/>
          <w:p>
            <w:pPr>
              <w:pStyle w:val="Compact"/>
            </w:pPr>
            <w:r>
              <w:rPr>
                <w:b/>
                <w:bCs/>
              </w:rPr>
              <w:t xml:space="preserve">Acceptance criteria</w:t>
            </w:r>
          </w:p>
        </w:tc>
        <w:tc>
          <w:tcPr/>
          <w:p>
            <w:pPr>
              <w:pStyle w:val="Compact"/>
            </w:pPr>
            <w:r>
              <w:t xml:space="preserve">Strategy covers all relevant domains (functional, accessibility, security, privacy, crisis, AI)</w:t>
            </w:r>
            <w:hyperlink r:id="rId57">
              <w:r>
                <w:rPr>
                  <w:rStyle w:val="Hyperlink"/>
                </w:rPr>
                <w:t xml:space="preserve">[21]</w:t>
              </w:r>
            </w:hyperlink>
            <w:r>
              <w:t xml:space="preserve">; defines release gates; aligns with NFR metrics; approved by QA/engineering owner</w:t>
            </w:r>
            <w:hyperlink r:id="rId55">
              <w:r>
                <w:rPr>
                  <w:rStyle w:val="Hyperlink"/>
                </w:rPr>
                <w:t xml:space="preserve">[20]</w:t>
              </w:r>
            </w:hyperlink>
            <w:r>
              <w:t xml:space="preserve">.</w:t>
            </w:r>
          </w:p>
        </w:tc>
      </w:tr>
      <w:tr>
        <w:tc>
          <w:tcPr/>
          <w:p>
            <w:pPr>
              <w:pStyle w:val="Compact"/>
            </w:pPr>
            <w:r>
              <w:rPr>
                <w:b/>
                <w:bCs/>
              </w:rPr>
              <w:t xml:space="preserve">Dependencies</w:t>
            </w:r>
          </w:p>
        </w:tc>
        <w:tc>
          <w:tcPr/>
          <w:p>
            <w:pPr>
              <w:pStyle w:val="Compact"/>
            </w:pPr>
            <w:r>
              <w:t xml:space="preserve">Dependent on NFRs, AI evaluation plan, security and privacy documents, prototype UX, operations playbook; influences technical architecture and integration readiness.</w:t>
            </w:r>
          </w:p>
        </w:tc>
      </w:tr>
      <w:tr>
        <w:tc>
          <w:tcPr/>
          <w:p>
            <w:pPr>
              <w:pStyle w:val="Compact"/>
            </w:pPr>
            <w:r>
              <w:rPr>
                <w:b/>
                <w:bCs/>
              </w:rPr>
              <w:t xml:space="preserve">Risks</w:t>
            </w:r>
          </w:p>
        </w:tc>
        <w:tc>
          <w:tcPr/>
          <w:p>
            <w:pPr>
              <w:pStyle w:val="Compact"/>
            </w:pPr>
            <w:r>
              <w:t xml:space="preserve">Insufficient coverage; unrealistic gate criteria; ignoring privacy/test data concerns. Mitigate by aligning with NFR and readiness checklist.</w:t>
            </w:r>
          </w:p>
        </w:tc>
      </w:tr>
      <w:tr>
        <w:tc>
          <w:tcPr/>
          <w:p>
            <w:pPr>
              <w:pStyle w:val="Compact"/>
            </w:pPr>
            <w:r>
              <w:rPr>
                <w:b/>
                <w:bCs/>
              </w:rPr>
              <w:t xml:space="preserve">Output format</w:t>
            </w:r>
          </w:p>
        </w:tc>
        <w:tc>
          <w:tcPr/>
          <w:p>
            <w:pPr>
              <w:pStyle w:val="Compact"/>
            </w:pPr>
            <w:r>
              <w:t xml:space="preserve">Markdown document in</w:t>
            </w:r>
            <w:r>
              <w:t xml:space="preserve"> </w:t>
            </w:r>
            <w:r>
              <w:rPr>
                <w:rStyle w:val="VerbatimChar"/>
              </w:rPr>
              <w:t xml:space="preserve">docs/10_operations_testing_accessibility/</w:t>
            </w:r>
            <w:r>
              <w:t xml:space="preserve">.</w:t>
            </w:r>
          </w:p>
        </w:tc>
      </w:tr>
      <w:tr>
        <w:tc>
          <w:tcPr/>
          <w:p>
            <w:pPr>
              <w:pStyle w:val="Compact"/>
            </w:pPr>
            <w:r>
              <w:rPr>
                <w:b/>
                <w:bCs/>
              </w:rPr>
              <w:t xml:space="preserve">Priority</w:t>
            </w:r>
          </w:p>
        </w:tc>
        <w:tc>
          <w:tcPr/>
          <w:p>
            <w:pPr>
              <w:pStyle w:val="Compact"/>
            </w:pPr>
            <w:r>
              <w:t xml:space="preserve">P1</w:t>
            </w:r>
          </w:p>
        </w:tc>
      </w:tr>
    </w:tbl>
    <w:bookmarkEnd w:id="59"/>
    <w:bookmarkStart w:id="61" w:name="api-contract-agent-p1"/>
    <w:p>
      <w:pPr>
        <w:pStyle w:val="Heading3"/>
      </w:pPr>
      <w:r>
        <w:t xml:space="preserve">18. API Contract Agent (P1)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Draft conceptual API contracts for the future MVP (not implementation). Define endpoints, request/response structures and error behaviours consistent with the data model, privacy/consent rules and AI evaluation requirements.</w:t>
            </w:r>
          </w:p>
        </w:tc>
      </w:tr>
      <w:tr>
        <w:tc>
          <w:tcPr/>
          <w:p>
            <w:pPr>
              <w:pStyle w:val="Compact"/>
            </w:pPr>
            <w:r>
              <w:rPr>
                <w:b/>
                <w:bCs/>
              </w:rPr>
              <w:t xml:space="preserve">Inputs needed</w:t>
            </w:r>
          </w:p>
        </w:tc>
        <w:tc>
          <w:tcPr/>
          <w:p>
            <w:pPr>
              <w:pStyle w:val="Compact"/>
            </w:pPr>
            <w:r>
              <w:t xml:space="preserve">PRD; canonical data model; privacy pack; NFRs; prototype UX flows; testing strategy.</w:t>
            </w:r>
          </w:p>
        </w:tc>
      </w:tr>
      <w:tr>
        <w:tc>
          <w:tcPr/>
          <w:p>
            <w:pPr>
              <w:pStyle w:val="Compact"/>
            </w:pPr>
            <w:r>
              <w:rPr>
                <w:b/>
                <w:bCs/>
              </w:rPr>
              <w:t xml:space="preserve">Deliverables</w:t>
            </w:r>
          </w:p>
        </w:tc>
        <w:tc>
          <w:tcPr/>
          <w:p>
            <w:pPr>
              <w:pStyle w:val="Compact"/>
            </w:pPr>
            <w:r>
              <w:t xml:space="preserve">API specification draft: endpoint list; high‑level interface definitions; request/response fields; consent and deletion flags; error codes; rate limiting; authentication/authorisation requirements.</w:t>
            </w:r>
          </w:p>
        </w:tc>
      </w:tr>
      <w:tr>
        <w:tc>
          <w:tcPr/>
          <w:p>
            <w:pPr>
              <w:pStyle w:val="Compact"/>
            </w:pPr>
            <w:r>
              <w:rPr>
                <w:b/>
                <w:bCs/>
              </w:rPr>
              <w:t xml:space="preserve">Acceptance criteria</w:t>
            </w:r>
          </w:p>
        </w:tc>
        <w:tc>
          <w:tcPr/>
          <w:p>
            <w:pPr>
              <w:pStyle w:val="Compact"/>
            </w:pPr>
            <w:r>
              <w:t xml:space="preserve">Contracts reflect P0 documents and do not assume underlying tech; include consent and deletion fields; avoid automatic calendar write‑backs and supporter sharing; align with data model; approved by engineering owner</w:t>
            </w:r>
            <w:hyperlink r:id="rId60">
              <w:r>
                <w:rPr>
                  <w:rStyle w:val="Hyperlink"/>
                </w:rPr>
                <w:t xml:space="preserve">[22]</w:t>
              </w:r>
            </w:hyperlink>
            <w:r>
              <w:t xml:space="preserve">.</w:t>
            </w:r>
          </w:p>
        </w:tc>
      </w:tr>
      <w:tr>
        <w:tc>
          <w:tcPr/>
          <w:p>
            <w:pPr>
              <w:pStyle w:val="Compact"/>
            </w:pPr>
            <w:r>
              <w:rPr>
                <w:b/>
                <w:bCs/>
              </w:rPr>
              <w:t xml:space="preserve">Dependencies</w:t>
            </w:r>
          </w:p>
        </w:tc>
        <w:tc>
          <w:tcPr/>
          <w:p>
            <w:pPr>
              <w:pStyle w:val="Compact"/>
            </w:pPr>
            <w:r>
              <w:t xml:space="preserve">Dependent on data model, PRD, privacy pack, NFRs; influences technical architecture and integration.</w:t>
            </w:r>
          </w:p>
        </w:tc>
      </w:tr>
      <w:tr>
        <w:tc>
          <w:tcPr/>
          <w:p>
            <w:pPr>
              <w:pStyle w:val="Compact"/>
            </w:pPr>
            <w:r>
              <w:rPr>
                <w:b/>
                <w:bCs/>
              </w:rPr>
              <w:t xml:space="preserve">Risks</w:t>
            </w:r>
          </w:p>
        </w:tc>
        <w:tc>
          <w:tcPr/>
          <w:p>
            <w:pPr>
              <w:pStyle w:val="Compact"/>
            </w:pPr>
            <w:r>
              <w:t xml:space="preserve">Over‑designing before evidence; misalignment with data model; missing privacy details. Mitigate via iterative drafts and stakeholder feedback.</w:t>
            </w:r>
          </w:p>
        </w:tc>
      </w:tr>
      <w:tr>
        <w:tc>
          <w:tcPr/>
          <w:p>
            <w:pPr>
              <w:pStyle w:val="Compact"/>
            </w:pPr>
            <w:r>
              <w:rPr>
                <w:b/>
                <w:bCs/>
              </w:rPr>
              <w:t xml:space="preserve">Output format</w:t>
            </w:r>
          </w:p>
        </w:tc>
        <w:tc>
          <w:tcPr/>
          <w:p>
            <w:pPr>
              <w:pStyle w:val="Compact"/>
            </w:pPr>
            <w:r>
              <w:t xml:space="preserve">Markdown document in</w:t>
            </w:r>
            <w:r>
              <w:t xml:space="preserve"> </w:t>
            </w:r>
            <w:r>
              <w:rPr>
                <w:rStyle w:val="VerbatimChar"/>
              </w:rPr>
              <w:t xml:space="preserve">docs/06_architecture_and_api/</w:t>
            </w:r>
            <w:r>
              <w:t xml:space="preserve">.</w:t>
            </w:r>
          </w:p>
        </w:tc>
      </w:tr>
      <w:tr>
        <w:tc>
          <w:tcPr/>
          <w:p>
            <w:pPr>
              <w:pStyle w:val="Compact"/>
            </w:pPr>
            <w:r>
              <w:rPr>
                <w:b/>
                <w:bCs/>
              </w:rPr>
              <w:t xml:space="preserve">Priority</w:t>
            </w:r>
          </w:p>
        </w:tc>
        <w:tc>
          <w:tcPr/>
          <w:p>
            <w:pPr>
              <w:pStyle w:val="Compact"/>
            </w:pPr>
            <w:r>
              <w:t xml:space="preserve">P1</w:t>
            </w:r>
          </w:p>
        </w:tc>
      </w:tr>
    </w:tbl>
    <w:bookmarkEnd w:id="61"/>
    <w:bookmarkStart w:id="62" w:name="technical-architecture-agent-after-p0"/>
    <w:p>
      <w:pPr>
        <w:pStyle w:val="Heading3"/>
      </w:pPr>
      <w:r>
        <w:t xml:space="preserve">19. Technical Architecture Agent (After P0)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Produce a high‑level architecture blueprint based on accepted P0 documents. Identify system components, external services, data flow, integration points, and high‑level infrastructure. The blueprint should not commit to implementation but highlight missing inputs if P0 evidence is incomplete.</w:t>
            </w:r>
          </w:p>
        </w:tc>
      </w:tr>
      <w:tr>
        <w:tc>
          <w:tcPr/>
          <w:p>
            <w:pPr>
              <w:pStyle w:val="Compact"/>
            </w:pPr>
            <w:r>
              <w:rPr>
                <w:b/>
                <w:bCs/>
              </w:rPr>
              <w:t xml:space="preserve">Inputs needed</w:t>
            </w:r>
          </w:p>
        </w:tc>
        <w:tc>
          <w:tcPr/>
          <w:p>
            <w:pPr>
              <w:pStyle w:val="Compact"/>
            </w:pPr>
            <w:r>
              <w:t xml:space="preserve">PRD; data model; privacy pack; NFRs; AI evaluation plan; API draft; security threat model; crisis localisation; accessibility plan; testing strategy; operations playbook; analytics taxonomy.</w:t>
            </w:r>
          </w:p>
        </w:tc>
      </w:tr>
      <w:tr>
        <w:tc>
          <w:tcPr/>
          <w:p>
            <w:pPr>
              <w:pStyle w:val="Compact"/>
            </w:pPr>
            <w:r>
              <w:rPr>
                <w:b/>
                <w:bCs/>
              </w:rPr>
              <w:t xml:space="preserve">Deliverables</w:t>
            </w:r>
          </w:p>
        </w:tc>
        <w:tc>
          <w:tcPr/>
          <w:p>
            <w:pPr>
              <w:pStyle w:val="Compact"/>
            </w:pPr>
            <w:r>
              <w:t xml:space="preserve">Technical architecture blueprint: component diagrams; service boundaries; data flow diagrams; integration with external systems (e.g., calendar API, AI provider); high‑level technology choices (e.g., using an AI model through API vs. open‑source); identification of unknowns or missing P0 inputs.</w:t>
            </w:r>
          </w:p>
        </w:tc>
      </w:tr>
      <w:tr>
        <w:tc>
          <w:tcPr/>
          <w:p>
            <w:pPr>
              <w:pStyle w:val="Compact"/>
            </w:pPr>
            <w:r>
              <w:rPr>
                <w:b/>
                <w:bCs/>
              </w:rPr>
              <w:t xml:space="preserve">Acceptance criteria</w:t>
            </w:r>
          </w:p>
        </w:tc>
        <w:tc>
          <w:tcPr/>
          <w:p>
            <w:pPr>
              <w:pStyle w:val="Compact"/>
            </w:pPr>
            <w:r>
              <w:t xml:space="preserve">Blueprint aligns with all P0 documents; identifies dependencies and unresolved questions; avoids implementation details; is accepted by engineering leadership</w:t>
            </w:r>
            <w:hyperlink r:id="rId60">
              <w:r>
                <w:rPr>
                  <w:rStyle w:val="Hyperlink"/>
                </w:rPr>
                <w:t xml:space="preserve">[22]</w:t>
              </w:r>
            </w:hyperlink>
            <w:r>
              <w:t xml:space="preserve">.</w:t>
            </w:r>
          </w:p>
        </w:tc>
      </w:tr>
      <w:tr>
        <w:tc>
          <w:tcPr/>
          <w:p>
            <w:pPr>
              <w:pStyle w:val="Compact"/>
            </w:pPr>
            <w:r>
              <w:rPr>
                <w:b/>
                <w:bCs/>
              </w:rPr>
              <w:t xml:space="preserve">Dependencies</w:t>
            </w:r>
          </w:p>
        </w:tc>
        <w:tc>
          <w:tcPr/>
          <w:p>
            <w:pPr>
              <w:pStyle w:val="Compact"/>
            </w:pPr>
            <w:r>
              <w:t xml:space="preserve">Can only start once P0 documents are accepted; depends on API contract and NFRs; influences integration agent decisions.</w:t>
            </w:r>
          </w:p>
        </w:tc>
      </w:tr>
      <w:tr>
        <w:tc>
          <w:tcPr/>
          <w:p>
            <w:pPr>
              <w:pStyle w:val="Compact"/>
            </w:pPr>
            <w:r>
              <w:rPr>
                <w:b/>
                <w:bCs/>
              </w:rPr>
              <w:t xml:space="preserve">Risks</w:t>
            </w:r>
          </w:p>
        </w:tc>
        <w:tc>
          <w:tcPr/>
          <w:p>
            <w:pPr>
              <w:pStyle w:val="Compact"/>
            </w:pPr>
            <w:r>
              <w:t xml:space="preserve">Starting prematurely; building on unstable requirements; misestimating technical complexity. Mitigate by gating work after P0 completion and clearly noting open questions.</w:t>
            </w:r>
          </w:p>
        </w:tc>
      </w:tr>
      <w:tr>
        <w:tc>
          <w:tcPr/>
          <w:p>
            <w:pPr>
              <w:pStyle w:val="Compact"/>
            </w:pPr>
            <w:r>
              <w:rPr>
                <w:b/>
                <w:bCs/>
              </w:rPr>
              <w:t xml:space="preserve">Output format</w:t>
            </w:r>
          </w:p>
        </w:tc>
        <w:tc>
          <w:tcPr/>
          <w:p>
            <w:pPr>
              <w:pStyle w:val="Compact"/>
            </w:pPr>
            <w:r>
              <w:t xml:space="preserve">Markdown diagrams and narrative in</w:t>
            </w:r>
            <w:r>
              <w:t xml:space="preserve"> </w:t>
            </w:r>
            <w:r>
              <w:rPr>
                <w:rStyle w:val="VerbatimChar"/>
              </w:rPr>
              <w:t xml:space="preserve">docs/06_architecture_and_api/</w:t>
            </w:r>
            <w:r>
              <w:t xml:space="preserve">.</w:t>
            </w:r>
          </w:p>
        </w:tc>
      </w:tr>
      <w:tr>
        <w:tc>
          <w:tcPr/>
          <w:p>
            <w:pPr>
              <w:pStyle w:val="Compact"/>
            </w:pPr>
            <w:r>
              <w:rPr>
                <w:b/>
                <w:bCs/>
              </w:rPr>
              <w:t xml:space="preserve">Priority</w:t>
            </w:r>
          </w:p>
        </w:tc>
        <w:tc>
          <w:tcPr/>
          <w:p>
            <w:pPr>
              <w:pStyle w:val="Compact"/>
            </w:pPr>
            <w:r>
              <w:t xml:space="preserve">After P0</w:t>
            </w:r>
          </w:p>
        </w:tc>
      </w:tr>
    </w:tbl>
    <w:bookmarkEnd w:id="62"/>
    <w:bookmarkStart w:id="65" w:name="integration-agent-final-gate"/>
    <w:p>
      <w:pPr>
        <w:pStyle w:val="Heading3"/>
      </w:pPr>
      <w:r>
        <w:t xml:space="preserve">20. Integration Agent (Final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Objective</w:t>
            </w:r>
          </w:p>
        </w:tc>
        <w:tc>
          <w:tcPr/>
          <w:p>
            <w:pPr>
              <w:pStyle w:val="Compact"/>
            </w:pPr>
            <w:r>
              <w:t xml:space="preserve">Synthesize all outputs to determine if BecomingOS is ready to move from prototype to MVP build. Validate that P0 and P1 documents exist, are evidence‑backed and accepted by their owners; highlight remaining gaps or contradictions.</w:t>
            </w:r>
          </w:p>
        </w:tc>
      </w:tr>
      <w:tr>
        <w:tc>
          <w:tcPr/>
          <w:p>
            <w:pPr>
              <w:pStyle w:val="Compact"/>
            </w:pPr>
            <w:r>
              <w:rPr>
                <w:b/>
                <w:bCs/>
              </w:rPr>
              <w:t xml:space="preserve">Inputs needed</w:t>
            </w:r>
          </w:p>
        </w:tc>
        <w:tc>
          <w:tcPr/>
          <w:p>
            <w:pPr>
              <w:pStyle w:val="Compact"/>
            </w:pPr>
            <w:r>
              <w:t xml:space="preserve">All P0 and P1 documents; readiness checklist</w:t>
            </w:r>
            <w:hyperlink r:id="rId63">
              <w:r>
                <w:rPr>
                  <w:rStyle w:val="Hyperlink"/>
                </w:rPr>
                <w:t xml:space="preserve">[23]</w:t>
              </w:r>
            </w:hyperlink>
            <w:r>
              <w:t xml:space="preserve">; evidence logs; decisions from reviewers; market validation results.</w:t>
            </w:r>
          </w:p>
        </w:tc>
      </w:tr>
      <w:tr>
        <w:tc>
          <w:tcPr/>
          <w:p>
            <w:pPr>
              <w:pStyle w:val="Compact"/>
            </w:pPr>
            <w:r>
              <w:rPr>
                <w:b/>
                <w:bCs/>
              </w:rPr>
              <w:t xml:space="preserve">Deliverables</w:t>
            </w:r>
          </w:p>
        </w:tc>
        <w:tc>
          <w:tcPr/>
          <w:p>
            <w:pPr>
              <w:pStyle w:val="Compact"/>
            </w:pPr>
            <w:r>
              <w:t xml:space="preserve">Integration readiness pack: summary of each document with status; evidence citations; unresolved issues and severity; go/no‑go decision recommendation; plan for addressing remaining gaps; sign‑off sheet.</w:t>
            </w:r>
          </w:p>
        </w:tc>
      </w:tr>
      <w:tr>
        <w:tc>
          <w:tcPr/>
          <w:p>
            <w:pPr>
              <w:pStyle w:val="Compact"/>
            </w:pPr>
            <w:r>
              <w:rPr>
                <w:b/>
                <w:bCs/>
              </w:rPr>
              <w:t xml:space="preserve">Acceptance criteria</w:t>
            </w:r>
          </w:p>
        </w:tc>
        <w:tc>
          <w:tcPr/>
          <w:p>
            <w:pPr>
              <w:pStyle w:val="Compact"/>
            </w:pPr>
            <w:r>
              <w:t xml:space="preserve">Pack confirms that all checklist items are satisfied or notes outstanding tasks; includes evidence; provides explicit go/no‑go recommendation; is accepted by product/exec owner</w:t>
            </w:r>
            <w:hyperlink r:id="rId64">
              <w:r>
                <w:rPr>
                  <w:rStyle w:val="Hyperlink"/>
                </w:rPr>
                <w:t xml:space="preserve">[24]</w:t>
              </w:r>
            </w:hyperlink>
            <w:r>
              <w:t xml:space="preserve">.</w:t>
            </w:r>
          </w:p>
        </w:tc>
      </w:tr>
      <w:tr>
        <w:tc>
          <w:tcPr/>
          <w:p>
            <w:pPr>
              <w:pStyle w:val="Compact"/>
            </w:pPr>
            <w:r>
              <w:rPr>
                <w:b/>
                <w:bCs/>
              </w:rPr>
              <w:t xml:space="preserve">Dependencies</w:t>
            </w:r>
          </w:p>
        </w:tc>
        <w:tc>
          <w:tcPr/>
          <w:p>
            <w:pPr>
              <w:pStyle w:val="Compact"/>
            </w:pPr>
            <w:r>
              <w:t xml:space="preserve">Depends on completion and acceptance of all prior agents’ deliverables; influences decision to proceed with MVP build, closed beta or production.</w:t>
            </w:r>
          </w:p>
        </w:tc>
      </w:tr>
      <w:tr>
        <w:tc>
          <w:tcPr/>
          <w:p>
            <w:pPr>
              <w:pStyle w:val="Compact"/>
            </w:pPr>
            <w:r>
              <w:rPr>
                <w:b/>
                <w:bCs/>
              </w:rPr>
              <w:t xml:space="preserve">Risks</w:t>
            </w:r>
          </w:p>
        </w:tc>
        <w:tc>
          <w:tcPr/>
          <w:p>
            <w:pPr>
              <w:pStyle w:val="Compact"/>
            </w:pPr>
            <w:r>
              <w:t xml:space="preserve">Failing to spot contradictions; poor evidence quality; bias in decision. Mitigate with cross‑functional review and referencing readiness checklist.</w:t>
            </w:r>
          </w:p>
        </w:tc>
      </w:tr>
      <w:tr>
        <w:tc>
          <w:tcPr/>
          <w:p>
            <w:pPr>
              <w:pStyle w:val="Compact"/>
            </w:pPr>
            <w:r>
              <w:rPr>
                <w:b/>
                <w:bCs/>
              </w:rPr>
              <w:t xml:space="preserve">Output format</w:t>
            </w:r>
          </w:p>
        </w:tc>
        <w:tc>
          <w:tcPr/>
          <w:p>
            <w:pPr>
              <w:pStyle w:val="Compact"/>
            </w:pPr>
            <w:r>
              <w:t xml:space="preserve">Markdown document in</w:t>
            </w:r>
            <w:r>
              <w:t xml:space="preserve"> </w:t>
            </w:r>
            <w:r>
              <w:rPr>
                <w:rStyle w:val="VerbatimChar"/>
              </w:rPr>
              <w:t xml:space="preserve">docs/08_final_outputs/</w:t>
            </w:r>
            <w:r>
              <w:t xml:space="preserve">.</w:t>
            </w:r>
          </w:p>
        </w:tc>
      </w:tr>
      <w:tr>
        <w:tc>
          <w:tcPr/>
          <w:p>
            <w:pPr>
              <w:pStyle w:val="Compact"/>
            </w:pPr>
            <w:r>
              <w:rPr>
                <w:b/>
                <w:bCs/>
              </w:rPr>
              <w:t xml:space="preserve">Priority</w:t>
            </w:r>
          </w:p>
        </w:tc>
        <w:tc>
          <w:tcPr/>
          <w:p>
            <w:pPr>
              <w:pStyle w:val="Compact"/>
            </w:pPr>
            <w:r>
              <w:t xml:space="preserve">Final gate</w:t>
            </w:r>
          </w:p>
        </w:tc>
      </w:tr>
    </w:tbl>
    <w:bookmarkEnd w:id="65"/>
    <w:bookmarkEnd w:id="66"/>
    <w:bookmarkStart w:id="67" w:name="recommended-execution-order"/>
    <w:p>
      <w:pPr>
        <w:pStyle w:val="Heading2"/>
      </w:pPr>
      <w:r>
        <w:t xml:space="preserve">Recommended execution order</w:t>
      </w:r>
    </w:p>
    <w:p>
      <w:pPr>
        <w:pStyle w:val="FirstParagraph"/>
      </w:pPr>
      <w:r>
        <w:t xml:space="preserve">Follow the</w:t>
      </w:r>
      <w:r>
        <w:t xml:space="preserve"> </w:t>
      </w:r>
      <w:r>
        <w:rPr>
          <w:rStyle w:val="VerbatimChar"/>
        </w:rPr>
        <w:t xml:space="preserve">Agent Execution Order</w:t>
      </w:r>
      <w:r>
        <w:t xml:space="preserve"> </w:t>
      </w:r>
      <w:r>
        <w:t xml:space="preserve">defined in the repository</w:t>
      </w:r>
      <w:hyperlink r:id="rId27">
        <w:r>
          <w:rPr>
            <w:rStyle w:val="Hyperlink"/>
          </w:rPr>
          <w:t xml:space="preserve">[6]</w:t>
        </w:r>
      </w:hyperlink>
      <w:r>
        <w:t xml:space="preserve">. In summary:</w:t>
      </w:r>
    </w:p>
    <w:p>
      <w:pPr>
        <w:pStyle w:val="Compact"/>
        <w:numPr>
          <w:ilvl w:val="0"/>
          <w:numId w:val="1001"/>
        </w:numPr>
      </w:pPr>
      <w:r>
        <w:rPr>
          <w:b/>
          <w:bCs/>
        </w:rPr>
        <w:t xml:space="preserve">Master Orchestrator Agent</w:t>
      </w:r>
      <w:r>
        <w:t xml:space="preserve"> </w:t>
      </w:r>
      <w:r>
        <w:t xml:space="preserve">(P0 – sets the plan).</w:t>
      </w:r>
    </w:p>
    <w:p>
      <w:pPr>
        <w:pStyle w:val="Compact"/>
        <w:numPr>
          <w:ilvl w:val="0"/>
          <w:numId w:val="1001"/>
        </w:numPr>
      </w:pPr>
      <w:r>
        <w:rPr>
          <w:b/>
          <w:bCs/>
        </w:rPr>
        <w:t xml:space="preserve">User Research Agent</w:t>
      </w:r>
      <w:r>
        <w:t xml:space="preserve"> </w:t>
      </w:r>
      <w:r>
        <w:t xml:space="preserve">(P0).</w:t>
      </w:r>
    </w:p>
    <w:p>
      <w:pPr>
        <w:pStyle w:val="Compact"/>
        <w:numPr>
          <w:ilvl w:val="0"/>
          <w:numId w:val="1001"/>
        </w:numPr>
      </w:pPr>
      <w:r>
        <w:rPr>
          <w:b/>
          <w:bCs/>
        </w:rPr>
        <w:t xml:space="preserve">PRD Agent</w:t>
      </w:r>
      <w:r>
        <w:t xml:space="preserve"> </w:t>
      </w:r>
      <w:r>
        <w:t xml:space="preserve">(P0).</w:t>
      </w:r>
    </w:p>
    <w:p>
      <w:pPr>
        <w:pStyle w:val="Compact"/>
        <w:numPr>
          <w:ilvl w:val="0"/>
          <w:numId w:val="1001"/>
        </w:numPr>
      </w:pPr>
      <w:r>
        <w:rPr>
          <w:b/>
          <w:bCs/>
        </w:rPr>
        <w:t xml:space="preserve">Privacy and Consent Agent</w:t>
      </w:r>
      <w:r>
        <w:t xml:space="preserve"> </w:t>
      </w:r>
      <w:r>
        <w:t xml:space="preserve">(P0).</w:t>
      </w:r>
    </w:p>
    <w:p>
      <w:pPr>
        <w:pStyle w:val="Compact"/>
        <w:numPr>
          <w:ilvl w:val="0"/>
          <w:numId w:val="1001"/>
        </w:numPr>
      </w:pPr>
      <w:r>
        <w:rPr>
          <w:b/>
          <w:bCs/>
        </w:rPr>
        <w:t xml:space="preserve">Legal Claims Review Agent</w:t>
      </w:r>
      <w:r>
        <w:t xml:space="preserve"> </w:t>
      </w:r>
      <w:r>
        <w:t xml:space="preserve">(P0).</w:t>
      </w:r>
    </w:p>
    <w:p>
      <w:pPr>
        <w:pStyle w:val="Compact"/>
        <w:numPr>
          <w:ilvl w:val="0"/>
          <w:numId w:val="1001"/>
        </w:numPr>
      </w:pPr>
      <w:r>
        <w:rPr>
          <w:b/>
          <w:bCs/>
        </w:rPr>
        <w:t xml:space="preserve">Non‑Functional Requirements Agent</w:t>
      </w:r>
      <w:r>
        <w:t xml:space="preserve"> </w:t>
      </w:r>
      <w:r>
        <w:t xml:space="preserve">(P0).</w:t>
      </w:r>
    </w:p>
    <w:p>
      <w:pPr>
        <w:pStyle w:val="Compact"/>
        <w:numPr>
          <w:ilvl w:val="0"/>
          <w:numId w:val="1001"/>
        </w:numPr>
      </w:pPr>
      <w:r>
        <w:rPr>
          <w:b/>
          <w:bCs/>
        </w:rPr>
        <w:t xml:space="preserve">Canonical Data Model Agent</w:t>
      </w:r>
      <w:r>
        <w:t xml:space="preserve"> </w:t>
      </w:r>
      <w:r>
        <w:t xml:space="preserve">(P0).</w:t>
      </w:r>
    </w:p>
    <w:p>
      <w:pPr>
        <w:pStyle w:val="Compact"/>
        <w:numPr>
          <w:ilvl w:val="0"/>
          <w:numId w:val="1001"/>
        </w:numPr>
      </w:pPr>
      <w:r>
        <w:rPr>
          <w:b/>
          <w:bCs/>
        </w:rPr>
        <w:t xml:space="preserve">AI Evaluation Harness Agent</w:t>
      </w:r>
      <w:r>
        <w:t xml:space="preserve"> </w:t>
      </w:r>
      <w:r>
        <w:t xml:space="preserve">(P0).</w:t>
      </w:r>
    </w:p>
    <w:p>
      <w:pPr>
        <w:pStyle w:val="Compact"/>
        <w:numPr>
          <w:ilvl w:val="0"/>
          <w:numId w:val="1001"/>
        </w:numPr>
      </w:pPr>
      <w:r>
        <w:rPr>
          <w:b/>
          <w:bCs/>
        </w:rPr>
        <w:t xml:space="preserve">Security Threat Model Agent</w:t>
      </w:r>
      <w:r>
        <w:t xml:space="preserve"> </w:t>
      </w:r>
      <w:r>
        <w:t xml:space="preserve">(P0).</w:t>
      </w:r>
    </w:p>
    <w:p>
      <w:pPr>
        <w:pStyle w:val="Compact"/>
        <w:numPr>
          <w:ilvl w:val="0"/>
          <w:numId w:val="1001"/>
        </w:numPr>
      </w:pPr>
      <w:r>
        <w:rPr>
          <w:b/>
          <w:bCs/>
        </w:rPr>
        <w:t xml:space="preserve">Crisis Localisation Agent</w:t>
      </w:r>
      <w:r>
        <w:t xml:space="preserve"> </w:t>
      </w:r>
      <w:r>
        <w:t xml:space="preserve">(P0).</w:t>
      </w:r>
    </w:p>
    <w:p>
      <w:pPr>
        <w:pStyle w:val="Compact"/>
        <w:numPr>
          <w:ilvl w:val="0"/>
          <w:numId w:val="1001"/>
        </w:numPr>
      </w:pPr>
      <w:r>
        <w:rPr>
          <w:b/>
          <w:bCs/>
        </w:rPr>
        <w:t xml:space="preserve">Accessibility QA Agent</w:t>
      </w:r>
      <w:r>
        <w:t xml:space="preserve"> </w:t>
      </w:r>
      <w:r>
        <w:t xml:space="preserve">(P0).</w:t>
      </w:r>
    </w:p>
    <w:p>
      <w:pPr>
        <w:pStyle w:val="Compact"/>
        <w:numPr>
          <w:ilvl w:val="0"/>
          <w:numId w:val="1001"/>
        </w:numPr>
      </w:pPr>
      <w:r>
        <w:rPr>
          <w:b/>
          <w:bCs/>
        </w:rPr>
        <w:t xml:space="preserve">Prototype UX Agent</w:t>
      </w:r>
      <w:r>
        <w:t xml:space="preserve"> </w:t>
      </w:r>
      <w:r>
        <w:t xml:space="preserve">(P0).</w:t>
      </w:r>
    </w:p>
    <w:p>
      <w:pPr>
        <w:pStyle w:val="Compact"/>
        <w:numPr>
          <w:ilvl w:val="0"/>
          <w:numId w:val="1001"/>
        </w:numPr>
      </w:pPr>
      <w:r>
        <w:rPr>
          <w:b/>
          <w:bCs/>
        </w:rPr>
        <w:t xml:space="preserve">Curriculum and Question Bank Agent</w:t>
      </w:r>
      <w:r>
        <w:t xml:space="preserve"> </w:t>
      </w:r>
      <w:r>
        <w:t xml:space="preserve">(P0).</w:t>
      </w:r>
    </w:p>
    <w:p>
      <w:pPr>
        <w:pStyle w:val="Compact"/>
        <w:numPr>
          <w:ilvl w:val="0"/>
          <w:numId w:val="1001"/>
        </w:numPr>
      </w:pPr>
      <w:r>
        <w:rPr>
          <w:b/>
          <w:bCs/>
        </w:rPr>
        <w:t xml:space="preserve">Market Validation Agent</w:t>
      </w:r>
      <w:r>
        <w:t xml:space="preserve"> </w:t>
      </w:r>
      <w:r>
        <w:t xml:space="preserve">(P1).</w:t>
      </w:r>
    </w:p>
    <w:p>
      <w:pPr>
        <w:pStyle w:val="Compact"/>
        <w:numPr>
          <w:ilvl w:val="0"/>
          <w:numId w:val="1001"/>
        </w:numPr>
      </w:pPr>
      <w:r>
        <w:rPr>
          <w:b/>
          <w:bCs/>
        </w:rPr>
        <w:t xml:space="preserve">Analytics and Event Taxonomy Agent</w:t>
      </w:r>
      <w:r>
        <w:t xml:space="preserve"> </w:t>
      </w:r>
      <w:r>
        <w:t xml:space="preserve">(P1).</w:t>
      </w:r>
    </w:p>
    <w:p>
      <w:pPr>
        <w:pStyle w:val="Compact"/>
        <w:numPr>
          <w:ilvl w:val="0"/>
          <w:numId w:val="1001"/>
        </w:numPr>
      </w:pPr>
      <w:r>
        <w:rPr>
          <w:b/>
          <w:bCs/>
        </w:rPr>
        <w:t xml:space="preserve">Operations and Support Agent</w:t>
      </w:r>
      <w:r>
        <w:t xml:space="preserve"> </w:t>
      </w:r>
      <w:r>
        <w:t xml:space="preserve">(P1).</w:t>
      </w:r>
    </w:p>
    <w:p>
      <w:pPr>
        <w:pStyle w:val="Compact"/>
        <w:numPr>
          <w:ilvl w:val="0"/>
          <w:numId w:val="1001"/>
        </w:numPr>
      </w:pPr>
      <w:r>
        <w:rPr>
          <w:b/>
          <w:bCs/>
        </w:rPr>
        <w:t xml:space="preserve">Testing Strategy Agent</w:t>
      </w:r>
      <w:r>
        <w:t xml:space="preserve"> </w:t>
      </w:r>
      <w:r>
        <w:t xml:space="preserve">(P1).</w:t>
      </w:r>
    </w:p>
    <w:p>
      <w:pPr>
        <w:pStyle w:val="Compact"/>
        <w:numPr>
          <w:ilvl w:val="0"/>
          <w:numId w:val="1001"/>
        </w:numPr>
      </w:pPr>
      <w:r>
        <w:rPr>
          <w:b/>
          <w:bCs/>
        </w:rPr>
        <w:t xml:space="preserve">API Contract Agent</w:t>
      </w:r>
      <w:r>
        <w:t xml:space="preserve"> </w:t>
      </w:r>
      <w:r>
        <w:t xml:space="preserve">(P1).</w:t>
      </w:r>
    </w:p>
    <w:p>
      <w:pPr>
        <w:pStyle w:val="Compact"/>
        <w:numPr>
          <w:ilvl w:val="0"/>
          <w:numId w:val="1001"/>
        </w:numPr>
      </w:pPr>
      <w:r>
        <w:rPr>
          <w:b/>
          <w:bCs/>
        </w:rPr>
        <w:t xml:space="preserve">Technical Architecture Agent</w:t>
      </w:r>
      <w:r>
        <w:t xml:space="preserve"> </w:t>
      </w:r>
      <w:r>
        <w:t xml:space="preserve">(After P0).</w:t>
      </w:r>
    </w:p>
    <w:p>
      <w:pPr>
        <w:pStyle w:val="Compact"/>
        <w:numPr>
          <w:ilvl w:val="0"/>
          <w:numId w:val="1001"/>
        </w:numPr>
      </w:pPr>
      <w:r>
        <w:rPr>
          <w:b/>
          <w:bCs/>
        </w:rPr>
        <w:t xml:space="preserve">Integration Agent</w:t>
      </w:r>
      <w:r>
        <w:t xml:space="preserve"> </w:t>
      </w:r>
      <w:r>
        <w:t xml:space="preserve">(Final gate).</w:t>
      </w:r>
    </w:p>
    <w:p>
      <w:pPr>
        <w:pStyle w:val="FirstParagraph"/>
      </w:pPr>
      <w:r>
        <w:t xml:space="preserve">P1 agents (14–18) may run in parallel after P0 documents stabilise. The Technical Architecture Agent must wait until P0 closure but can proceed concurrently with later P1 tasks. The Integration Agent is the final synthesis and cannot begin until all prior deliverables are accepted.</w:t>
      </w:r>
    </w:p>
    <w:bookmarkEnd w:id="67"/>
    <w:bookmarkStart w:id="68" w:name="dependency-map"/>
    <w:p>
      <w:pPr>
        <w:pStyle w:val="Heading2"/>
      </w:pPr>
      <w:r>
        <w:t xml:space="preserve">Dependency map</w:t>
      </w:r>
    </w:p>
    <w:p>
      <w:pPr>
        <w:pStyle w:val="FirstParagraph"/>
      </w:pPr>
      <w:r>
        <w:t xml:space="preserve">The diagram below illustrates key dependencies (→ means “depends on”):</w:t>
      </w:r>
    </w:p>
    <w:p>
      <w:pPr>
        <w:pStyle w:val="SourceCode"/>
      </w:pPr>
      <w:r>
        <w:rPr>
          <w:rStyle w:val="VerbatimChar"/>
        </w:rPr>
        <w:t xml:space="preserve">Master Orchestrator</w:t>
      </w:r>
      <w:r>
        <w:br/>
      </w:r>
      <w:r>
        <w:rPr>
          <w:rStyle w:val="VerbatimChar"/>
        </w:rPr>
        <w:t xml:space="preserve">    ↓</w:t>
      </w:r>
      <w:r>
        <w:br/>
      </w:r>
      <w:r>
        <w:rPr>
          <w:rStyle w:val="VerbatimChar"/>
        </w:rPr>
        <w:t xml:space="preserve">User Research → PRD → Non‑Functional Requirements</w:t>
      </w:r>
      <w:r>
        <w:br/>
      </w:r>
      <w:r>
        <w:rPr>
          <w:rStyle w:val="VerbatimChar"/>
        </w:rPr>
        <w:t xml:space="preserve">    ↓        ↘        ↘</w:t>
      </w:r>
      <w:r>
        <w:br/>
      </w:r>
      <w:r>
        <w:rPr>
          <w:rStyle w:val="VerbatimChar"/>
        </w:rPr>
        <w:t xml:space="preserve">Privacy &amp; Consent → Canonical Data Model → AI Evaluation Harness</w:t>
      </w:r>
      <w:r>
        <w:br/>
      </w:r>
      <w:r>
        <w:rPr>
          <w:rStyle w:val="VerbatimChar"/>
        </w:rPr>
        <w:t xml:space="preserve">    ↘        ↘          ↘</w:t>
      </w:r>
      <w:r>
        <w:br/>
      </w:r>
      <w:r>
        <w:rPr>
          <w:rStyle w:val="VerbatimChar"/>
        </w:rPr>
        <w:t xml:space="preserve">Legal Claims → Prototype UX → Accessibility QA</w:t>
      </w:r>
      <w:r>
        <w:br/>
      </w:r>
      <w:r>
        <w:rPr>
          <w:rStyle w:val="VerbatimChar"/>
        </w:rPr>
        <w:t xml:space="preserve">    ↘        ↘          ↘</w:t>
      </w:r>
      <w:r>
        <w:br/>
      </w:r>
      <w:r>
        <w:rPr>
          <w:rStyle w:val="VerbatimChar"/>
        </w:rPr>
        <w:t xml:space="preserve">Security Threat Model → Crisis Localisation → Operations &amp; Support</w:t>
      </w:r>
      <w:r>
        <w:br/>
      </w:r>
      <w:r>
        <w:rPr>
          <w:rStyle w:val="VerbatimChar"/>
        </w:rPr>
        <w:t xml:space="preserve">          ↘            ↘        ↘</w:t>
      </w:r>
      <w:r>
        <w:br/>
      </w:r>
      <w:r>
        <w:rPr>
          <w:rStyle w:val="VerbatimChar"/>
        </w:rPr>
        <w:t xml:space="preserve">Testing Strategy ← Analytics &amp; Event Taxonomy</w:t>
      </w:r>
      <w:r>
        <w:br/>
      </w:r>
      <w:r>
        <w:rPr>
          <w:rStyle w:val="VerbatimChar"/>
        </w:rPr>
        <w:t xml:space="preserve">          ↘            ↘        ↘</w:t>
      </w:r>
      <w:r>
        <w:br/>
      </w:r>
      <w:r>
        <w:rPr>
          <w:rStyle w:val="VerbatimChar"/>
        </w:rPr>
        <w:t xml:space="preserve">API Contract → Technical Architecture</w:t>
      </w:r>
      <w:r>
        <w:br/>
      </w:r>
      <w:r>
        <w:br/>
      </w:r>
      <w:r>
        <w:rPr>
          <w:rStyle w:val="VerbatimChar"/>
        </w:rPr>
        <w:t xml:space="preserve">Market Validation (parallel P1) ← PRD, User Research</w:t>
      </w:r>
      <w:r>
        <w:br/>
      </w:r>
      <w:r>
        <w:rPr>
          <w:rStyle w:val="VerbatimChar"/>
        </w:rPr>
        <w:t xml:space="preserve">Integration Agent ← All</w:t>
      </w:r>
    </w:p>
    <w:p>
      <w:pPr>
        <w:pStyle w:val="FirstParagraph"/>
      </w:pPr>
      <w:r>
        <w:rPr>
          <w:b/>
          <w:bCs/>
        </w:rPr>
        <w:t xml:space="preserve">Notes</w:t>
      </w:r>
      <w:r>
        <w:t xml:space="preserve">:</w:t>
      </w:r>
    </w:p>
    <w:p>
      <w:pPr>
        <w:pStyle w:val="Compact"/>
        <w:numPr>
          <w:ilvl w:val="0"/>
          <w:numId w:val="1002"/>
        </w:numPr>
      </w:pPr>
      <w:r>
        <w:t xml:space="preserve">Many agents need the PRD and privacy pack as foundational inputs; these should be completed early.</w:t>
      </w:r>
    </w:p>
    <w:p>
      <w:pPr>
        <w:pStyle w:val="Compact"/>
        <w:numPr>
          <w:ilvl w:val="0"/>
          <w:numId w:val="1002"/>
        </w:numPr>
      </w:pPr>
      <w:r>
        <w:t xml:space="preserve">The data model, consent rules and legal review feed into AI evaluation, security and crisis policies.</w:t>
      </w:r>
    </w:p>
    <w:p>
      <w:pPr>
        <w:pStyle w:val="Compact"/>
        <w:numPr>
          <w:ilvl w:val="0"/>
          <w:numId w:val="1002"/>
        </w:numPr>
      </w:pPr>
      <w:r>
        <w:t xml:space="preserve">Prototype UX requires the curriculum, privacy, crisis and accessibility insights.</w:t>
      </w:r>
    </w:p>
    <w:p>
      <w:pPr>
        <w:pStyle w:val="Compact"/>
        <w:numPr>
          <w:ilvl w:val="0"/>
          <w:numId w:val="1002"/>
        </w:numPr>
      </w:pPr>
      <w:r>
        <w:t xml:space="preserve">Analytics taxonomy, operations playbook and testing strategy rely on data model, privacy pack and NFRs.</w:t>
      </w:r>
    </w:p>
    <w:p>
      <w:pPr>
        <w:pStyle w:val="Compact"/>
        <w:numPr>
          <w:ilvl w:val="0"/>
          <w:numId w:val="1002"/>
        </w:numPr>
      </w:pPr>
      <w:r>
        <w:t xml:space="preserve">The API contract and Technical Architecture cannot finalise until the P0 evidence exists.</w:t>
      </w:r>
    </w:p>
    <w:bookmarkEnd w:id="68"/>
    <w:bookmarkStart w:id="69" w:name="X4dc7089132b8dbd4f2a1db4d26178fdb7ee2f03"/>
    <w:p>
      <w:pPr>
        <w:pStyle w:val="Heading2"/>
      </w:pPr>
      <w:r>
        <w:t xml:space="preserve">Go/no‑go checklist for moving from prototype to MVP build</w:t>
      </w:r>
    </w:p>
    <w:p>
      <w:pPr>
        <w:pStyle w:val="FirstParagraph"/>
      </w:pPr>
      <w:r>
        <w:t xml:space="preserve">Use the following criteria, derived from the</w:t>
      </w:r>
      <w:r>
        <w:t xml:space="preserve"> </w:t>
      </w:r>
      <w:r>
        <w:rPr>
          <w:rStyle w:val="VerbatimChar"/>
        </w:rPr>
        <w:t xml:space="preserve">Agent Readiness Checklist</w:t>
      </w:r>
      <w:hyperlink r:id="rId26">
        <w:r>
          <w:rPr>
            <w:rStyle w:val="Hyperlink"/>
          </w:rPr>
          <w:t xml:space="preserve">[5]</w:t>
        </w:r>
      </w:hyperlink>
      <w:r>
        <w:t xml:space="preserve"> </w:t>
      </w:r>
      <w:r>
        <w:t xml:space="preserve">and NFR guidelines, to decide whether to proceed from prototype to MVP build:</w:t>
      </w:r>
    </w:p>
    <w:p>
      <w:pPr>
        <w:pStyle w:val="Compact"/>
        <w:numPr>
          <w:ilvl w:val="0"/>
          <w:numId w:val="1003"/>
        </w:numPr>
      </w:pPr>
      <w:r>
        <w:rPr>
          <w:b/>
          <w:bCs/>
        </w:rPr>
        <w:t xml:space="preserve">All P0 deliverables exist and are accepted by their review owners</w:t>
      </w:r>
      <w:r>
        <w:t xml:space="preserve"> </w:t>
      </w:r>
      <w:r>
        <w:t xml:space="preserve">– includes Master orchestration plan, user research plan, PRD v0.1, NFRs, canonical data model, privacy &amp; consent pack, legal claims review, AI evaluation harness plan, security threat model, crisis localisation policy, accessibility QA plan, prototype UX specification and curriculum for Modules 0–2.</w:t>
      </w:r>
    </w:p>
    <w:p>
      <w:pPr>
        <w:pStyle w:val="Compact"/>
        <w:numPr>
          <w:ilvl w:val="0"/>
          <w:numId w:val="1003"/>
        </w:numPr>
      </w:pPr>
      <w:r>
        <w:rPr>
          <w:b/>
          <w:bCs/>
        </w:rPr>
        <w:t xml:space="preserve">Evidence‑backed user research</w:t>
      </w:r>
      <w:r>
        <w:t xml:space="preserve"> </w:t>
      </w:r>
      <w:r>
        <w:t xml:space="preserve">– demonstrates clear target segment, problem/solution fit and ethical recruitment; includes de‑identified insights and validated personas.</w:t>
      </w:r>
    </w:p>
    <w:p>
      <w:pPr>
        <w:pStyle w:val="Compact"/>
        <w:numPr>
          <w:ilvl w:val="0"/>
          <w:numId w:val="1003"/>
        </w:numPr>
      </w:pPr>
      <w:r>
        <w:rPr>
          <w:b/>
          <w:bCs/>
        </w:rPr>
        <w:t xml:space="preserve">Boundary compliance</w:t>
      </w:r>
      <w:r>
        <w:t xml:space="preserve"> </w:t>
      </w:r>
      <w:r>
        <w:t xml:space="preserve">– PRD and content explicitly exclude therapy, diagnosis, financial/legal advice, emergency support and high‑impact decision making</w:t>
      </w:r>
      <w:hyperlink r:id="rId21">
        <w:r>
          <w:rPr>
            <w:rStyle w:val="Hyperlink"/>
          </w:rPr>
          <w:t xml:space="preserve">[1]</w:t>
        </w:r>
      </w:hyperlink>
      <w:r>
        <w:t xml:space="preserve">.</w:t>
      </w:r>
    </w:p>
    <w:p>
      <w:pPr>
        <w:pStyle w:val="Compact"/>
        <w:numPr>
          <w:ilvl w:val="0"/>
          <w:numId w:val="1003"/>
        </w:numPr>
      </w:pPr>
      <w:r>
        <w:rPr>
          <w:b/>
          <w:bCs/>
        </w:rPr>
        <w:t xml:space="preserve">Consent and privacy readiness</w:t>
      </w:r>
      <w:r>
        <w:t xml:space="preserve"> </w:t>
      </w:r>
      <w:r>
        <w:t xml:space="preserve">– data inventory, consent flows, retention and deletion policies are documented; deleted memories do not influence AI or recommendations; crisis text is not stored; export and revocation processes are defined.</w:t>
      </w:r>
    </w:p>
    <w:p>
      <w:pPr>
        <w:pStyle w:val="Compact"/>
        <w:numPr>
          <w:ilvl w:val="0"/>
          <w:numId w:val="1003"/>
        </w:numPr>
      </w:pPr>
      <w:r>
        <w:rPr>
          <w:b/>
          <w:bCs/>
        </w:rPr>
        <w:t xml:space="preserve">Legal and safety compliance</w:t>
      </w:r>
      <w:r>
        <w:t xml:space="preserve"> </w:t>
      </w:r>
      <w:r>
        <w:t xml:space="preserve">– legal claims review and crisis localisation policy are approved; ensure product copy is accurate and resources per locale are documented.</w:t>
      </w:r>
    </w:p>
    <w:p>
      <w:pPr>
        <w:pStyle w:val="Compact"/>
        <w:numPr>
          <w:ilvl w:val="0"/>
          <w:numId w:val="1003"/>
        </w:numPr>
      </w:pPr>
      <w:r>
        <w:rPr>
          <w:b/>
          <w:bCs/>
        </w:rPr>
        <w:t xml:space="preserve">AI evaluation plan</w:t>
      </w:r>
      <w:r>
        <w:t xml:space="preserve"> </w:t>
      </w:r>
      <w:r>
        <w:t xml:space="preserve">– defines safety tests, refusal thresholds and human review processes; covers golden, red‑team, privacy and deleted‑memory scenarios; acceptance thresholds meet or exceed NFR metrics.</w:t>
      </w:r>
    </w:p>
    <w:p>
      <w:pPr>
        <w:pStyle w:val="Compact"/>
        <w:numPr>
          <w:ilvl w:val="0"/>
          <w:numId w:val="1003"/>
        </w:numPr>
      </w:pPr>
      <w:r>
        <w:rPr>
          <w:b/>
          <w:bCs/>
        </w:rPr>
        <w:t xml:space="preserve">Security threat model</w:t>
      </w:r>
      <w:r>
        <w:t xml:space="preserve"> </w:t>
      </w:r>
      <w:r>
        <w:t xml:space="preserve">– identifies assets and mitigations, including prompt injection and AI provider risks; responsibilities are assigned.</w:t>
      </w:r>
    </w:p>
    <w:p>
      <w:pPr>
        <w:pStyle w:val="Compact"/>
        <w:numPr>
          <w:ilvl w:val="0"/>
          <w:numId w:val="1003"/>
        </w:numPr>
      </w:pPr>
      <w:r>
        <w:rPr>
          <w:b/>
          <w:bCs/>
        </w:rPr>
        <w:t xml:space="preserve">NFRs</w:t>
      </w:r>
      <w:r>
        <w:t xml:space="preserve"> </w:t>
      </w:r>
      <w:r>
        <w:t xml:space="preserve">– measurable criteria for performance, availability, privacy, safety, accessibility and consent response times are set.</w:t>
      </w:r>
    </w:p>
    <w:p>
      <w:pPr>
        <w:pStyle w:val="Compact"/>
        <w:numPr>
          <w:ilvl w:val="0"/>
          <w:numId w:val="1003"/>
        </w:numPr>
      </w:pPr>
      <w:r>
        <w:rPr>
          <w:b/>
          <w:bCs/>
        </w:rPr>
        <w:t xml:space="preserve">Prototype validation</w:t>
      </w:r>
      <w:r>
        <w:t xml:space="preserve"> </w:t>
      </w:r>
      <w:r>
        <w:t xml:space="preserve">– low‑fidelity prototype (Modules 0–1) is completed; users have tested flows and provided feedback; accessibility and crisis fallback copy are validated.</w:t>
      </w:r>
    </w:p>
    <w:p>
      <w:pPr>
        <w:pStyle w:val="Compact"/>
        <w:numPr>
          <w:ilvl w:val="0"/>
          <w:numId w:val="1003"/>
        </w:numPr>
      </w:pPr>
      <w:r>
        <w:rPr>
          <w:b/>
          <w:bCs/>
        </w:rPr>
        <w:t xml:space="preserve">Curriculum</w:t>
      </w:r>
      <w:r>
        <w:t xml:space="preserve"> </w:t>
      </w:r>
      <w:r>
        <w:t xml:space="preserve">– Modules 0–2 content is approved, safe and ready for prototype; includes reflection questions and AI prompt templates.</w:t>
      </w:r>
    </w:p>
    <w:p>
      <w:pPr>
        <w:pStyle w:val="Compact"/>
        <w:numPr>
          <w:ilvl w:val="0"/>
          <w:numId w:val="1003"/>
        </w:numPr>
      </w:pPr>
      <w:r>
        <w:rPr>
          <w:b/>
          <w:bCs/>
        </w:rPr>
        <w:t xml:space="preserve">P1 documents</w:t>
      </w:r>
      <w:r>
        <w:t xml:space="preserve"> </w:t>
      </w:r>
      <w:r>
        <w:t xml:space="preserve">– At least initial drafts of market validation, analytics taxonomy, operations playbook, testing strategy and API contract exist and align with P0 documents.</w:t>
      </w:r>
    </w:p>
    <w:p>
      <w:pPr>
        <w:pStyle w:val="Compact"/>
        <w:numPr>
          <w:ilvl w:val="0"/>
          <w:numId w:val="1003"/>
        </w:numPr>
      </w:pPr>
      <w:r>
        <w:rPr>
          <w:b/>
          <w:bCs/>
        </w:rPr>
        <w:t xml:space="preserve">Integration assessment</w:t>
      </w:r>
      <w:r>
        <w:t xml:space="preserve"> </w:t>
      </w:r>
      <w:r>
        <w:t xml:space="preserve">– The Integration Agent verifies the above criteria, records evidence, highlights unresolved issues and recommends go/no‑go.</w:t>
      </w:r>
    </w:p>
    <w:p>
      <w:pPr>
        <w:pStyle w:val="FirstParagraph"/>
      </w:pPr>
      <w:r>
        <w:t xml:space="preserve">Only when all of the above are satisfied should the team proceed to the Technical Architecture Agent and the MVP build. Otherwise, issues must be resolved or the product pivoted.</w:t>
      </w:r>
    </w:p>
    <w:bookmarkEnd w:id="69"/>
    <w:bookmarkStart w:id="70" w:name="X8890a910cf9f75314f3f7de0b2feed38854d7fc"/>
    <w:p>
      <w:pPr>
        <w:pStyle w:val="Heading2"/>
      </w:pPr>
      <w:r>
        <w:t xml:space="preserve">Documents required before engineering begins (pre‑MVP)</w:t>
      </w:r>
    </w:p>
    <w:p>
      <w:pPr>
        <w:pStyle w:val="FirstParagraph"/>
      </w:pPr>
      <w:r>
        <w:t xml:space="preserve">The following documents must exist, be versioned and accepted by their review owners prior to engineering work:</w:t>
      </w:r>
    </w:p>
    <w:p>
      <w:pPr>
        <w:pStyle w:val="Compact"/>
        <w:numPr>
          <w:ilvl w:val="0"/>
          <w:numId w:val="1004"/>
        </w:numPr>
      </w:pPr>
      <w:r>
        <w:rPr>
          <w:b/>
          <w:bCs/>
        </w:rPr>
        <w:t xml:space="preserve">Master orchestration plan</w:t>
      </w:r>
      <w:r>
        <w:t xml:space="preserve"> </w:t>
      </w:r>
      <w:r>
        <w:t xml:space="preserve">(this document) – defines execution order and dependencies.</w:t>
      </w:r>
    </w:p>
    <w:p>
      <w:pPr>
        <w:pStyle w:val="Compact"/>
        <w:numPr>
          <w:ilvl w:val="0"/>
          <w:numId w:val="1004"/>
        </w:numPr>
      </w:pPr>
      <w:r>
        <w:rPr>
          <w:b/>
          <w:bCs/>
        </w:rPr>
        <w:t xml:space="preserve">User research plan and synthesis report</w:t>
      </w:r>
      <w:r>
        <w:t xml:space="preserve"> </w:t>
      </w:r>
      <w:r>
        <w:t xml:space="preserve">– evidence of target segments and user problems.</w:t>
      </w:r>
    </w:p>
    <w:p>
      <w:pPr>
        <w:pStyle w:val="Compact"/>
        <w:numPr>
          <w:ilvl w:val="0"/>
          <w:numId w:val="1004"/>
        </w:numPr>
      </w:pPr>
      <w:r>
        <w:rPr>
          <w:b/>
          <w:bCs/>
        </w:rPr>
        <w:t xml:space="preserve">PRD v0.1</w:t>
      </w:r>
      <w:r>
        <w:t xml:space="preserve"> </w:t>
      </w:r>
      <w:r>
        <w:t xml:space="preserve">– requirements, boundaries, success metrics and release gates.</w:t>
      </w:r>
    </w:p>
    <w:p>
      <w:pPr>
        <w:pStyle w:val="Compact"/>
        <w:numPr>
          <w:ilvl w:val="0"/>
          <w:numId w:val="1004"/>
        </w:numPr>
      </w:pPr>
      <w:r>
        <w:rPr>
          <w:b/>
          <w:bCs/>
        </w:rPr>
        <w:t xml:space="preserve">Non‑Functional Requirements document</w:t>
      </w:r>
      <w:r>
        <w:t xml:space="preserve"> </w:t>
      </w:r>
      <w:r>
        <w:t xml:space="preserve">– measurable system qualities.</w:t>
      </w:r>
    </w:p>
    <w:p>
      <w:pPr>
        <w:pStyle w:val="Compact"/>
        <w:numPr>
          <w:ilvl w:val="0"/>
          <w:numId w:val="1004"/>
        </w:numPr>
      </w:pPr>
      <w:r>
        <w:rPr>
          <w:b/>
          <w:bCs/>
        </w:rPr>
        <w:t xml:space="preserve">Canonical data model</w:t>
      </w:r>
      <w:r>
        <w:t xml:space="preserve"> </w:t>
      </w:r>
      <w:r>
        <w:t xml:space="preserve">– entities, relationships, consent and deletion rules.</w:t>
      </w:r>
    </w:p>
    <w:p>
      <w:pPr>
        <w:pStyle w:val="Compact"/>
        <w:numPr>
          <w:ilvl w:val="0"/>
          <w:numId w:val="1004"/>
        </w:numPr>
      </w:pPr>
      <w:r>
        <w:rPr>
          <w:b/>
          <w:bCs/>
        </w:rPr>
        <w:t xml:space="preserve">Privacy and consent pack</w:t>
      </w:r>
      <w:r>
        <w:t xml:space="preserve"> </w:t>
      </w:r>
      <w:r>
        <w:t xml:space="preserve">– data inventory, consent flows, retention and deletion policies.</w:t>
      </w:r>
    </w:p>
    <w:p>
      <w:pPr>
        <w:pStyle w:val="Compact"/>
        <w:numPr>
          <w:ilvl w:val="0"/>
          <w:numId w:val="1004"/>
        </w:numPr>
      </w:pPr>
      <w:r>
        <w:rPr>
          <w:b/>
          <w:bCs/>
        </w:rPr>
        <w:t xml:space="preserve">Legal claims review pack</w:t>
      </w:r>
      <w:r>
        <w:t xml:space="preserve"> </w:t>
      </w:r>
      <w:r>
        <w:t xml:space="preserve">– approved copy and claim guidelines.</w:t>
      </w:r>
    </w:p>
    <w:p>
      <w:pPr>
        <w:pStyle w:val="Compact"/>
        <w:numPr>
          <w:ilvl w:val="0"/>
          <w:numId w:val="1004"/>
        </w:numPr>
      </w:pPr>
      <w:r>
        <w:rPr>
          <w:b/>
          <w:bCs/>
        </w:rPr>
        <w:t xml:space="preserve">AI evaluation harness plan</w:t>
      </w:r>
      <w:r>
        <w:t xml:space="preserve"> </w:t>
      </w:r>
      <w:r>
        <w:t xml:space="preserve">– test categories, metrics and thresholds.</w:t>
      </w:r>
    </w:p>
    <w:p>
      <w:pPr>
        <w:pStyle w:val="Compact"/>
        <w:numPr>
          <w:ilvl w:val="0"/>
          <w:numId w:val="1004"/>
        </w:numPr>
      </w:pPr>
      <w:r>
        <w:rPr>
          <w:b/>
          <w:bCs/>
        </w:rPr>
        <w:t xml:space="preserve">Security threat model</w:t>
      </w:r>
      <w:r>
        <w:t xml:space="preserve"> </w:t>
      </w:r>
      <w:r>
        <w:t xml:space="preserve">– asset inventory and threat mitigations.</w:t>
      </w:r>
    </w:p>
    <w:p>
      <w:pPr>
        <w:pStyle w:val="Compact"/>
        <w:numPr>
          <w:ilvl w:val="0"/>
          <w:numId w:val="1004"/>
        </w:numPr>
      </w:pPr>
      <w:r>
        <w:rPr>
          <w:b/>
          <w:bCs/>
        </w:rPr>
        <w:t xml:space="preserve">Crisis localisation policy</w:t>
      </w:r>
      <w:r>
        <w:t xml:space="preserve"> </w:t>
      </w:r>
      <w:r>
        <w:t xml:space="preserve">– locales, resources and fallback copy.</w:t>
      </w:r>
    </w:p>
    <w:p>
      <w:pPr>
        <w:pStyle w:val="Compact"/>
        <w:numPr>
          <w:ilvl w:val="0"/>
          <w:numId w:val="1004"/>
        </w:numPr>
      </w:pPr>
      <w:r>
        <w:rPr>
          <w:b/>
          <w:bCs/>
        </w:rPr>
        <w:t xml:space="preserve">Accessibility QA plan</w:t>
      </w:r>
      <w:r>
        <w:t xml:space="preserve"> </w:t>
      </w:r>
      <w:r>
        <w:t xml:space="preserve">– WCAG and cognitive accessibility test scripts.</w:t>
      </w:r>
    </w:p>
    <w:p>
      <w:pPr>
        <w:pStyle w:val="Compact"/>
        <w:numPr>
          <w:ilvl w:val="0"/>
          <w:numId w:val="1004"/>
        </w:numPr>
      </w:pPr>
      <w:r>
        <w:rPr>
          <w:b/>
          <w:bCs/>
        </w:rPr>
        <w:t xml:space="preserve">Prototype UX specification</w:t>
      </w:r>
      <w:r>
        <w:t xml:space="preserve"> </w:t>
      </w:r>
      <w:r>
        <w:t xml:space="preserve">– screen flows, AI draft confirmation/edit/reject flows.</w:t>
      </w:r>
    </w:p>
    <w:p>
      <w:pPr>
        <w:pStyle w:val="Compact"/>
        <w:numPr>
          <w:ilvl w:val="0"/>
          <w:numId w:val="1004"/>
        </w:numPr>
      </w:pPr>
      <w:r>
        <w:rPr>
          <w:b/>
          <w:bCs/>
        </w:rPr>
        <w:t xml:space="preserve">Curriculum and question bank</w:t>
      </w:r>
      <w:r>
        <w:t xml:space="preserve"> </w:t>
      </w:r>
      <w:r>
        <w:t xml:space="preserve">– content for Modules 0–2 and safety notes.</w:t>
      </w:r>
    </w:p>
    <w:p>
      <w:pPr>
        <w:pStyle w:val="Compact"/>
        <w:numPr>
          <w:ilvl w:val="0"/>
          <w:numId w:val="1004"/>
        </w:numPr>
      </w:pPr>
      <w:r>
        <w:rPr>
          <w:b/>
          <w:bCs/>
        </w:rPr>
        <w:t xml:space="preserve">Market validation report</w:t>
      </w:r>
      <w:r>
        <w:t xml:space="preserve"> </w:t>
      </w:r>
      <w:r>
        <w:t xml:space="preserve">– demand and pricing experiment outcomes (at least initial draft).</w:t>
      </w:r>
    </w:p>
    <w:p>
      <w:pPr>
        <w:pStyle w:val="Compact"/>
        <w:numPr>
          <w:ilvl w:val="0"/>
          <w:numId w:val="1004"/>
        </w:numPr>
      </w:pPr>
      <w:r>
        <w:rPr>
          <w:b/>
          <w:bCs/>
        </w:rPr>
        <w:t xml:space="preserve">Analytics and event taxonomy</w:t>
      </w:r>
      <w:r>
        <w:t xml:space="preserve"> </w:t>
      </w:r>
      <w:r>
        <w:t xml:space="preserve">– event list and privacy‑preserving metrics.</w:t>
      </w:r>
    </w:p>
    <w:p>
      <w:pPr>
        <w:pStyle w:val="Compact"/>
        <w:numPr>
          <w:ilvl w:val="0"/>
          <w:numId w:val="1004"/>
        </w:numPr>
      </w:pPr>
      <w:r>
        <w:rPr>
          <w:b/>
          <w:bCs/>
        </w:rPr>
        <w:t xml:space="preserve">Operations and support playbook</w:t>
      </w:r>
      <w:r>
        <w:t xml:space="preserve"> </w:t>
      </w:r>
      <w:r>
        <w:t xml:space="preserve">– support processes and incident response.</w:t>
      </w:r>
    </w:p>
    <w:p>
      <w:pPr>
        <w:pStyle w:val="Compact"/>
        <w:numPr>
          <w:ilvl w:val="0"/>
          <w:numId w:val="1004"/>
        </w:numPr>
      </w:pPr>
      <w:r>
        <w:rPr>
          <w:b/>
          <w:bCs/>
        </w:rPr>
        <w:t xml:space="preserve">Testing strategy</w:t>
      </w:r>
      <w:r>
        <w:t xml:space="preserve"> </w:t>
      </w:r>
      <w:r>
        <w:t xml:space="preserve">– coverage matrix and release gates.</w:t>
      </w:r>
    </w:p>
    <w:p>
      <w:pPr>
        <w:pStyle w:val="Compact"/>
        <w:numPr>
          <w:ilvl w:val="0"/>
          <w:numId w:val="1004"/>
        </w:numPr>
      </w:pPr>
      <w:r>
        <w:rPr>
          <w:b/>
          <w:bCs/>
        </w:rPr>
        <w:t xml:space="preserve">API contract draft</w:t>
      </w:r>
      <w:r>
        <w:t xml:space="preserve"> </w:t>
      </w:r>
      <w:r>
        <w:t xml:space="preserve">– conceptual endpoints and data fields.</w:t>
      </w:r>
    </w:p>
    <w:p>
      <w:pPr>
        <w:pStyle w:val="Compact"/>
        <w:numPr>
          <w:ilvl w:val="0"/>
          <w:numId w:val="1004"/>
        </w:numPr>
      </w:pPr>
      <w:r>
        <w:rPr>
          <w:b/>
          <w:bCs/>
        </w:rPr>
        <w:t xml:space="preserve">Technical architecture blueprint</w:t>
      </w:r>
      <w:r>
        <w:t xml:space="preserve"> </w:t>
      </w:r>
      <w:r>
        <w:t xml:space="preserve">– only produced after P0 documents; summarises system components and open questions.</w:t>
      </w:r>
    </w:p>
    <w:p>
      <w:pPr>
        <w:pStyle w:val="Compact"/>
        <w:numPr>
          <w:ilvl w:val="0"/>
          <w:numId w:val="1004"/>
        </w:numPr>
      </w:pPr>
      <w:r>
        <w:rPr>
          <w:b/>
          <w:bCs/>
        </w:rPr>
        <w:t xml:space="preserve">Integration readiness pack</w:t>
      </w:r>
      <w:r>
        <w:t xml:space="preserve"> </w:t>
      </w:r>
      <w:r>
        <w:t xml:space="preserve">– final synthesis and go/no‑go decision.</w:t>
      </w:r>
    </w:p>
    <w:bookmarkEnd w:id="70"/>
    <w:bookmarkStart w:id="71" w:name="conclusion"/>
    <w:p>
      <w:pPr>
        <w:pStyle w:val="Heading2"/>
      </w:pPr>
      <w:r>
        <w:t xml:space="preserve">Conclusion</w:t>
      </w:r>
    </w:p>
    <w:p>
      <w:pPr>
        <w:pStyle w:val="FirstParagraph"/>
      </w:pPr>
      <w:r>
        <w:t xml:space="preserve">This work plan provides a structured path to move BecomingOS from documentation to MVP readiness while respecting non‑clinical boundaries and prioritising user safety and privacy. Each specialist agent has clear objectives, inputs, outputs, acceptance criteria and dependencies. Adhering to this plan and the readiness checklist will ensure that engineering begins only when the product vision is validated, legal and ethical obligations are met, and the foundation for a safe and scalable MVP is in place.</w:t>
      </w:r>
    </w:p>
    <w:bookmarkEnd w:id="71"/>
    <w:bookmarkEnd w:id="72"/>
    <w:bookmarkEnd w:id="73"/>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32">
        <w:r>
          <w:rPr>
            <w:rStyle w:val="Hyperlink"/>
          </w:rPr>
          <w:t xml:space="preserve">[9]</w:t>
        </w:r>
      </w:hyperlink>
      <w:r>
        <w:t xml:space="preserve"> </w:t>
      </w:r>
      <w:r>
        <w:t xml:space="preserve">README.md</w:t>
      </w:r>
    </w:p>
    <w:p>
      <w:pPr>
        <w:pStyle w:val="BodyText"/>
      </w:pPr>
      <w:hyperlink r:id="rId74">
        <w:r>
          <w:rPr>
            <w:rStyle w:val="Hyperlink"/>
          </w:rPr>
          <w:t xml:space="preserve">https://github.com/gasekerci1/lifeOS/blob/63b905667f90fde8b847e505fd4af007442fe5ac/docs/README.md</w:t>
        </w:r>
      </w:hyperlink>
    </w:p>
    <w:p>
      <w:pPr>
        <w:pStyle w:val="BodyText"/>
      </w:pPr>
      <w:hyperlink r:id="rId22">
        <w:r>
          <w:rPr>
            <w:rStyle w:val="Hyperlink"/>
          </w:rPr>
          <w:t xml:space="preserve">[2]</w:t>
        </w:r>
      </w:hyperlink>
      <w:r>
        <w:t xml:space="preserve"> </w:t>
      </w:r>
      <w:hyperlink r:id="rId26">
        <w:r>
          <w:rPr>
            <w:rStyle w:val="Hyperlink"/>
          </w:rPr>
          <w:t xml:space="preserve">[5]</w:t>
        </w:r>
      </w:hyperlink>
      <w:r>
        <w:t xml:space="preserve"> </w:t>
      </w:r>
      <w:hyperlink r:id="rId30">
        <w:r>
          <w:rPr>
            <w:rStyle w:val="Hyperlink"/>
          </w:rPr>
          <w:t xml:space="preserve">[8]</w:t>
        </w:r>
      </w:hyperlink>
      <w:r>
        <w:t xml:space="preserve"> </w:t>
      </w:r>
      <w:hyperlink r:id="rId35">
        <w:r>
          <w:rPr>
            <w:rStyle w:val="Hyperlink"/>
          </w:rPr>
          <w:t xml:space="preserve">[11]</w:t>
        </w:r>
      </w:hyperlink>
      <w:r>
        <w:t xml:space="preserve"> </w:t>
      </w:r>
      <w:hyperlink r:id="rId44">
        <w:r>
          <w:rPr>
            <w:rStyle w:val="Hyperlink"/>
          </w:rPr>
          <w:t xml:space="preserve">[14]</w:t>
        </w:r>
      </w:hyperlink>
      <w:r>
        <w:t xml:space="preserve"> </w:t>
      </w:r>
      <w:hyperlink r:id="rId46">
        <w:r>
          <w:rPr>
            <w:rStyle w:val="Hyperlink"/>
          </w:rPr>
          <w:t xml:space="preserve">[15]</w:t>
        </w:r>
      </w:hyperlink>
      <w:r>
        <w:t xml:space="preserve"> </w:t>
      </w:r>
      <w:hyperlink r:id="rId48">
        <w:r>
          <w:rPr>
            <w:rStyle w:val="Hyperlink"/>
          </w:rPr>
          <w:t xml:space="preserve">[16]</w:t>
        </w:r>
      </w:hyperlink>
      <w:r>
        <w:t xml:space="preserve"> </w:t>
      </w:r>
      <w:hyperlink r:id="rId51">
        <w:r>
          <w:rPr>
            <w:rStyle w:val="Hyperlink"/>
          </w:rPr>
          <w:t xml:space="preserve">[18]</w:t>
        </w:r>
      </w:hyperlink>
      <w:r>
        <w:t xml:space="preserve"> </w:t>
      </w:r>
      <w:hyperlink r:id="rId57">
        <w:r>
          <w:rPr>
            <w:rStyle w:val="Hyperlink"/>
          </w:rPr>
          <w:t xml:space="preserve">[21]</w:t>
        </w:r>
      </w:hyperlink>
      <w:r>
        <w:t xml:space="preserve"> </w:t>
      </w:r>
      <w:hyperlink r:id="rId63">
        <w:r>
          <w:rPr>
            <w:rStyle w:val="Hyperlink"/>
          </w:rPr>
          <w:t xml:space="preserve">[23]</w:t>
        </w:r>
      </w:hyperlink>
      <w:r>
        <w:t xml:space="preserve"> </w:t>
      </w:r>
      <w:r>
        <w:t xml:space="preserve">AGENT_READINESS_CHECKLIST.md</w:t>
      </w:r>
    </w:p>
    <w:p>
      <w:pPr>
        <w:pStyle w:val="BodyText"/>
      </w:pPr>
      <w:hyperlink r:id="rId75">
        <w:r>
          <w:rPr>
            <w:rStyle w:val="Hyperlink"/>
          </w:rPr>
          <w:t xml:space="preserve">https://github.com/gasekerci1/lifeOS/blob/63b905667f90fde8b847e505fd4af007442fe5ac/docs/09_agent_prompts/AGENT_READINESS_CHECKLIST.md</w:t>
        </w:r>
      </w:hyperlink>
    </w:p>
    <w:p>
      <w:pPr>
        <w:pStyle w:val="BodyText"/>
      </w:pPr>
      <w:hyperlink r:id="rId24">
        <w:r>
          <w:rPr>
            <w:rStyle w:val="Hyperlink"/>
          </w:rPr>
          <w:t xml:space="preserve">[3]</w:t>
        </w:r>
      </w:hyperlink>
      <w:r>
        <w:t xml:space="preserve"> </w:t>
      </w:r>
      <w:hyperlink r:id="rId27">
        <w:r>
          <w:rPr>
            <w:rStyle w:val="Hyperlink"/>
          </w:rPr>
          <w:t xml:space="preserve">[6]</w:t>
        </w:r>
      </w:hyperlink>
      <w:r>
        <w:t xml:space="preserve"> </w:t>
      </w:r>
      <w:hyperlink r:id="rId39">
        <w:r>
          <w:rPr>
            <w:rStyle w:val="Hyperlink"/>
          </w:rPr>
          <w:t xml:space="preserve">[13]</w:t>
        </w:r>
      </w:hyperlink>
      <w:r>
        <w:t xml:space="preserve"> </w:t>
      </w:r>
      <w:hyperlink r:id="rId60">
        <w:r>
          <w:rPr>
            <w:rStyle w:val="Hyperlink"/>
          </w:rPr>
          <w:t xml:space="preserve">[22]</w:t>
        </w:r>
      </w:hyperlink>
      <w:r>
        <w:t xml:space="preserve"> </w:t>
      </w:r>
      <w:r>
        <w:t xml:space="preserve">AGENT_EXECUTION_ORDER.md</w:t>
      </w:r>
    </w:p>
    <w:p>
      <w:pPr>
        <w:pStyle w:val="BodyText"/>
      </w:pPr>
      <w:hyperlink r:id="rId76">
        <w:r>
          <w:rPr>
            <w:rStyle w:val="Hyperlink"/>
          </w:rPr>
          <w:t xml:space="preserve">https://github.com/gasekerci1/lifeOS/blob/63b905667f90fde8b847e505fd4af007442fe5ac/docs/09_agent_prompts/AGENT_EXECUTION_ORDER.md</w:t>
        </w:r>
      </w:hyperlink>
    </w:p>
    <w:p>
      <w:pPr>
        <w:pStyle w:val="BodyText"/>
      </w:pPr>
      <w:hyperlink r:id="rId25">
        <w:r>
          <w:rPr>
            <w:rStyle w:val="Hyperlink"/>
          </w:rPr>
          <w:t xml:space="preserve">[4]</w:t>
        </w:r>
      </w:hyperlink>
      <w:r>
        <w:t xml:space="preserve"> </w:t>
      </w:r>
      <w:hyperlink r:id="rId28">
        <w:r>
          <w:rPr>
            <w:rStyle w:val="Hyperlink"/>
          </w:rPr>
          <w:t xml:space="preserve">[7]</w:t>
        </w:r>
      </w:hyperlink>
      <w:r>
        <w:t xml:space="preserve"> </w:t>
      </w:r>
      <w:hyperlink r:id="rId33">
        <w:r>
          <w:rPr>
            <w:rStyle w:val="Hyperlink"/>
          </w:rPr>
          <w:t xml:space="preserve">[10]</w:t>
        </w:r>
      </w:hyperlink>
      <w:r>
        <w:t xml:space="preserve"> </w:t>
      </w:r>
      <w:hyperlink r:id="rId36">
        <w:r>
          <w:rPr>
            <w:rStyle w:val="Hyperlink"/>
          </w:rPr>
          <w:t xml:space="preserve">[12]</w:t>
        </w:r>
      </w:hyperlink>
      <w:r>
        <w:t xml:space="preserve"> </w:t>
      </w:r>
      <w:hyperlink r:id="rId49">
        <w:r>
          <w:rPr>
            <w:rStyle w:val="Hyperlink"/>
          </w:rPr>
          <w:t xml:space="preserve">[17]</w:t>
        </w:r>
      </w:hyperlink>
      <w:r>
        <w:t xml:space="preserve"> </w:t>
      </w:r>
      <w:hyperlink r:id="rId53">
        <w:r>
          <w:rPr>
            <w:rStyle w:val="Hyperlink"/>
          </w:rPr>
          <w:t xml:space="preserve">[19]</w:t>
        </w:r>
      </w:hyperlink>
      <w:r>
        <w:t xml:space="preserve"> </w:t>
      </w:r>
      <w:hyperlink r:id="rId55">
        <w:r>
          <w:rPr>
            <w:rStyle w:val="Hyperlink"/>
          </w:rPr>
          <w:t xml:space="preserve">[20]</w:t>
        </w:r>
      </w:hyperlink>
      <w:r>
        <w:t xml:space="preserve"> </w:t>
      </w:r>
      <w:hyperlink r:id="rId64">
        <w:r>
          <w:rPr>
            <w:rStyle w:val="Hyperlink"/>
          </w:rPr>
          <w:t xml:space="preserve">[24]</w:t>
        </w:r>
      </w:hyperlink>
      <w:r>
        <w:t xml:space="preserve"> </w:t>
      </w:r>
      <w:r>
        <w:t xml:space="preserve">AGENT_OUTPUT_INDEX.md</w:t>
      </w:r>
    </w:p>
    <w:p>
      <w:pPr>
        <w:pStyle w:val="BodyText"/>
      </w:pPr>
      <w:hyperlink r:id="rId77">
        <w:r>
          <w:rPr>
            <w:rStyle w:val="Hyperlink"/>
          </w:rPr>
          <w:t xml:space="preserve">https://github.com/gasekerci1/lifeOS/blob/63b905667f90fde8b847e505fd4af007442fe5ac/docs/09_agent_prompts/AGENT_OUTPUT_INDEX.md</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github.com/gasekerci1/lifeOS/blob/63b905667f90fde8b847e505fd4af007442fe5ac/docs/09_agent_prompts/AGENT_EXECUTION_ORDER.md" TargetMode="External" /><Relationship Type="http://schemas.openxmlformats.org/officeDocument/2006/relationships/hyperlink" Id="rId39" Target="https://github.com/gasekerci1/lifeOS/blob/63b905667f90fde8b847e505fd4af007442fe5ac/docs/09_agent_prompts/AGENT_EXECUTION_ORDER.md#L12-L13" TargetMode="External" /><Relationship Type="http://schemas.openxmlformats.org/officeDocument/2006/relationships/hyperlink" Id="rId60" Target="https://github.com/gasekerci1/lifeOS/blob/63b905667f90fde8b847e505fd4af007442fe5ac/docs/09_agent_prompts/AGENT_EXECUTION_ORDER.md#L24-L26" TargetMode="External" /><Relationship Type="http://schemas.openxmlformats.org/officeDocument/2006/relationships/hyperlink" Id="rId27" Target="https://github.com/gasekerci1/lifeOS/blob/63b905667f90fde8b847e505fd4af007442fe5ac/docs/09_agent_prompts/AGENT_EXECUTION_ORDER.md#L5-L27" TargetMode="External" /><Relationship Type="http://schemas.openxmlformats.org/officeDocument/2006/relationships/hyperlink" Id="rId24" Target="https://github.com/gasekerci1/lifeOS/blob/63b905667f90fde8b847e505fd4af007442fe5ac/docs/09_agent_prompts/AGENT_EXECUTION_ORDER.md#L5-L31" TargetMode="External" /><Relationship Type="http://schemas.openxmlformats.org/officeDocument/2006/relationships/hyperlink" Id="rId77" Target="https://github.com/gasekerci1/lifeOS/blob/63b905667f90fde8b847e505fd4af007442fe5ac/docs/09_agent_prompts/AGENT_OUTPUT_INDEX.md" TargetMode="External" /><Relationship Type="http://schemas.openxmlformats.org/officeDocument/2006/relationships/hyperlink" Id="rId36" Target="https://github.com/gasekerci1/lifeOS/blob/63b905667f90fde8b847e505fd4af007442fe5ac/docs/09_agent_prompts/AGENT_OUTPUT_INDEX.md#L11-L17" TargetMode="External" /><Relationship Type="http://schemas.openxmlformats.org/officeDocument/2006/relationships/hyperlink" Id="rId49" Target="https://github.com/gasekerci1/lifeOS/blob/63b905667f90fde8b847e505fd4af007442fe5ac/docs/09_agent_prompts/AGENT_OUTPUT_INDEX.md#L17-L18" TargetMode="External" /><Relationship Type="http://schemas.openxmlformats.org/officeDocument/2006/relationships/hyperlink" Id="rId55" Target="https://github.com/gasekerci1/lifeOS/blob/63b905667f90fde8b847e505fd4af007442fe5ac/docs/09_agent_prompts/AGENT_OUTPUT_INDEX.md#L21-L22" TargetMode="External" /><Relationship Type="http://schemas.openxmlformats.org/officeDocument/2006/relationships/hyperlink" Id="rId64" Target="https://github.com/gasekerci1/lifeOS/blob/63b905667f90fde8b847e505fd4af007442fe5ac/docs/09_agent_prompts/AGENT_OUTPUT_INDEX.md#L24-L25" TargetMode="External" /><Relationship Type="http://schemas.openxmlformats.org/officeDocument/2006/relationships/hyperlink" Id="rId25" Target="https://github.com/gasekerci1/lifeOS/blob/63b905667f90fde8b847e505fd4af007442fe5ac/docs/09_agent_prompts/AGENT_OUTPUT_INDEX.md#L3-L24" TargetMode="External" /><Relationship Type="http://schemas.openxmlformats.org/officeDocument/2006/relationships/hyperlink" Id="rId28" Target="https://github.com/gasekerci1/lifeOS/blob/63b905667f90fde8b847e505fd4af007442fe5ac/docs/09_agent_prompts/AGENT_OUTPUT_INDEX.md#L3-L6" TargetMode="External" /><Relationship Type="http://schemas.openxmlformats.org/officeDocument/2006/relationships/hyperlink" Id="rId33" Target="https://github.com/gasekerci1/lifeOS/blob/63b905667f90fde8b847e505fd4af007442fe5ac/docs/09_agent_prompts/AGENT_OUTPUT_INDEX.md#L6-L9" TargetMode="External" /><Relationship Type="http://schemas.openxmlformats.org/officeDocument/2006/relationships/hyperlink" Id="rId53" Target="https://github.com/gasekerci1/lifeOS/blob/63b905667f90fde8b847e505fd4af007442fe5ac/docs/09_agent_prompts/AGENT_OUTPUT_INDEX.md#L7-L8" TargetMode="External" /><Relationship Type="http://schemas.openxmlformats.org/officeDocument/2006/relationships/hyperlink" Id="rId75" Target="https://github.com/gasekerci1/lifeOS/blob/63b905667f90fde8b847e505fd4af007442fe5ac/docs/09_agent_prompts/AGENT_READINESS_CHECKLIST.md" TargetMode="External" /><Relationship Type="http://schemas.openxmlformats.org/officeDocument/2006/relationships/hyperlink" Id="rId35" Target="https://github.com/gasekerci1/lifeOS/blob/63b905667f90fde8b847e505fd4af007442fe5ac/docs/09_agent_prompts/AGENT_READINESS_CHECKLIST.md#L14-L19" TargetMode="External" /><Relationship Type="http://schemas.openxmlformats.org/officeDocument/2006/relationships/hyperlink" Id="rId46" Target="https://github.com/gasekerci1/lifeOS/blob/63b905667f90fde8b847e505fd4af007442fe5ac/docs/09_agent_prompts/AGENT_READINESS_CHECKLIST.md#L16-L18" TargetMode="External" /><Relationship Type="http://schemas.openxmlformats.org/officeDocument/2006/relationships/hyperlink" Id="rId44" Target="https://github.com/gasekerci1/lifeOS/blob/63b905667f90fde8b847e505fd4af007442fe5ac/docs/09_agent_prompts/AGENT_READINESS_CHECKLIST.md#L16-L20" TargetMode="External" /><Relationship Type="http://schemas.openxmlformats.org/officeDocument/2006/relationships/hyperlink" Id="rId51" Target="https://github.com/gasekerci1/lifeOS/blob/63b905667f90fde8b847e505fd4af007442fe5ac/docs/09_agent_prompts/AGENT_READINESS_CHECKLIST.md#L18-L20" TargetMode="External" /><Relationship Type="http://schemas.openxmlformats.org/officeDocument/2006/relationships/hyperlink" Id="rId48" Target="https://github.com/gasekerci1/lifeOS/blob/63b905667f90fde8b847e505fd4af007442fe5ac/docs/09_agent_prompts/AGENT_READINESS_CHECKLIST.md#L34-L36" TargetMode="External" /><Relationship Type="http://schemas.openxmlformats.org/officeDocument/2006/relationships/hyperlink" Id="rId30" Target="https://github.com/gasekerci1/lifeOS/blob/63b905667f90fde8b847e505fd4af007442fe5ac/docs/09_agent_prompts/AGENT_READINESS_CHECKLIST.md#L5-L11" TargetMode="External" /><Relationship Type="http://schemas.openxmlformats.org/officeDocument/2006/relationships/hyperlink" Id="rId22" Target="https://github.com/gasekerci1/lifeOS/blob/63b905667f90fde8b847e505fd4af007442fe5ac/docs/09_agent_prompts/AGENT_READINESS_CHECKLIST.md#L5-L16" TargetMode="External" /><Relationship Type="http://schemas.openxmlformats.org/officeDocument/2006/relationships/hyperlink" Id="rId26" Target="https://github.com/gasekerci1/lifeOS/blob/63b905667f90fde8b847e505fd4af007442fe5ac/docs/09_agent_prompts/AGENT_READINESS_CHECKLIST.md#L5-L20" TargetMode="External" /><Relationship Type="http://schemas.openxmlformats.org/officeDocument/2006/relationships/hyperlink" Id="rId63" Target="https://github.com/gasekerci1/lifeOS/blob/63b905667f90fde8b847e505fd4af007442fe5ac/docs/09_agent_prompts/AGENT_READINESS_CHECKLIST.md#L5-L48" TargetMode="External" /><Relationship Type="http://schemas.openxmlformats.org/officeDocument/2006/relationships/hyperlink" Id="rId57" Target="https://github.com/gasekerci1/lifeOS/blob/63b905667f90fde8b847e505fd4af007442fe5ac/docs/09_agent_prompts/AGENT_READINESS_CHECKLIST.md#L50-L54" TargetMode="External" /><Relationship Type="http://schemas.openxmlformats.org/officeDocument/2006/relationships/hyperlink" Id="rId74" Target="https://github.com/gasekerci1/lifeOS/blob/63b905667f90fde8b847e505fd4af007442fe5ac/docs/README.md" TargetMode="External" /><Relationship Type="http://schemas.openxmlformats.org/officeDocument/2006/relationships/hyperlink" Id="rId32" Target="https://github.com/gasekerci1/lifeOS/blob/63b905667f90fde8b847e505fd4af007442fe5ac/docs/README.md#L30-L33" TargetMode="External" /><Relationship Type="http://schemas.openxmlformats.org/officeDocument/2006/relationships/hyperlink" Id="rId21" Target="https://github.com/gasekerci1/lifeOS/blob/63b905667f90fde8b847e505fd4af007442fe5ac/docs/README.md#L30-L34" TargetMode="External" /></Relationships>
</file>

<file path=word/_rels/footnotes.xml.rels><?xml version="1.0" encoding="UTF-8"?><Relationships xmlns="http://schemas.openxmlformats.org/package/2006/relationships"><Relationship Type="http://schemas.openxmlformats.org/officeDocument/2006/relationships/hyperlink" Id="rId76" Target="https://github.com/gasekerci1/lifeOS/blob/63b905667f90fde8b847e505fd4af007442fe5ac/docs/09_agent_prompts/AGENT_EXECUTION_ORDER.md" TargetMode="External" /><Relationship Type="http://schemas.openxmlformats.org/officeDocument/2006/relationships/hyperlink" Id="rId39" Target="https://github.com/gasekerci1/lifeOS/blob/63b905667f90fde8b847e505fd4af007442fe5ac/docs/09_agent_prompts/AGENT_EXECUTION_ORDER.md#L12-L13" TargetMode="External" /><Relationship Type="http://schemas.openxmlformats.org/officeDocument/2006/relationships/hyperlink" Id="rId60" Target="https://github.com/gasekerci1/lifeOS/blob/63b905667f90fde8b847e505fd4af007442fe5ac/docs/09_agent_prompts/AGENT_EXECUTION_ORDER.md#L24-L26" TargetMode="External" /><Relationship Type="http://schemas.openxmlformats.org/officeDocument/2006/relationships/hyperlink" Id="rId27" Target="https://github.com/gasekerci1/lifeOS/blob/63b905667f90fde8b847e505fd4af007442fe5ac/docs/09_agent_prompts/AGENT_EXECUTION_ORDER.md#L5-L27" TargetMode="External" /><Relationship Type="http://schemas.openxmlformats.org/officeDocument/2006/relationships/hyperlink" Id="rId24" Target="https://github.com/gasekerci1/lifeOS/blob/63b905667f90fde8b847e505fd4af007442fe5ac/docs/09_agent_prompts/AGENT_EXECUTION_ORDER.md#L5-L31" TargetMode="External" /><Relationship Type="http://schemas.openxmlformats.org/officeDocument/2006/relationships/hyperlink" Id="rId77" Target="https://github.com/gasekerci1/lifeOS/blob/63b905667f90fde8b847e505fd4af007442fe5ac/docs/09_agent_prompts/AGENT_OUTPUT_INDEX.md" TargetMode="External" /><Relationship Type="http://schemas.openxmlformats.org/officeDocument/2006/relationships/hyperlink" Id="rId36" Target="https://github.com/gasekerci1/lifeOS/blob/63b905667f90fde8b847e505fd4af007442fe5ac/docs/09_agent_prompts/AGENT_OUTPUT_INDEX.md#L11-L17" TargetMode="External" /><Relationship Type="http://schemas.openxmlformats.org/officeDocument/2006/relationships/hyperlink" Id="rId49" Target="https://github.com/gasekerci1/lifeOS/blob/63b905667f90fde8b847e505fd4af007442fe5ac/docs/09_agent_prompts/AGENT_OUTPUT_INDEX.md#L17-L18" TargetMode="External" /><Relationship Type="http://schemas.openxmlformats.org/officeDocument/2006/relationships/hyperlink" Id="rId55" Target="https://github.com/gasekerci1/lifeOS/blob/63b905667f90fde8b847e505fd4af007442fe5ac/docs/09_agent_prompts/AGENT_OUTPUT_INDEX.md#L21-L22" TargetMode="External" /><Relationship Type="http://schemas.openxmlformats.org/officeDocument/2006/relationships/hyperlink" Id="rId64" Target="https://github.com/gasekerci1/lifeOS/blob/63b905667f90fde8b847e505fd4af007442fe5ac/docs/09_agent_prompts/AGENT_OUTPUT_INDEX.md#L24-L25" TargetMode="External" /><Relationship Type="http://schemas.openxmlformats.org/officeDocument/2006/relationships/hyperlink" Id="rId25" Target="https://github.com/gasekerci1/lifeOS/blob/63b905667f90fde8b847e505fd4af007442fe5ac/docs/09_agent_prompts/AGENT_OUTPUT_INDEX.md#L3-L24" TargetMode="External" /><Relationship Type="http://schemas.openxmlformats.org/officeDocument/2006/relationships/hyperlink" Id="rId28" Target="https://github.com/gasekerci1/lifeOS/blob/63b905667f90fde8b847e505fd4af007442fe5ac/docs/09_agent_prompts/AGENT_OUTPUT_INDEX.md#L3-L6" TargetMode="External" /><Relationship Type="http://schemas.openxmlformats.org/officeDocument/2006/relationships/hyperlink" Id="rId33" Target="https://github.com/gasekerci1/lifeOS/blob/63b905667f90fde8b847e505fd4af007442fe5ac/docs/09_agent_prompts/AGENT_OUTPUT_INDEX.md#L6-L9" TargetMode="External" /><Relationship Type="http://schemas.openxmlformats.org/officeDocument/2006/relationships/hyperlink" Id="rId53" Target="https://github.com/gasekerci1/lifeOS/blob/63b905667f90fde8b847e505fd4af007442fe5ac/docs/09_agent_prompts/AGENT_OUTPUT_INDEX.md#L7-L8" TargetMode="External" /><Relationship Type="http://schemas.openxmlformats.org/officeDocument/2006/relationships/hyperlink" Id="rId75" Target="https://github.com/gasekerci1/lifeOS/blob/63b905667f90fde8b847e505fd4af007442fe5ac/docs/09_agent_prompts/AGENT_READINESS_CHECKLIST.md" TargetMode="External" /><Relationship Type="http://schemas.openxmlformats.org/officeDocument/2006/relationships/hyperlink" Id="rId35" Target="https://github.com/gasekerci1/lifeOS/blob/63b905667f90fde8b847e505fd4af007442fe5ac/docs/09_agent_prompts/AGENT_READINESS_CHECKLIST.md#L14-L19" TargetMode="External" /><Relationship Type="http://schemas.openxmlformats.org/officeDocument/2006/relationships/hyperlink" Id="rId46" Target="https://github.com/gasekerci1/lifeOS/blob/63b905667f90fde8b847e505fd4af007442fe5ac/docs/09_agent_prompts/AGENT_READINESS_CHECKLIST.md#L16-L18" TargetMode="External" /><Relationship Type="http://schemas.openxmlformats.org/officeDocument/2006/relationships/hyperlink" Id="rId44" Target="https://github.com/gasekerci1/lifeOS/blob/63b905667f90fde8b847e505fd4af007442fe5ac/docs/09_agent_prompts/AGENT_READINESS_CHECKLIST.md#L16-L20" TargetMode="External" /><Relationship Type="http://schemas.openxmlformats.org/officeDocument/2006/relationships/hyperlink" Id="rId51" Target="https://github.com/gasekerci1/lifeOS/blob/63b905667f90fde8b847e505fd4af007442fe5ac/docs/09_agent_prompts/AGENT_READINESS_CHECKLIST.md#L18-L20" TargetMode="External" /><Relationship Type="http://schemas.openxmlformats.org/officeDocument/2006/relationships/hyperlink" Id="rId48" Target="https://github.com/gasekerci1/lifeOS/blob/63b905667f90fde8b847e505fd4af007442fe5ac/docs/09_agent_prompts/AGENT_READINESS_CHECKLIST.md#L34-L36" TargetMode="External" /><Relationship Type="http://schemas.openxmlformats.org/officeDocument/2006/relationships/hyperlink" Id="rId30" Target="https://github.com/gasekerci1/lifeOS/blob/63b905667f90fde8b847e505fd4af007442fe5ac/docs/09_agent_prompts/AGENT_READINESS_CHECKLIST.md#L5-L11" TargetMode="External" /><Relationship Type="http://schemas.openxmlformats.org/officeDocument/2006/relationships/hyperlink" Id="rId22" Target="https://github.com/gasekerci1/lifeOS/blob/63b905667f90fde8b847e505fd4af007442fe5ac/docs/09_agent_prompts/AGENT_READINESS_CHECKLIST.md#L5-L16" TargetMode="External" /><Relationship Type="http://schemas.openxmlformats.org/officeDocument/2006/relationships/hyperlink" Id="rId26" Target="https://github.com/gasekerci1/lifeOS/blob/63b905667f90fde8b847e505fd4af007442fe5ac/docs/09_agent_prompts/AGENT_READINESS_CHECKLIST.md#L5-L20" TargetMode="External" /><Relationship Type="http://schemas.openxmlformats.org/officeDocument/2006/relationships/hyperlink" Id="rId63" Target="https://github.com/gasekerci1/lifeOS/blob/63b905667f90fde8b847e505fd4af007442fe5ac/docs/09_agent_prompts/AGENT_READINESS_CHECKLIST.md#L5-L48" TargetMode="External" /><Relationship Type="http://schemas.openxmlformats.org/officeDocument/2006/relationships/hyperlink" Id="rId57" Target="https://github.com/gasekerci1/lifeOS/blob/63b905667f90fde8b847e505fd4af007442fe5ac/docs/09_agent_prompts/AGENT_READINESS_CHECKLIST.md#L50-L54" TargetMode="External" /><Relationship Type="http://schemas.openxmlformats.org/officeDocument/2006/relationships/hyperlink" Id="rId74" Target="https://github.com/gasekerci1/lifeOS/blob/63b905667f90fde8b847e505fd4af007442fe5ac/docs/README.md" TargetMode="External" /><Relationship Type="http://schemas.openxmlformats.org/officeDocument/2006/relationships/hyperlink" Id="rId32" Target="https://github.com/gasekerci1/lifeOS/blob/63b905667f90fde8b847e505fd4af007442fe5ac/docs/README.md#L30-L33" TargetMode="External" /><Relationship Type="http://schemas.openxmlformats.org/officeDocument/2006/relationships/hyperlink" Id="rId21" Target="https://github.com/gasekerci1/lifeOS/blob/63b905667f90fde8b847e505fd4af007442fe5ac/docs/README.md#L30-L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2026-05-17T01:46:56Z</dcterms:created>
  <dcterms:modified xsi:type="dcterms:W3CDTF">2026-05-17T01:46:56Z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