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brand-identity-brief-v0.1"/>
    <w:p>
      <w:pPr>
        <w:pStyle w:val="Heading1"/>
      </w:pPr>
      <w:r>
        <w:t xml:space="preserve">Brand Identity Brief v0.1</w:t>
      </w:r>
    </w:p>
    <w:bookmarkStart w:id="21" w:name="status-and-scope-boundaries"/>
    <w:p>
      <w:pPr>
        <w:pStyle w:val="Heading2"/>
      </w:pPr>
      <w:r>
        <w:t xml:space="preserve">Status and Scope Boundaries</w:t>
      </w:r>
    </w:p>
    <w:p>
      <w:pPr>
        <w:pStyle w:val="FirstParagraph"/>
      </w:pPr>
      <w:r>
        <w:t xml:space="preserve">This brief sets out the</w:t>
      </w:r>
      <w:r>
        <w:t xml:space="preserve"> </w:t>
      </w:r>
      <w:r>
        <w:rPr>
          <w:b/>
          <w:bCs/>
        </w:rPr>
        <w:t xml:space="preserve">planning‑only visual identity direction</w:t>
      </w:r>
      <w:r>
        <w:t xml:space="preserve"> </w:t>
      </w:r>
      <w:r>
        <w:t xml:space="preserve">for the BecomingOS marketing site and product. It does</w:t>
      </w:r>
      <w:r>
        <w:t xml:space="preserve"> </w:t>
      </w:r>
      <w:r>
        <w:rPr>
          <w:b/>
          <w:bCs/>
        </w:rPr>
        <w:t xml:space="preserve">not</w:t>
      </w:r>
      <w:r>
        <w:t xml:space="preserve"> </w:t>
      </w:r>
      <w:r>
        <w:t xml:space="preserve">authorise a public launch, MVP build, production readiness or final brand approval. BecomingOS is still pre‑MVP and in limited private‑beta planning. All design concepts must respect non‑clinical boundaries and avoid medical, legal, financial or crisis positioning. Nothing in this document makes unvalidated outcome claims or implies therapeutic, diagnostic or compliance guarantees.</w:t>
      </w:r>
    </w:p>
    <w:bookmarkEnd w:id="21"/>
    <w:bookmarkStart w:id="22" w:name="brand-overview"/>
    <w:p>
      <w:pPr>
        <w:pStyle w:val="Heading2"/>
      </w:pPr>
      <w:r>
        <w:t xml:space="preserve">1. Brand Overview</w:t>
      </w:r>
    </w:p>
    <w:p>
      <w:pPr>
        <w:pStyle w:val="FirstParagraph"/>
      </w:pPr>
      <w:r>
        <w:t xml:space="preserve">BecomingOS is a</w:t>
      </w:r>
      <w:r>
        <w:t xml:space="preserve"> </w:t>
      </w:r>
      <w:r>
        <w:rPr>
          <w:b/>
          <w:bCs/>
        </w:rPr>
        <w:t xml:space="preserve">private AI life operating system</w:t>
      </w:r>
      <w:r>
        <w:t xml:space="preserve"> </w:t>
      </w:r>
      <w:r>
        <w:t xml:space="preserve">for</w:t>
      </w:r>
      <w:r>
        <w:t xml:space="preserve"> </w:t>
      </w:r>
      <w:r>
        <w:rPr>
          <w:b/>
          <w:bCs/>
        </w:rPr>
        <w:t xml:space="preserve">self‑discovery, memory, decisions and daily planning</w:t>
      </w:r>
      <w:r>
        <w:t xml:space="preserve">. It helps people understand themselves, remember what matters, plan their days and make choices aligned with who they want to become – all within a non‑clinical, privacy‑first environment. The product is designed for individuals serious about self‑development (entrepreneurs, carers, busy parents, people rebuilding routines and those already using journals, calendars and AI assistants). It is</w:t>
      </w:r>
      <w:r>
        <w:t xml:space="preserve"> </w:t>
      </w:r>
      <w:r>
        <w:rPr>
          <w:b/>
          <w:bCs/>
        </w:rPr>
        <w:t xml:space="preserve">not</w:t>
      </w:r>
      <w:r>
        <w:t xml:space="preserve"> </w:t>
      </w:r>
      <w:r>
        <w:t xml:space="preserve">a therapist, emergency service, diagnosis tool, crisis monitor or replacement for professional support. Users confirm every piece of memory, can edit or delete data and remain in control of what the AI uses.</w:t>
      </w:r>
    </w:p>
    <w:bookmarkEnd w:id="22"/>
    <w:bookmarkStart w:id="23" w:name="visual-direction"/>
    <w:p>
      <w:pPr>
        <w:pStyle w:val="Heading2"/>
      </w:pPr>
      <w:r>
        <w:t xml:space="preserve">2. Visual Direction</w:t>
      </w:r>
    </w:p>
    <w:p>
      <w:pPr>
        <w:pStyle w:val="FirstParagraph"/>
      </w:pPr>
      <w:r>
        <w:t xml:space="preserve">The visual identity should evoke</w:t>
      </w:r>
      <w:r>
        <w:t xml:space="preserve"> </w:t>
      </w:r>
      <w:r>
        <w:rPr>
          <w:b/>
          <w:bCs/>
        </w:rPr>
        <w:t xml:space="preserve">premium personal development</w:t>
      </w:r>
      <w:r>
        <w:t xml:space="preserve">,</w:t>
      </w:r>
      <w:r>
        <w:t xml:space="preserve"> </w:t>
      </w:r>
      <w:r>
        <w:rPr>
          <w:b/>
          <w:bCs/>
        </w:rPr>
        <w:t xml:space="preserve">a calm AI</w:t>
      </w:r>
      <w:r>
        <w:t xml:space="preserve"> </w:t>
      </w:r>
      <w:r>
        <w:t xml:space="preserve">and</w:t>
      </w:r>
      <w:r>
        <w:t xml:space="preserve"> </w:t>
      </w:r>
      <w:r>
        <w:rPr>
          <w:b/>
          <w:bCs/>
        </w:rPr>
        <w:t xml:space="preserve">a private life dashboard</w:t>
      </w:r>
      <w:r>
        <w:t xml:space="preserve">. The design must feel trusted, warm and slightly futuristic without slipping into clinical, cyberpunk or hyper‑tech aesthetics. Generous spacing, subtle textures and carefully chosen colours will create a sense of calm and clarity. Avoid stock gradients, neon or “hustle‑bro” vibes; instead use muted tones and simple compositions.</w:t>
      </w:r>
    </w:p>
    <w:bookmarkEnd w:id="23"/>
    <w:bookmarkStart w:id="24" w:name="logo-requirements"/>
    <w:p>
      <w:pPr>
        <w:pStyle w:val="Heading2"/>
      </w:pPr>
      <w:r>
        <w:t xml:space="preserve">3. Logo Requirements</w:t>
      </w:r>
    </w:p>
    <w:p>
      <w:pPr>
        <w:pStyle w:val="FirstParagraph"/>
      </w:pPr>
      <w:r>
        <w:rPr>
          <w:b/>
          <w:bCs/>
        </w:rPr>
        <w:t xml:space="preserve">Concept:</w:t>
      </w:r>
      <w:r>
        <w:t xml:space="preserve"> </w:t>
      </w:r>
      <w:r>
        <w:t xml:space="preserve">The logomark should symbolise</w:t>
      </w:r>
      <w:r>
        <w:t xml:space="preserve"> </w:t>
      </w:r>
      <w:r>
        <w:rPr>
          <w:b/>
          <w:bCs/>
        </w:rPr>
        <w:t xml:space="preserve">personal growth</w:t>
      </w:r>
      <w:r>
        <w:t xml:space="preserve"> </w:t>
      </w:r>
      <w:r>
        <w:t xml:space="preserve">and a</w:t>
      </w:r>
      <w:r>
        <w:t xml:space="preserve"> </w:t>
      </w:r>
      <w:r>
        <w:rPr>
          <w:b/>
          <w:bCs/>
        </w:rPr>
        <w:t xml:space="preserve">journey towards a future self</w:t>
      </w:r>
      <w:r>
        <w:t xml:space="preserve">. Motifs like a seed sprouting, a horizon line or a concentric path can hint at evolution and forward momentum without implying clinical or religious symbolism.</w:t>
      </w:r>
    </w:p>
    <w:p>
      <w:pPr>
        <w:pStyle w:val="BodyText"/>
      </w:pPr>
      <w:r>
        <w:rPr>
          <w:b/>
          <w:bCs/>
        </w:rPr>
        <w:t xml:space="preserve">Form:</w:t>
      </w:r>
      <w:r>
        <w:t xml:space="preserve"> </w:t>
      </w:r>
      <w:r>
        <w:t xml:space="preserve">Design a scalable mark that works at icon sizes (16 px favicon) as well as large hero placements. It should be geometric and minimal, with rounded corners or soft angles to convey approachability.</w:t>
      </w:r>
    </w:p>
    <w:p>
      <w:pPr>
        <w:pStyle w:val="BodyText"/>
      </w:pPr>
      <w:r>
        <w:rPr>
          <w:b/>
          <w:bCs/>
        </w:rPr>
        <w:t xml:space="preserve">Colour:</w:t>
      </w:r>
      <w:r>
        <w:t xml:space="preserve"> </w:t>
      </w:r>
      <w:r>
        <w:t xml:space="preserve">Primary versions should use</w:t>
      </w:r>
      <w:r>
        <w:t xml:space="preserve"> </w:t>
      </w:r>
      <w:r>
        <w:rPr>
          <w:b/>
          <w:bCs/>
        </w:rPr>
        <w:t xml:space="preserve">deep charcoal on warm off‑white backgrounds</w:t>
      </w:r>
      <w:r>
        <w:t xml:space="preserve">. Secondary versions can invert the colours or incorporate the accent green/indigo. Avoid hospital blues, neon colours or gradients.</w:t>
      </w:r>
    </w:p>
    <w:p>
      <w:pPr>
        <w:pStyle w:val="BodyText"/>
      </w:pPr>
      <w:r>
        <w:rPr>
          <w:b/>
          <w:bCs/>
        </w:rPr>
        <w:t xml:space="preserve">Variants:</w:t>
      </w:r>
      <w:r>
        <w:t xml:space="preserve"> </w:t>
      </w:r>
      <w:r>
        <w:t xml:space="preserve">Provide horizontal (logomark + wordmark) and stacked versions. Ensure legibility on light and dark backgrounds and in monochrome.</w:t>
      </w:r>
    </w:p>
    <w:bookmarkEnd w:id="24"/>
    <w:bookmarkStart w:id="25" w:name="wordmark-requirements"/>
    <w:p>
      <w:pPr>
        <w:pStyle w:val="Heading2"/>
      </w:pPr>
      <w:r>
        <w:t xml:space="preserve">4. Wordmark Requirements</w:t>
      </w:r>
    </w:p>
    <w:p>
      <w:pPr>
        <w:pStyle w:val="FirstParagraph"/>
      </w:pPr>
      <w:r>
        <w:rPr>
          <w:b/>
          <w:bCs/>
        </w:rPr>
        <w:t xml:space="preserve">Typeface:</w:t>
      </w:r>
      <w:r>
        <w:t xml:space="preserve"> </w:t>
      </w:r>
      <w:r>
        <w:t xml:space="preserve">Use a modern, humanist sans‑serif for the word “BecomingOS” to convey clarity and sophistication. The lettering should have open counters and balanced proportions for readability at small sizes. Avoid gimmicky or handwritten scripts.</w:t>
      </w:r>
    </w:p>
    <w:p>
      <w:pPr>
        <w:pStyle w:val="BodyText"/>
      </w:pPr>
      <w:r>
        <w:rPr>
          <w:b/>
          <w:bCs/>
        </w:rPr>
        <w:t xml:space="preserve">Weight and spacing:</w:t>
      </w:r>
      <w:r>
        <w:t xml:space="preserve"> </w:t>
      </w:r>
      <w:r>
        <w:t xml:space="preserve">Select a medium weight with generous letter spacing to enhance calmness and prevent the mark from appearing dense. Kerning should be adjusted for optical consistency.</w:t>
      </w:r>
    </w:p>
    <w:p>
      <w:pPr>
        <w:pStyle w:val="BodyText"/>
      </w:pPr>
      <w:r>
        <w:rPr>
          <w:b/>
          <w:bCs/>
        </w:rPr>
        <w:t xml:space="preserve">Integration with logomark:</w:t>
      </w:r>
      <w:r>
        <w:t xml:space="preserve"> </w:t>
      </w:r>
      <w:r>
        <w:t xml:space="preserve">The wordmark should align visually with the logomark in height and stroke weight so that they can be used together or separately. Provide lock‑ups showing correct spacing.</w:t>
      </w:r>
    </w:p>
    <w:p>
      <w:pPr>
        <w:pStyle w:val="BodyText"/>
      </w:pPr>
      <w:r>
        <w:rPr>
          <w:b/>
          <w:bCs/>
        </w:rPr>
        <w:t xml:space="preserve">Case:</w:t>
      </w:r>
      <w:r>
        <w:t xml:space="preserve"> </w:t>
      </w:r>
      <w:r>
        <w:t xml:space="preserve">Prefer title case (“BecomingOS”) with the “OS” subtly distinguished (e.g., lighter weight or small caps) to echo the operating‑system metaphor.</w:t>
      </w:r>
    </w:p>
    <w:bookmarkEnd w:id="25"/>
    <w:bookmarkStart w:id="26" w:name="app-icon-requirements"/>
    <w:p>
      <w:pPr>
        <w:pStyle w:val="Heading2"/>
      </w:pPr>
      <w:r>
        <w:t xml:space="preserve">5. App Icon Requirements</w:t>
      </w:r>
    </w:p>
    <w:p>
      <w:pPr>
        <w:pStyle w:val="FirstParagraph"/>
      </w:pPr>
      <w:r>
        <w:rPr>
          <w:b/>
          <w:bCs/>
        </w:rPr>
        <w:t xml:space="preserve">Simplification:</w:t>
      </w:r>
      <w:r>
        <w:t xml:space="preserve"> </w:t>
      </w:r>
      <w:r>
        <w:t xml:space="preserve">The app icon should be a distilled version of the logomark. Remove any fine detail that would be lost at 48 px or below.</w:t>
      </w:r>
    </w:p>
    <w:p>
      <w:pPr>
        <w:pStyle w:val="BodyText"/>
      </w:pPr>
      <w:r>
        <w:rPr>
          <w:b/>
          <w:bCs/>
        </w:rPr>
        <w:t xml:space="preserve">Shape:</w:t>
      </w:r>
      <w:r>
        <w:t xml:space="preserve"> </w:t>
      </w:r>
      <w:r>
        <w:t xml:space="preserve">Use a rounded square or circle with subtle corner radius to align with common OS icon systems. The icon should be recognisable on a crowded home screen and compatible with light and dark modes.</w:t>
      </w:r>
    </w:p>
    <w:p>
      <w:pPr>
        <w:pStyle w:val="BodyText"/>
      </w:pPr>
      <w:r>
        <w:rPr>
          <w:b/>
          <w:bCs/>
        </w:rPr>
        <w:t xml:space="preserve">Colours:</w:t>
      </w:r>
      <w:r>
        <w:t xml:space="preserve"> </w:t>
      </w:r>
      <w:r>
        <w:t xml:space="preserve">Use the primary palette: deep charcoal symbol on a warm off‑white or accent background. Provide variants for dark/light OS themes.</w:t>
      </w:r>
    </w:p>
    <w:p>
      <w:pPr>
        <w:pStyle w:val="BodyText"/>
      </w:pPr>
      <w:r>
        <w:rPr>
          <w:b/>
          <w:bCs/>
        </w:rPr>
        <w:t xml:space="preserve">Avoid:</w:t>
      </w:r>
      <w:r>
        <w:t xml:space="preserve"> </w:t>
      </w:r>
      <w:r>
        <w:t xml:space="preserve">Do not include text in the app icon; avoid photographic textures or gradients that could reduce legibility.</w:t>
      </w:r>
    </w:p>
    <w:bookmarkEnd w:id="26"/>
    <w:bookmarkStart w:id="27" w:name="favicon-requirements"/>
    <w:p>
      <w:pPr>
        <w:pStyle w:val="Heading2"/>
      </w:pPr>
      <w:r>
        <w:t xml:space="preserve">6. Favicon Requirements</w:t>
      </w:r>
    </w:p>
    <w:p>
      <w:pPr>
        <w:pStyle w:val="FirstParagraph"/>
      </w:pPr>
      <w:r>
        <w:t xml:space="preserve">Use the simplest version of the logomark without text. Deliver at multiple resolutions (16 px, 32 px, 48 px) and include</w:t>
      </w:r>
      <w:r>
        <w:t xml:space="preserve"> </w:t>
      </w:r>
      <w:r>
        <w:rPr>
          <w:rStyle w:val="VerbatimChar"/>
        </w:rPr>
        <w:t xml:space="preserve">.ico</w:t>
      </w:r>
      <w:r>
        <w:t xml:space="preserve"> </w:t>
      </w:r>
      <w:r>
        <w:t xml:space="preserve">and</w:t>
      </w:r>
      <w:r>
        <w:t xml:space="preserve"> </w:t>
      </w:r>
      <w:r>
        <w:rPr>
          <w:rStyle w:val="VerbatimChar"/>
        </w:rPr>
        <w:t xml:space="preserve">.png</w:t>
      </w:r>
      <w:r>
        <w:t xml:space="preserve"> </w:t>
      </w:r>
      <w:r>
        <w:t xml:space="preserve">formats. Ensure high contrast between the symbol and background to meet visibility requirements. Test on browser tabs in light and dark modes.</w:t>
      </w:r>
    </w:p>
    <w:bookmarkEnd w:id="27"/>
    <w:bookmarkStart w:id="28" w:name="colour-palette-direction"/>
    <w:p>
      <w:pPr>
        <w:pStyle w:val="Heading2"/>
      </w:pPr>
      <w:r>
        <w:t xml:space="preserve">7. Colour Palette Direction</w:t>
      </w:r>
    </w:p>
    <w:p>
      <w:pPr>
        <w:pStyle w:val="FirstParagraph"/>
      </w:pPr>
      <w:r>
        <w:t xml:space="preserve">The palette should balance</w:t>
      </w:r>
      <w:r>
        <w:t xml:space="preserve"> </w:t>
      </w:r>
      <w:r>
        <w:rPr>
          <w:b/>
          <w:bCs/>
        </w:rPr>
        <w:t xml:space="preserve">warmth and professionalism</w:t>
      </w:r>
      <w:r>
        <w:t xml:space="preserve"> </w:t>
      </w:r>
      <w:r>
        <w:t xml:space="preserve">while meeting accessibility standards. All colours must achieve at least</w:t>
      </w:r>
      <w:r>
        <w:t xml:space="preserve"> </w:t>
      </w:r>
      <w:r>
        <w:rPr>
          <w:b/>
          <w:bCs/>
        </w:rPr>
        <w:t xml:space="preserve">4.5:1 contrast ratio</w:t>
      </w:r>
      <w:r>
        <w:t xml:space="preserve"> </w:t>
      </w:r>
      <w:r>
        <w:t xml:space="preserve">for normal text, per WCAG AA guidelines. Avoid generic SaaS gradients, neon cyberpunk hues or clinical blue/white combinations. Suggested directions:</w:t>
      </w:r>
    </w:p>
    <w:p>
      <w:pPr>
        <w:pStyle w:val="Compact"/>
        <w:numPr>
          <w:ilvl w:val="0"/>
          <w:numId w:val="1001"/>
        </w:numPr>
      </w:pPr>
      <w:r>
        <w:rPr>
          <w:b/>
          <w:bCs/>
        </w:rPr>
        <w:t xml:space="preserve">Deep charcoal</w:t>
      </w:r>
      <w:r>
        <w:t xml:space="preserve"> </w:t>
      </w:r>
      <w:r>
        <w:t xml:space="preserve">for text and primary accents.</w:t>
      </w:r>
    </w:p>
    <w:p>
      <w:pPr>
        <w:pStyle w:val="Compact"/>
        <w:numPr>
          <w:ilvl w:val="0"/>
          <w:numId w:val="1001"/>
        </w:numPr>
      </w:pPr>
      <w:r>
        <w:rPr>
          <w:b/>
          <w:bCs/>
        </w:rPr>
        <w:t xml:space="preserve">Warm off‑white</w:t>
      </w:r>
      <w:r>
        <w:t xml:space="preserve"> </w:t>
      </w:r>
      <w:r>
        <w:t xml:space="preserve">for backgrounds.</w:t>
      </w:r>
    </w:p>
    <w:p>
      <w:pPr>
        <w:pStyle w:val="Compact"/>
        <w:numPr>
          <w:ilvl w:val="0"/>
          <w:numId w:val="1001"/>
        </w:numPr>
      </w:pPr>
      <w:r>
        <w:rPr>
          <w:b/>
          <w:bCs/>
        </w:rPr>
        <w:t xml:space="preserve">Accent green or indigo</w:t>
      </w:r>
      <w:r>
        <w:t xml:space="preserve"> </w:t>
      </w:r>
      <w:r>
        <w:t xml:space="preserve">for highlights and CTAs.</w:t>
      </w:r>
    </w:p>
    <w:p>
      <w:pPr>
        <w:pStyle w:val="Compact"/>
        <w:numPr>
          <w:ilvl w:val="0"/>
          <w:numId w:val="1001"/>
        </w:numPr>
      </w:pPr>
      <w:r>
        <w:rPr>
          <w:b/>
          <w:bCs/>
        </w:rPr>
        <w:t xml:space="preserve">Muted secondary tones</w:t>
      </w:r>
      <w:r>
        <w:t xml:space="preserve"> </w:t>
      </w:r>
      <w:r>
        <w:t xml:space="preserve">(e.g., soft clay, beige or sage) to create depth without distraction.</w:t>
      </w:r>
    </w:p>
    <w:bookmarkEnd w:id="28"/>
    <w:bookmarkStart w:id="29" w:name="typography-direction"/>
    <w:p>
      <w:pPr>
        <w:pStyle w:val="Heading2"/>
      </w:pPr>
      <w:r>
        <w:t xml:space="preserve">8. Typography Direction</w:t>
      </w:r>
    </w:p>
    <w:p>
      <w:pPr>
        <w:pStyle w:val="FirstParagraph"/>
      </w:pPr>
      <w:r>
        <w:rPr>
          <w:b/>
          <w:bCs/>
        </w:rPr>
        <w:t xml:space="preserve">Primary typeface:</w:t>
      </w:r>
      <w:r>
        <w:t xml:space="preserve"> </w:t>
      </w:r>
      <w:r>
        <w:t xml:space="preserve">Choose a legible, modern sans‑serif family such as</w:t>
      </w:r>
      <w:r>
        <w:t xml:space="preserve"> </w:t>
      </w:r>
      <w:r>
        <w:rPr>
          <w:b/>
          <w:bCs/>
        </w:rPr>
        <w:t xml:space="preserve">Inter</w:t>
      </w:r>
      <w:r>
        <w:t xml:space="preserve">,</w:t>
      </w:r>
      <w:r>
        <w:t xml:space="preserve"> </w:t>
      </w:r>
      <w:r>
        <w:rPr>
          <w:b/>
          <w:bCs/>
        </w:rPr>
        <w:t xml:space="preserve">SF Pro</w:t>
      </w:r>
      <w:r>
        <w:t xml:space="preserve"> </w:t>
      </w:r>
      <w:r>
        <w:t xml:space="preserve">or</w:t>
      </w:r>
      <w:r>
        <w:t xml:space="preserve"> </w:t>
      </w:r>
      <w:r>
        <w:rPr>
          <w:b/>
          <w:bCs/>
        </w:rPr>
        <w:t xml:space="preserve">Work Sans</w:t>
      </w:r>
      <w:r>
        <w:t xml:space="preserve">. These families have multiple weights and maintain readability at different sizes.</w:t>
      </w:r>
    </w:p>
    <w:p>
      <w:pPr>
        <w:pStyle w:val="BodyText"/>
      </w:pPr>
      <w:r>
        <w:rPr>
          <w:b/>
          <w:bCs/>
        </w:rPr>
        <w:t xml:space="preserve">Secondary typeface:</w:t>
      </w:r>
      <w:r>
        <w:t xml:space="preserve"> </w:t>
      </w:r>
      <w:r>
        <w:t xml:space="preserve">An optional serif (e.g.,</w:t>
      </w:r>
      <w:r>
        <w:t xml:space="preserve"> </w:t>
      </w:r>
      <w:r>
        <w:rPr>
          <w:b/>
          <w:bCs/>
        </w:rPr>
        <w:t xml:space="preserve">Merriweather</w:t>
      </w:r>
      <w:r>
        <w:t xml:space="preserve">) may be used sparingly for quotes or headings to reinforce the premium personal development feel. Keep the serif limited to avoid a corporate look.</w:t>
      </w:r>
    </w:p>
    <w:p>
      <w:pPr>
        <w:pStyle w:val="BodyText"/>
      </w:pPr>
      <w:r>
        <w:rPr>
          <w:b/>
          <w:bCs/>
        </w:rPr>
        <w:t xml:space="preserve">Hierarchy:</w:t>
      </w:r>
      <w:r>
        <w:t xml:space="preserve"> </w:t>
      </w:r>
      <w:r>
        <w:t xml:space="preserve">Use clear hierarchy: large hero headlines, medium subheadings and smaller body text. Maintain line heights of at least 1.4× font size and avoid tight tracking.</w:t>
      </w:r>
    </w:p>
    <w:p>
      <w:pPr>
        <w:pStyle w:val="BodyText"/>
      </w:pPr>
      <w:r>
        <w:rPr>
          <w:b/>
          <w:bCs/>
        </w:rPr>
        <w:t xml:space="preserve">Accessibility:</w:t>
      </w:r>
      <w:r>
        <w:t xml:space="preserve"> </w:t>
      </w:r>
      <w:r>
        <w:t xml:space="preserve">Minimum font sizes of</w:t>
      </w:r>
      <w:r>
        <w:t xml:space="preserve"> </w:t>
      </w:r>
      <w:r>
        <w:rPr>
          <w:b/>
          <w:bCs/>
        </w:rPr>
        <w:t xml:space="preserve">16 px</w:t>
      </w:r>
      <w:r>
        <w:t xml:space="preserve"> </w:t>
      </w:r>
      <w:r>
        <w:t xml:space="preserve">on desktop and larger on mobile. Avoid exotic or decorative typefaces that hinder readability.</w:t>
      </w:r>
    </w:p>
    <w:bookmarkEnd w:id="29"/>
    <w:bookmarkStart w:id="30" w:name="icon-style-direction"/>
    <w:p>
      <w:pPr>
        <w:pStyle w:val="Heading2"/>
      </w:pPr>
      <w:r>
        <w:t xml:space="preserve">9. Icon Style Direction</w:t>
      </w:r>
    </w:p>
    <w:p>
      <w:pPr>
        <w:pStyle w:val="FirstParagraph"/>
      </w:pPr>
      <w:r>
        <w:rPr>
          <w:b/>
          <w:bCs/>
        </w:rPr>
        <w:t xml:space="preserve">Line style:</w:t>
      </w:r>
      <w:r>
        <w:t xml:space="preserve"> </w:t>
      </w:r>
      <w:r>
        <w:t xml:space="preserve">Thin to medium weight line icons with rounded ends and consistent stroke width. Use filled versions sparingly for emphasis.</w:t>
      </w:r>
    </w:p>
    <w:p>
      <w:pPr>
        <w:pStyle w:val="BodyText"/>
      </w:pPr>
      <w:r>
        <w:rPr>
          <w:b/>
          <w:bCs/>
        </w:rPr>
        <w:t xml:space="preserve">Shape language:</w:t>
      </w:r>
      <w:r>
        <w:t xml:space="preserve"> </w:t>
      </w:r>
      <w:r>
        <w:t xml:space="preserve">Use geometric shapes (circles, squares, simple curves) that echo the logomark. Avoid sharp angles or aggressive outlines.</w:t>
      </w:r>
    </w:p>
    <w:p>
      <w:pPr>
        <w:pStyle w:val="BodyText"/>
      </w:pPr>
      <w:r>
        <w:rPr>
          <w:b/>
          <w:bCs/>
        </w:rPr>
        <w:t xml:space="preserve">Colour usage:</w:t>
      </w:r>
      <w:r>
        <w:t xml:space="preserve"> </w:t>
      </w:r>
      <w:r>
        <w:t xml:space="preserve">Icons should primarily be monochrome (deep charcoal) or use accent colours for active states. Ensure sufficient contrast when placed on coloured backgrounds.</w:t>
      </w:r>
    </w:p>
    <w:p>
      <w:pPr>
        <w:pStyle w:val="BodyText"/>
      </w:pPr>
      <w:r>
        <w:rPr>
          <w:b/>
          <w:bCs/>
        </w:rPr>
        <w:t xml:space="preserve">Consistency:</w:t>
      </w:r>
      <w:r>
        <w:t xml:space="preserve"> </w:t>
      </w:r>
      <w:r>
        <w:t xml:space="preserve">All icons must align to a pixel grid and share a common visual rhythm. Icon sets should be customised or curated to avoid random mismatches.</w:t>
      </w:r>
    </w:p>
    <w:bookmarkEnd w:id="30"/>
    <w:bookmarkStart w:id="31" w:name="illustrationmockup-style"/>
    <w:p>
      <w:pPr>
        <w:pStyle w:val="Heading2"/>
      </w:pPr>
      <w:r>
        <w:t xml:space="preserve">10. Illustration/Mockup Style</w:t>
      </w:r>
    </w:p>
    <w:p>
      <w:pPr>
        <w:pStyle w:val="FirstParagraph"/>
      </w:pPr>
      <w:r>
        <w:rPr>
          <w:b/>
          <w:bCs/>
        </w:rPr>
        <w:t xml:space="preserve">Mood:</w:t>
      </w:r>
      <w:r>
        <w:t xml:space="preserve"> </w:t>
      </w:r>
      <w:r>
        <w:t xml:space="preserve">Illustrations should evoke</w:t>
      </w:r>
      <w:r>
        <w:t xml:space="preserve"> </w:t>
      </w:r>
      <w:r>
        <w:rPr>
          <w:b/>
          <w:bCs/>
        </w:rPr>
        <w:t xml:space="preserve">calmness</w:t>
      </w:r>
      <w:r>
        <w:t xml:space="preserve"> </w:t>
      </w:r>
      <w:r>
        <w:t xml:space="preserve">and</w:t>
      </w:r>
      <w:r>
        <w:t xml:space="preserve"> </w:t>
      </w:r>
      <w:r>
        <w:rPr>
          <w:b/>
          <w:bCs/>
        </w:rPr>
        <w:t xml:space="preserve">possibility</w:t>
      </w:r>
      <w:r>
        <w:t xml:space="preserve">, using soft gradients, subtle textures and muted hues. Scenes might depict abstract landscapes, gentle lines converging into a horizon or abstract diagrams of interconnected notes.</w:t>
      </w:r>
    </w:p>
    <w:p>
      <w:pPr>
        <w:pStyle w:val="BodyText"/>
      </w:pPr>
      <w:r>
        <w:rPr>
          <w:b/>
          <w:bCs/>
        </w:rPr>
        <w:t xml:space="preserve">Abstraction level:</w:t>
      </w:r>
      <w:r>
        <w:t xml:space="preserve"> </w:t>
      </w:r>
      <w:r>
        <w:t xml:space="preserve">Use semi‑abstract human figures or silhouettes to represent users without showing identifiable details. Illustrations should be inclusive, avoiding stereotypes and ensuring representation across genders, ages and abilities.</w:t>
      </w:r>
    </w:p>
    <w:p>
      <w:pPr>
        <w:pStyle w:val="BodyText"/>
      </w:pPr>
      <w:r>
        <w:rPr>
          <w:b/>
          <w:bCs/>
        </w:rPr>
        <w:t xml:space="preserve">Interface mockups:</w:t>
      </w:r>
      <w:r>
        <w:t xml:space="preserve"> </w:t>
      </w:r>
      <w:r>
        <w:t xml:space="preserve">When showing product screens, use</w:t>
      </w:r>
      <w:r>
        <w:t xml:space="preserve"> </w:t>
      </w:r>
      <w:r>
        <w:rPr>
          <w:b/>
          <w:bCs/>
        </w:rPr>
        <w:t xml:space="preserve">fictional sample data</w:t>
      </w:r>
      <w:r>
        <w:t xml:space="preserve"> </w:t>
      </w:r>
      <w:r>
        <w:t xml:space="preserve">and avoid medical, legal or crisis content. Screens should be cropped and framed with rounded corners and light shadows.</w:t>
      </w:r>
    </w:p>
    <w:p>
      <w:pPr>
        <w:pStyle w:val="BodyText"/>
      </w:pPr>
      <w:r>
        <w:rPr>
          <w:b/>
          <w:bCs/>
        </w:rPr>
        <w:t xml:space="preserve">Avoid:</w:t>
      </w:r>
      <w:r>
        <w:t xml:space="preserve"> </w:t>
      </w:r>
      <w:r>
        <w:t xml:space="preserve">Realistic stock photos, neon cyberpunk imagery, guru/spiritual iconography, hustle‑bro memes or clinical hospital aesthetics.</w:t>
      </w:r>
    </w:p>
    <w:bookmarkEnd w:id="31"/>
    <w:bookmarkStart w:id="32" w:name="ui-component-mood"/>
    <w:p>
      <w:pPr>
        <w:pStyle w:val="Heading2"/>
      </w:pPr>
      <w:r>
        <w:t xml:space="preserve">11. UI Component Mood</w:t>
      </w:r>
    </w:p>
    <w:p>
      <w:pPr>
        <w:pStyle w:val="FirstParagraph"/>
      </w:pPr>
      <w:r>
        <w:rPr>
          <w:b/>
          <w:bCs/>
        </w:rPr>
        <w:t xml:space="preserve">Spacing:</w:t>
      </w:r>
      <w:r>
        <w:t xml:space="preserve"> </w:t>
      </w:r>
      <w:r>
        <w:t xml:space="preserve">Use generous vertical spacing (80–120 px on desktop) between sections to create a calm, premium feel. Provide consistent margins on each side.</w:t>
      </w:r>
    </w:p>
    <w:p>
      <w:pPr>
        <w:pStyle w:val="BodyText"/>
      </w:pPr>
      <w:r>
        <w:rPr>
          <w:b/>
          <w:bCs/>
        </w:rPr>
        <w:t xml:space="preserve">Grid:</w:t>
      </w:r>
      <w:r>
        <w:t xml:space="preserve"> </w:t>
      </w:r>
      <w:r>
        <w:t xml:space="preserve">Base layouts on a 12‑column grid on desktop and a 4‑column or single‑column grid on mobile.</w:t>
      </w:r>
    </w:p>
    <w:p>
      <w:pPr>
        <w:pStyle w:val="BodyText"/>
      </w:pPr>
      <w:r>
        <w:rPr>
          <w:b/>
          <w:bCs/>
        </w:rPr>
        <w:t xml:space="preserve">Components:</w:t>
      </w:r>
      <w:r>
        <w:t xml:space="preserve"> </w:t>
      </w:r>
      <w:r>
        <w:t xml:space="preserve">Buttons should have rounded corners, clear hover states and accessible focus indicators. Forms should use minimal borders, clear labels and ample white space. Accordions and modals must be keyboard accessible.</w:t>
      </w:r>
    </w:p>
    <w:p>
      <w:pPr>
        <w:pStyle w:val="BodyText"/>
      </w:pPr>
      <w:r>
        <w:rPr>
          <w:b/>
          <w:bCs/>
        </w:rPr>
        <w:t xml:space="preserve">Visual accents:</w:t>
      </w:r>
      <w:r>
        <w:t xml:space="preserve"> </w:t>
      </w:r>
      <w:r>
        <w:t xml:space="preserve">Use subtle shadows and rounded cards to lift elements without overwhelming the page. Avoid flashy animations; any motion should be purposeful and optional.</w:t>
      </w:r>
    </w:p>
    <w:p>
      <w:pPr>
        <w:pStyle w:val="BodyText"/>
      </w:pPr>
      <w:r>
        <w:rPr>
          <w:b/>
          <w:bCs/>
        </w:rPr>
        <w:t xml:space="preserve">Tone:</w:t>
      </w:r>
      <w:r>
        <w:t xml:space="preserve"> </w:t>
      </w:r>
      <w:r>
        <w:t xml:space="preserve">The overall mood should be gentle and reflective, encouraging self‑discovery without feeling clinical or evangelical.</w:t>
      </w:r>
    </w:p>
    <w:bookmarkEnd w:id="32"/>
    <w:bookmarkStart w:id="33" w:name="do-and-donot-examples"/>
    <w:p>
      <w:pPr>
        <w:pStyle w:val="Heading2"/>
      </w:pPr>
      <w:r>
        <w:t xml:space="preserve">12. Do and Do‑Not Examples</w:t>
      </w:r>
    </w:p>
    <w:p>
      <w:pPr>
        <w:pStyle w:val="FirstParagraph"/>
      </w:pPr>
      <w:r>
        <w:rPr>
          <w:b/>
          <w:bCs/>
        </w:rPr>
        <w:t xml:space="preserve">Do</w:t>
      </w:r>
    </w:p>
    <w:p>
      <w:pPr>
        <w:pStyle w:val="Compact"/>
        <w:numPr>
          <w:ilvl w:val="0"/>
          <w:numId w:val="1002"/>
        </w:numPr>
      </w:pPr>
      <w:r>
        <w:t xml:space="preserve">Use warm, muted colours and high‑contrast text.</w:t>
      </w:r>
    </w:p>
    <w:p>
      <w:pPr>
        <w:pStyle w:val="Compact"/>
        <w:numPr>
          <w:ilvl w:val="0"/>
          <w:numId w:val="1002"/>
        </w:numPr>
      </w:pPr>
      <w:r>
        <w:t xml:space="preserve">Incorporate simple geometric shapes and line icons that echo growth and forward movement.</w:t>
      </w:r>
    </w:p>
    <w:p>
      <w:pPr>
        <w:pStyle w:val="Compact"/>
        <w:numPr>
          <w:ilvl w:val="0"/>
          <w:numId w:val="1002"/>
        </w:numPr>
      </w:pPr>
      <w:r>
        <w:t xml:space="preserve">Provide generous white space and clear visual hierarchy.</w:t>
      </w:r>
    </w:p>
    <w:p>
      <w:pPr>
        <w:pStyle w:val="Compact"/>
        <w:numPr>
          <w:ilvl w:val="0"/>
          <w:numId w:val="1002"/>
        </w:numPr>
      </w:pPr>
      <w:r>
        <w:t xml:space="preserve">Show fictional sample data in mockups and exclude any sensitive or personal information.</w:t>
      </w:r>
    </w:p>
    <w:p>
      <w:pPr>
        <w:pStyle w:val="Compact"/>
        <w:numPr>
          <w:ilvl w:val="0"/>
          <w:numId w:val="1002"/>
        </w:numPr>
      </w:pPr>
      <w:r>
        <w:t xml:space="preserve">Use inclusive, non‑stereotypical illustrations representing diverse users.</w:t>
      </w:r>
    </w:p>
    <w:p>
      <w:pPr>
        <w:pStyle w:val="Compact"/>
        <w:numPr>
          <w:ilvl w:val="0"/>
          <w:numId w:val="1002"/>
        </w:numPr>
      </w:pPr>
      <w:r>
        <w:t xml:space="preserve">Maintain consistent stroke widths, corner radii and alignments across all assets.</w:t>
      </w:r>
    </w:p>
    <w:p>
      <w:pPr>
        <w:pStyle w:val="FirstParagraph"/>
      </w:pPr>
      <w:r>
        <w:rPr>
          <w:b/>
          <w:bCs/>
        </w:rPr>
        <w:t xml:space="preserve">Do Not</w:t>
      </w:r>
    </w:p>
    <w:p>
      <w:pPr>
        <w:pStyle w:val="Compact"/>
        <w:numPr>
          <w:ilvl w:val="0"/>
          <w:numId w:val="1003"/>
        </w:numPr>
      </w:pPr>
      <w:r>
        <w:t xml:space="preserve">Do not use clinical blue/white palettes or hospital‑style iconography.</w:t>
      </w:r>
    </w:p>
    <w:p>
      <w:pPr>
        <w:pStyle w:val="Compact"/>
        <w:numPr>
          <w:ilvl w:val="0"/>
          <w:numId w:val="1003"/>
        </w:numPr>
      </w:pPr>
      <w:r>
        <w:t xml:space="preserve">Do not include neon cyberpunk or high‑saturation gradients.</w:t>
      </w:r>
    </w:p>
    <w:p>
      <w:pPr>
        <w:pStyle w:val="Compact"/>
        <w:numPr>
          <w:ilvl w:val="0"/>
          <w:numId w:val="1003"/>
        </w:numPr>
      </w:pPr>
      <w:r>
        <w:t xml:space="preserve">Do not lean into guru/spiritual over‑promising or “hustle‑bro” productivity tropes.</w:t>
      </w:r>
    </w:p>
    <w:p>
      <w:pPr>
        <w:pStyle w:val="Compact"/>
        <w:numPr>
          <w:ilvl w:val="0"/>
          <w:numId w:val="1003"/>
        </w:numPr>
      </w:pPr>
      <w:r>
        <w:t xml:space="preserve">Do not depict therapy sessions, medical procedures or crisis scenarios.</w:t>
      </w:r>
    </w:p>
    <w:p>
      <w:pPr>
        <w:pStyle w:val="Compact"/>
        <w:numPr>
          <w:ilvl w:val="0"/>
          <w:numId w:val="1003"/>
        </w:numPr>
      </w:pPr>
      <w:r>
        <w:t xml:space="preserve">Do not rely on generic SaaS icon sets or mismatched visual styles.</w:t>
      </w:r>
    </w:p>
    <w:p>
      <w:pPr>
        <w:pStyle w:val="Compact"/>
        <w:numPr>
          <w:ilvl w:val="0"/>
          <w:numId w:val="1003"/>
        </w:numPr>
      </w:pPr>
      <w:r>
        <w:t xml:space="preserve">Do not overuse animations or visual noise that distracts from the content.</w:t>
      </w:r>
    </w:p>
    <w:bookmarkEnd w:id="33"/>
    <w:bookmarkStart w:id="34" w:name="accessibility-requirements"/>
    <w:p>
      <w:pPr>
        <w:pStyle w:val="Heading2"/>
      </w:pPr>
      <w:r>
        <w:t xml:space="preserve">13. Accessibility Requirements</w:t>
      </w:r>
    </w:p>
    <w:p>
      <w:pPr>
        <w:pStyle w:val="FirstParagraph"/>
      </w:pPr>
      <w:r>
        <w:rPr>
          <w:b/>
          <w:bCs/>
        </w:rPr>
        <w:t xml:space="preserve">Colour contrast:</w:t>
      </w:r>
      <w:r>
        <w:t xml:space="preserve"> </w:t>
      </w:r>
      <w:r>
        <w:t xml:space="preserve">Ensure that primary text and interactive elements have at least a</w:t>
      </w:r>
      <w:r>
        <w:t xml:space="preserve"> </w:t>
      </w:r>
      <w:r>
        <w:rPr>
          <w:b/>
          <w:bCs/>
        </w:rPr>
        <w:t xml:space="preserve">4.5:1 contrast ratio</w:t>
      </w:r>
      <w:r>
        <w:t xml:space="preserve"> </w:t>
      </w:r>
      <w:r>
        <w:t xml:space="preserve">against their backgrounds to meet WCAG AA standards.</w:t>
      </w:r>
    </w:p>
    <w:p>
      <w:pPr>
        <w:pStyle w:val="BodyText"/>
      </w:pPr>
      <w:r>
        <w:rPr>
          <w:b/>
          <w:bCs/>
        </w:rPr>
        <w:t xml:space="preserve">Typography:</w:t>
      </w:r>
      <w:r>
        <w:t xml:space="preserve"> </w:t>
      </w:r>
      <w:r>
        <w:t xml:space="preserve">Minimum font size of</w:t>
      </w:r>
      <w:r>
        <w:t xml:space="preserve"> </w:t>
      </w:r>
      <w:r>
        <w:rPr>
          <w:b/>
          <w:bCs/>
        </w:rPr>
        <w:t xml:space="preserve">16 px</w:t>
      </w:r>
      <w:r>
        <w:t xml:space="preserve"> </w:t>
      </w:r>
      <w:r>
        <w:t xml:space="preserve">on desktop; avoid using text as images. Provide sufficient line height and letter spacing to aid readability.</w:t>
      </w:r>
    </w:p>
    <w:p>
      <w:pPr>
        <w:pStyle w:val="BodyText"/>
      </w:pPr>
      <w:r>
        <w:rPr>
          <w:b/>
          <w:bCs/>
        </w:rPr>
        <w:t xml:space="preserve">Alt text:</w:t>
      </w:r>
      <w:r>
        <w:t xml:space="preserve"> </w:t>
      </w:r>
      <w:r>
        <w:t xml:space="preserve">Write meaningful alt text for all images and icons. Use empty alt attributes for decorative images.</w:t>
      </w:r>
    </w:p>
    <w:p>
      <w:pPr>
        <w:pStyle w:val="BodyText"/>
      </w:pPr>
      <w:r>
        <w:rPr>
          <w:b/>
          <w:bCs/>
        </w:rPr>
        <w:t xml:space="preserve">Keyboard navigation:</w:t>
      </w:r>
      <w:r>
        <w:t xml:space="preserve"> </w:t>
      </w:r>
      <w:r>
        <w:t xml:space="preserve">All interactive components (links, buttons, accordions, form fields) must be reachable and operable via keyboard. Provide visible focus indicators.</w:t>
      </w:r>
    </w:p>
    <w:p>
      <w:pPr>
        <w:pStyle w:val="BodyText"/>
      </w:pPr>
      <w:r>
        <w:rPr>
          <w:b/>
          <w:bCs/>
        </w:rPr>
        <w:t xml:space="preserve">ARIA roles and labels:</w:t>
      </w:r>
      <w:r>
        <w:t xml:space="preserve"> </w:t>
      </w:r>
      <w:r>
        <w:t xml:space="preserve">Use appropriate ARIA attributes to aid screen readers (e.g.,</w:t>
      </w:r>
      <w:r>
        <w:t xml:space="preserve"> </w:t>
      </w:r>
      <w:r>
        <w:rPr>
          <w:rStyle w:val="VerbatimChar"/>
        </w:rPr>
        <w:t xml:space="preserve">aria-expanded</w:t>
      </w:r>
      <w:r>
        <w:t xml:space="preserve"> </w:t>
      </w:r>
      <w:r>
        <w:t xml:space="preserve">on accordion toggles,</w:t>
      </w:r>
      <w:r>
        <w:t xml:space="preserve"> </w:t>
      </w:r>
      <w:r>
        <w:rPr>
          <w:rStyle w:val="VerbatimChar"/>
        </w:rPr>
        <w:t xml:space="preserve">role="button"</w:t>
      </w:r>
      <w:r>
        <w:t xml:space="preserve"> </w:t>
      </w:r>
      <w:r>
        <w:t xml:space="preserve">on clickable elements). Avoid unnecessary ARIA where native elements suffice.</w:t>
      </w:r>
    </w:p>
    <w:p>
      <w:pPr>
        <w:pStyle w:val="BodyText"/>
      </w:pPr>
      <w:r>
        <w:rPr>
          <w:b/>
          <w:bCs/>
        </w:rPr>
        <w:t xml:space="preserve">Motion:</w:t>
      </w:r>
      <w:r>
        <w:t xml:space="preserve"> </w:t>
      </w:r>
      <w:r>
        <w:t xml:space="preserve">Minimise motion; provide controls to disable animations for users with vestibular sensitivities. Any transitions should be subtle and not required for comprehension.</w:t>
      </w:r>
    </w:p>
    <w:bookmarkEnd w:id="34"/>
    <w:bookmarkStart w:id="35" w:name="required-output-assets"/>
    <w:p>
      <w:pPr>
        <w:pStyle w:val="Heading2"/>
      </w:pPr>
      <w:r>
        <w:t xml:space="preserve">14. Required Output Assets</w:t>
      </w:r>
    </w:p>
    <w:p>
      <w:pPr>
        <w:pStyle w:val="FirstParagraph"/>
      </w:pPr>
      <w:r>
        <w:t xml:space="preserve">The following deliverables should be produced once the brand identity is finalised (not part of this brief’s approval):</w:t>
      </w:r>
    </w:p>
    <w:p>
      <w:pPr>
        <w:pStyle w:val="Compact"/>
        <w:numPr>
          <w:ilvl w:val="0"/>
          <w:numId w:val="1004"/>
        </w:numPr>
      </w:pPr>
      <w:r>
        <w:rPr>
          <w:b/>
          <w:bCs/>
        </w:rPr>
        <w:t xml:space="preserve">Primary logo</w:t>
      </w:r>
      <w:r>
        <w:t xml:space="preserve"> </w:t>
      </w:r>
      <w:r>
        <w:t xml:space="preserve">(horizontal and stacked) in vector (.svg) and raster (.png) formats.</w:t>
      </w:r>
    </w:p>
    <w:p>
      <w:pPr>
        <w:pStyle w:val="Compact"/>
        <w:numPr>
          <w:ilvl w:val="0"/>
          <w:numId w:val="1004"/>
        </w:numPr>
      </w:pPr>
      <w:r>
        <w:rPr>
          <w:b/>
          <w:bCs/>
        </w:rPr>
        <w:t xml:space="preserve">Logomark alone</w:t>
      </w:r>
      <w:r>
        <w:t xml:space="preserve"> </w:t>
      </w:r>
      <w:r>
        <w:t xml:space="preserve">for app icons, avatars and favicons.</w:t>
      </w:r>
    </w:p>
    <w:p>
      <w:pPr>
        <w:pStyle w:val="Compact"/>
        <w:numPr>
          <w:ilvl w:val="0"/>
          <w:numId w:val="1004"/>
        </w:numPr>
      </w:pPr>
      <w:r>
        <w:rPr>
          <w:b/>
          <w:bCs/>
        </w:rPr>
        <w:t xml:space="preserve">Wordmark alone</w:t>
      </w:r>
      <w:r>
        <w:t xml:space="preserve"> </w:t>
      </w:r>
      <w:r>
        <w:t xml:space="preserve">for situations where the symbol is omitted.</w:t>
      </w:r>
    </w:p>
    <w:p>
      <w:pPr>
        <w:pStyle w:val="Compact"/>
        <w:numPr>
          <w:ilvl w:val="0"/>
          <w:numId w:val="1004"/>
        </w:numPr>
      </w:pPr>
      <w:r>
        <w:rPr>
          <w:b/>
          <w:bCs/>
        </w:rPr>
        <w:t xml:space="preserve">Colour palette swatches</w:t>
      </w:r>
      <w:r>
        <w:t xml:space="preserve"> </w:t>
      </w:r>
      <w:r>
        <w:t xml:space="preserve">with hex, RGB and accessibility contrast values.</w:t>
      </w:r>
    </w:p>
    <w:p>
      <w:pPr>
        <w:pStyle w:val="Compact"/>
        <w:numPr>
          <w:ilvl w:val="0"/>
          <w:numId w:val="1004"/>
        </w:numPr>
      </w:pPr>
      <w:r>
        <w:rPr>
          <w:b/>
          <w:bCs/>
        </w:rPr>
        <w:t xml:space="preserve">Typography guidelines</w:t>
      </w:r>
      <w:r>
        <w:t xml:space="preserve"> </w:t>
      </w:r>
      <w:r>
        <w:t xml:space="preserve">including font files or links, sizes, weights and usage examples.</w:t>
      </w:r>
    </w:p>
    <w:p>
      <w:pPr>
        <w:pStyle w:val="Compact"/>
        <w:numPr>
          <w:ilvl w:val="0"/>
          <w:numId w:val="1004"/>
        </w:numPr>
      </w:pPr>
      <w:r>
        <w:rPr>
          <w:b/>
          <w:bCs/>
        </w:rPr>
        <w:t xml:space="preserve">Icon set</w:t>
      </w:r>
      <w:r>
        <w:t xml:space="preserve"> </w:t>
      </w:r>
      <w:r>
        <w:t xml:space="preserve">covering the key features and common actions (e.g., questions, memory, decision, plan, capture, support, privacy, settings).</w:t>
      </w:r>
    </w:p>
    <w:p>
      <w:pPr>
        <w:pStyle w:val="Compact"/>
        <w:numPr>
          <w:ilvl w:val="0"/>
          <w:numId w:val="1004"/>
        </w:numPr>
      </w:pPr>
      <w:r>
        <w:rPr>
          <w:b/>
          <w:bCs/>
        </w:rPr>
        <w:t xml:space="preserve">Illustration assets</w:t>
      </w:r>
      <w:r>
        <w:t xml:space="preserve"> </w:t>
      </w:r>
      <w:r>
        <w:t xml:space="preserve">or art direction files for hero sections, problem/solution visuals and product previews.</w:t>
      </w:r>
    </w:p>
    <w:bookmarkEnd w:id="35"/>
    <w:bookmarkStart w:id="36" w:name="acceptance-criteria"/>
    <w:p>
      <w:pPr>
        <w:pStyle w:val="Heading2"/>
      </w:pPr>
      <w:r>
        <w:t xml:space="preserve">Acceptance Criteria</w:t>
      </w:r>
    </w:p>
    <w:p>
      <w:pPr>
        <w:pStyle w:val="FirstParagraph"/>
      </w:pPr>
      <w:r>
        <w:t xml:space="preserve">The brand identity brief is considered complete when:</w:t>
      </w:r>
    </w:p>
    <w:p>
      <w:pPr>
        <w:pStyle w:val="Compact"/>
        <w:numPr>
          <w:ilvl w:val="0"/>
          <w:numId w:val="1005"/>
        </w:numPr>
      </w:pPr>
      <w:r>
        <w:t xml:space="preserve">The brand overview accurately describes the product’s purpose, audience and non‑clinical positioning.</w:t>
      </w:r>
    </w:p>
    <w:p>
      <w:pPr>
        <w:pStyle w:val="Compact"/>
        <w:numPr>
          <w:ilvl w:val="0"/>
          <w:numId w:val="1005"/>
        </w:numPr>
      </w:pPr>
      <w:r>
        <w:t xml:space="preserve">Visual direction conveys premium personal growth, calm AI and privacy without clinical or cyberpunk overtones.</w:t>
      </w:r>
    </w:p>
    <w:p>
      <w:pPr>
        <w:pStyle w:val="Compact"/>
        <w:numPr>
          <w:ilvl w:val="0"/>
          <w:numId w:val="1005"/>
        </w:numPr>
      </w:pPr>
      <w:r>
        <w:t xml:space="preserve">Logo, wordmark, app icon and favicon requirements provide clear guidance on concept, form, colour and usage.</w:t>
      </w:r>
    </w:p>
    <w:p>
      <w:pPr>
        <w:pStyle w:val="Compact"/>
        <w:numPr>
          <w:ilvl w:val="0"/>
          <w:numId w:val="1005"/>
        </w:numPr>
      </w:pPr>
      <w:r>
        <w:t xml:space="preserve">Colour palette and typography guidelines meet accessibility standards and align with the mood.</w:t>
      </w:r>
    </w:p>
    <w:p>
      <w:pPr>
        <w:pStyle w:val="Compact"/>
        <w:numPr>
          <w:ilvl w:val="0"/>
          <w:numId w:val="1005"/>
        </w:numPr>
      </w:pPr>
      <w:r>
        <w:t xml:space="preserve">Icon, illustration and UI component directions ensure consistency, inclusivity and readability.</w:t>
      </w:r>
    </w:p>
    <w:p>
      <w:pPr>
        <w:pStyle w:val="Compact"/>
        <w:numPr>
          <w:ilvl w:val="0"/>
          <w:numId w:val="1005"/>
        </w:numPr>
      </w:pPr>
      <w:r>
        <w:t xml:space="preserve">Do and do‑not examples clearly distinguish acceptable and unacceptable visual approaches.</w:t>
      </w:r>
    </w:p>
    <w:p>
      <w:pPr>
        <w:pStyle w:val="Compact"/>
        <w:numPr>
          <w:ilvl w:val="0"/>
          <w:numId w:val="1005"/>
        </w:numPr>
      </w:pPr>
      <w:r>
        <w:t xml:space="preserve">Accessibility requirements address contrast, typography, alt text, keyboard navigation, ARIA and motion.</w:t>
      </w:r>
    </w:p>
    <w:p>
      <w:pPr>
        <w:pStyle w:val="Compact"/>
        <w:numPr>
          <w:ilvl w:val="0"/>
          <w:numId w:val="1005"/>
        </w:numPr>
      </w:pPr>
      <w:r>
        <w:t xml:space="preserve">Required output assets are itemised for future design work.</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2026-05-31T06:27:14Z</dcterms:created>
  <dcterms:modified xsi:type="dcterms:W3CDTF">2026-05-31T06:27:14Z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