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becomingos-final-product-specification"/>
    <w:p>
      <w:pPr>
        <w:pStyle w:val="Heading1"/>
      </w:pPr>
      <w:r>
        <w:t xml:space="preserve">BecomingOS Final Product Specification</w:t>
      </w:r>
    </w:p>
    <w:bookmarkStart w:id="21" w:name="product-name-stage"/>
    <w:p>
      <w:pPr>
        <w:pStyle w:val="Heading2"/>
      </w:pPr>
      <w:r>
        <w:t xml:space="preserve">1. Product Name &amp; Stage</w:t>
      </w:r>
    </w:p>
    <w:p>
      <w:pPr>
        <w:pStyle w:val="Compact"/>
        <w:numPr>
          <w:ilvl w:val="0"/>
          <w:numId w:val="1001"/>
        </w:numPr>
      </w:pPr>
      <w:r>
        <w:rPr>
          <w:b/>
          <w:bCs/>
        </w:rPr>
        <w:t xml:space="preserve">Name</w:t>
      </w:r>
      <w:r>
        <w:t xml:space="preserve">:</w:t>
      </w:r>
      <w:r>
        <w:t xml:space="preserve"> </w:t>
      </w:r>
      <w:r>
        <w:rPr>
          <w:b/>
          <w:bCs/>
        </w:rPr>
        <w:t xml:space="preserve">BecomingOS</w:t>
      </w:r>
      <w:r>
        <w:t xml:space="preserve"> </w:t>
      </w:r>
      <w:r>
        <w:t xml:space="preserve">(the external product name). The internal repository alias remains</w:t>
      </w:r>
      <w:r>
        <w:t xml:space="preserve"> </w:t>
      </w:r>
      <w:r>
        <w:rPr>
          <w:i/>
          <w:iCs/>
        </w:rPr>
        <w:t xml:space="preserve">lifeOS</w:t>
      </w:r>
      <w:r>
        <w:t xml:space="preserve"> </w:t>
      </w:r>
      <w:r>
        <w:t xml:space="preserve">but is treated as a historical/project identifier rather than the marketed name.</w:t>
      </w:r>
    </w:p>
    <w:p>
      <w:pPr>
        <w:pStyle w:val="Compact"/>
        <w:numPr>
          <w:ilvl w:val="0"/>
          <w:numId w:val="1001"/>
        </w:numPr>
      </w:pPr>
      <w:r>
        <w:rPr>
          <w:b/>
          <w:bCs/>
        </w:rPr>
        <w:t xml:space="preserve">Stage</w:t>
      </w:r>
      <w:r>
        <w:t xml:space="preserve">:</w:t>
      </w:r>
      <w:r>
        <w:t xml:space="preserve"> </w:t>
      </w:r>
      <w:r>
        <w:rPr>
          <w:b/>
          <w:bCs/>
        </w:rPr>
        <w:t xml:space="preserve">Pre‑MVP with limited private beta</w:t>
      </w:r>
      <w:r>
        <w:t xml:space="preserve">. The core specification remains conceptual and no public build is authorised. However, the plan now includes a small beta test with real data for a trusted group of participants who have provided explicit consent. All implementation‑adjacent files remain evidence and planning artefacts.</w:t>
      </w:r>
    </w:p>
    <w:p>
      <w:pPr>
        <w:pStyle w:val="Compact"/>
        <w:numPr>
          <w:ilvl w:val="0"/>
          <w:numId w:val="1001"/>
        </w:numPr>
      </w:pPr>
      <w:r>
        <w:rPr>
          <w:b/>
          <w:bCs/>
        </w:rPr>
        <w:t xml:space="preserve">Purpose</w:t>
      </w:r>
      <w:r>
        <w:t xml:space="preserve">: Provide a clear blueprint for the vision, features, research requirements and governance needed to move from concept to validated prototype.</w:t>
      </w:r>
    </w:p>
    <w:bookmarkEnd w:id="21"/>
    <w:bookmarkStart w:id="22" w:name="vision-principles"/>
    <w:p>
      <w:pPr>
        <w:pStyle w:val="Heading2"/>
      </w:pPr>
      <w:r>
        <w:t xml:space="preserve">2. Vision &amp; Principles</w:t>
      </w:r>
    </w:p>
    <w:p>
      <w:pPr>
        <w:pStyle w:val="FirstParagraph"/>
      </w:pPr>
      <w:r>
        <w:t xml:space="preserve">BecomingOS aims to</w:t>
      </w:r>
      <w:r>
        <w:t xml:space="preserve"> </w:t>
      </w:r>
      <w:r>
        <w:rPr>
          <w:b/>
          <w:bCs/>
        </w:rPr>
        <w:t xml:space="preserve">help users build the future version of themselves</w:t>
      </w:r>
      <w:r>
        <w:t xml:space="preserve">. It acts as a personalised AI operating system that learns about a person’s values, goals, responsibilities, habits, relationships and memories, and then uses that context to help them plan their time and make decisions aligned with who they want to become.</w:t>
      </w:r>
    </w:p>
    <w:p>
      <w:pPr>
        <w:pStyle w:val="BodyText"/>
      </w:pPr>
      <w:r>
        <w:t xml:space="preserve">Key principles:</w:t>
      </w:r>
    </w:p>
    <w:p>
      <w:pPr>
        <w:pStyle w:val="Compact"/>
        <w:numPr>
          <w:ilvl w:val="0"/>
          <w:numId w:val="1002"/>
        </w:numPr>
      </w:pPr>
      <w:r>
        <w:rPr>
          <w:b/>
          <w:bCs/>
        </w:rPr>
        <w:t xml:space="preserve">Non‑clinical</w:t>
      </w:r>
      <w:r>
        <w:t xml:space="preserve">: BecomingOS is for reflection and planning, not therapy, diagnosis or crisis intervention. It offers educational support and self‑management tools only.</w:t>
      </w:r>
    </w:p>
    <w:p>
      <w:pPr>
        <w:pStyle w:val="Compact"/>
        <w:numPr>
          <w:ilvl w:val="0"/>
          <w:numId w:val="1002"/>
        </w:numPr>
      </w:pPr>
      <w:r>
        <w:rPr>
          <w:b/>
          <w:bCs/>
        </w:rPr>
        <w:t xml:space="preserve">Privacy &amp; consent</w:t>
      </w:r>
      <w:r>
        <w:t xml:space="preserve">: Users decide what to provide. Information is collected with clear explanations, stored minimally, and can be edited or deleted. Rejected or deleted items are not used by the AI.</w:t>
      </w:r>
    </w:p>
    <w:p>
      <w:pPr>
        <w:pStyle w:val="Compact"/>
        <w:numPr>
          <w:ilvl w:val="0"/>
          <w:numId w:val="1002"/>
        </w:numPr>
      </w:pPr>
      <w:r>
        <w:rPr>
          <w:b/>
          <w:bCs/>
        </w:rPr>
        <w:t xml:space="preserve">Transparency</w:t>
      </w:r>
      <w:r>
        <w:t xml:space="preserve">: AI recommendations cite which user context influenced the answer. Nothing becomes a durable memory without user confirmation.</w:t>
      </w:r>
    </w:p>
    <w:p>
      <w:pPr>
        <w:pStyle w:val="Compact"/>
        <w:numPr>
          <w:ilvl w:val="0"/>
          <w:numId w:val="1002"/>
        </w:numPr>
      </w:pPr>
      <w:r>
        <w:rPr>
          <w:b/>
          <w:bCs/>
        </w:rPr>
        <w:t xml:space="preserve">Accessibility</w:t>
      </w:r>
      <w:r>
        <w:t xml:space="preserve">: Design to WCAG 2.2 AA standards and incorporate cognitive and emotional‑safety checks. Support screen readers, keyboard navigation, high‑contrast modes and adjustable text sizes.</w:t>
      </w:r>
    </w:p>
    <w:bookmarkEnd w:id="22"/>
    <w:bookmarkStart w:id="23" w:name="user-needs-goals"/>
    <w:p>
      <w:pPr>
        <w:pStyle w:val="Heading2"/>
      </w:pPr>
      <w:r>
        <w:t xml:space="preserve">3. User Needs &amp; Goals</w:t>
      </w:r>
    </w:p>
    <w:p>
      <w:pPr>
        <w:pStyle w:val="FirstParagraph"/>
      </w:pPr>
      <w:r>
        <w:t xml:space="preserve">Users of BecomingOS want to:</w:t>
      </w:r>
    </w:p>
    <w:p>
      <w:pPr>
        <w:pStyle w:val="Compact"/>
        <w:numPr>
          <w:ilvl w:val="0"/>
          <w:numId w:val="1003"/>
        </w:numPr>
      </w:pPr>
      <w:r>
        <w:rPr>
          <w:b/>
          <w:bCs/>
        </w:rPr>
        <w:t xml:space="preserve">Understand themselves</w:t>
      </w:r>
      <w:r>
        <w:t xml:space="preserve"> </w:t>
      </w:r>
      <w:r>
        <w:t xml:space="preserve">– identify their strengths, weaknesses, values, priorities, goals, habits, triggers and patterns.</w:t>
      </w:r>
    </w:p>
    <w:p>
      <w:pPr>
        <w:pStyle w:val="Compact"/>
        <w:numPr>
          <w:ilvl w:val="0"/>
          <w:numId w:val="1003"/>
        </w:numPr>
      </w:pPr>
      <w:r>
        <w:rPr>
          <w:b/>
          <w:bCs/>
        </w:rPr>
        <w:t xml:space="preserve">Plan their time</w:t>
      </w:r>
      <w:r>
        <w:t xml:space="preserve"> </w:t>
      </w:r>
      <w:r>
        <w:t xml:space="preserve">– align daily actions with what matters, balancing work, family, health, relationships and personal growth.</w:t>
      </w:r>
    </w:p>
    <w:p>
      <w:pPr>
        <w:pStyle w:val="Compact"/>
        <w:numPr>
          <w:ilvl w:val="0"/>
          <w:numId w:val="1003"/>
        </w:numPr>
      </w:pPr>
      <w:r>
        <w:rPr>
          <w:b/>
          <w:bCs/>
        </w:rPr>
        <w:t xml:space="preserve">Make better decisions</w:t>
      </w:r>
      <w:r>
        <w:t xml:space="preserve"> </w:t>
      </w:r>
      <w:r>
        <w:t xml:space="preserve">– obtain personalised guidance and trade‑offs for everyday choices about work, spending, health, relationships and commitments.</w:t>
      </w:r>
    </w:p>
    <w:p>
      <w:pPr>
        <w:pStyle w:val="Compact"/>
        <w:numPr>
          <w:ilvl w:val="0"/>
          <w:numId w:val="1003"/>
        </w:numPr>
      </w:pPr>
      <w:r>
        <w:rPr>
          <w:b/>
          <w:bCs/>
        </w:rPr>
        <w:t xml:space="preserve">Stay accountable</w:t>
      </w:r>
      <w:r>
        <w:t xml:space="preserve"> </w:t>
      </w:r>
      <w:r>
        <w:t xml:space="preserve">– keep promises to themselves and others, with support from trusted contacts when needed.</w:t>
      </w:r>
    </w:p>
    <w:p>
      <w:pPr>
        <w:pStyle w:val="Compact"/>
        <w:numPr>
          <w:ilvl w:val="0"/>
          <w:numId w:val="1003"/>
        </w:numPr>
      </w:pPr>
      <w:r>
        <w:rPr>
          <w:b/>
          <w:bCs/>
        </w:rPr>
        <w:t xml:space="preserve">Manage complexity</w:t>
      </w:r>
      <w:r>
        <w:t xml:space="preserve"> </w:t>
      </w:r>
      <w:r>
        <w:t xml:space="preserve">– unify calendars, tasks, health signals and life events into one coherent view to avoid overwhelm.</w:t>
      </w:r>
    </w:p>
    <w:bookmarkEnd w:id="23"/>
    <w:bookmarkStart w:id="32" w:name="core-product-pillars"/>
    <w:p>
      <w:pPr>
        <w:pStyle w:val="Heading2"/>
      </w:pPr>
      <w:r>
        <w:t xml:space="preserve">4. Core Product Pillars</w:t>
      </w:r>
    </w:p>
    <w:bookmarkStart w:id="24" w:name="selfdiscovery-journey"/>
    <w:p>
      <w:pPr>
        <w:pStyle w:val="Heading3"/>
      </w:pPr>
      <w:r>
        <w:t xml:space="preserve">4.1 Self‑Discovery Journey</w:t>
      </w:r>
    </w:p>
    <w:p>
      <w:pPr>
        <w:pStyle w:val="FirstParagraph"/>
      </w:pPr>
      <w:r>
        <w:t xml:space="preserve">A guided experience of modules that capture identity, values, morals, priorities, goals, responsibilities, strengths, weaknesses, habits, patterns, relationships, triggers, fears, regrets, aspirations and life events. Modules should use varied question formats to keep engagement high:</w:t>
      </w:r>
    </w:p>
    <w:p>
      <w:pPr>
        <w:pStyle w:val="Compact"/>
        <w:numPr>
          <w:ilvl w:val="0"/>
          <w:numId w:val="1004"/>
        </w:numPr>
      </w:pPr>
      <w:r>
        <w:rPr>
          <w:b/>
          <w:bCs/>
        </w:rPr>
        <w:t xml:space="preserve">Multiple choice</w:t>
      </w:r>
      <w:r>
        <w:t xml:space="preserve"> </w:t>
      </w:r>
      <w:r>
        <w:t xml:space="preserve">for values, preferences and priorities.</w:t>
      </w:r>
    </w:p>
    <w:p>
      <w:pPr>
        <w:pStyle w:val="Compact"/>
        <w:numPr>
          <w:ilvl w:val="0"/>
          <w:numId w:val="1004"/>
        </w:numPr>
      </w:pPr>
      <w:r>
        <w:rPr>
          <w:b/>
          <w:bCs/>
        </w:rPr>
        <w:t xml:space="preserve">Sliding scales</w:t>
      </w:r>
      <w:r>
        <w:t xml:space="preserve"> </w:t>
      </w:r>
      <w:r>
        <w:t xml:space="preserve">for self‑assessments (e.g. commitment level, energy level).</w:t>
      </w:r>
    </w:p>
    <w:p>
      <w:pPr>
        <w:pStyle w:val="Compact"/>
        <w:numPr>
          <w:ilvl w:val="0"/>
          <w:numId w:val="1004"/>
        </w:numPr>
      </w:pPr>
      <w:r>
        <w:rPr>
          <w:b/>
          <w:bCs/>
        </w:rPr>
        <w:t xml:space="preserve">Ranking</w:t>
      </w:r>
      <w:r>
        <w:t xml:space="preserve"> </w:t>
      </w:r>
      <w:r>
        <w:t xml:space="preserve">to prioritise top goals or areas of focus.</w:t>
      </w:r>
    </w:p>
    <w:p>
      <w:pPr>
        <w:pStyle w:val="Compact"/>
        <w:numPr>
          <w:ilvl w:val="0"/>
          <w:numId w:val="1004"/>
        </w:numPr>
      </w:pPr>
      <w:r>
        <w:rPr>
          <w:b/>
          <w:bCs/>
        </w:rPr>
        <w:t xml:space="preserve">Free‑writing prompts</w:t>
      </w:r>
      <w:r>
        <w:t xml:space="preserve"> </w:t>
      </w:r>
      <w:r>
        <w:t xml:space="preserve">for reflective stories and emotions.</w:t>
      </w:r>
    </w:p>
    <w:p>
      <w:pPr>
        <w:pStyle w:val="Compact"/>
        <w:numPr>
          <w:ilvl w:val="0"/>
          <w:numId w:val="1004"/>
        </w:numPr>
      </w:pPr>
      <w:r>
        <w:rPr>
          <w:b/>
          <w:bCs/>
        </w:rPr>
        <w:t xml:space="preserve">Scenario‑based questions</w:t>
      </w:r>
      <w:r>
        <w:t xml:space="preserve"> </w:t>
      </w:r>
      <w:r>
        <w:t xml:space="preserve">to reveal decision tendencies and real‑world trade‑offs.</w:t>
      </w:r>
    </w:p>
    <w:bookmarkEnd w:id="24"/>
    <w:bookmarkStart w:id="25" w:name="memory-engine"/>
    <w:p>
      <w:pPr>
        <w:pStyle w:val="Heading3"/>
      </w:pPr>
      <w:r>
        <w:t xml:space="preserve">4.2 Memory Engine</w:t>
      </w:r>
    </w:p>
    <w:p>
      <w:pPr>
        <w:pStyle w:val="FirstParagraph"/>
      </w:pPr>
      <w:r>
        <w:t xml:space="preserve">A structured personal memory system that stores only</w:t>
      </w:r>
      <w:r>
        <w:t xml:space="preserve"> </w:t>
      </w:r>
      <w:r>
        <w:rPr>
          <w:b/>
          <w:bCs/>
        </w:rPr>
        <w:t xml:space="preserve">user‑approved</w:t>
      </w:r>
      <w:r>
        <w:t xml:space="preserve"> </w:t>
      </w:r>
      <w:r>
        <w:t xml:space="preserve">items, such as values, goals, commitments, risks, triggers, lessons learned and life events. Rejected or deleted items are never used in AI reasoning. Memory entries include metadata (date, context, category) and can be edited or removed at any time. Embeddings for retrieval are generated only for confirmed items and invalidated if the source is deleted or changed.</w:t>
      </w:r>
    </w:p>
    <w:bookmarkEnd w:id="25"/>
    <w:bookmarkStart w:id="26" w:name="future-self-builder"/>
    <w:p>
      <w:pPr>
        <w:pStyle w:val="Heading3"/>
      </w:pPr>
      <w:r>
        <w:t xml:space="preserve">4.3 Future Self Builder</w:t>
      </w:r>
    </w:p>
    <w:p>
      <w:pPr>
        <w:pStyle w:val="FirstParagraph"/>
      </w:pPr>
      <w:r>
        <w:t xml:space="preserve">After completing core modules, BecomingOS synthesises a</w:t>
      </w:r>
      <w:r>
        <w:t xml:space="preserve"> </w:t>
      </w:r>
      <w:r>
        <w:rPr>
          <w:b/>
          <w:bCs/>
        </w:rPr>
        <w:t xml:space="preserve">Future Self profile</w:t>
      </w:r>
      <w:r>
        <w:t xml:space="preserve">. This profile summarises the user’s chosen values, priorities, desired traits, goals, non‑negotiables and decision principles. The AI uses this profile to measure alignment when advising on decisions or plans, asking “Would your future self approve of this?”</w:t>
      </w:r>
    </w:p>
    <w:bookmarkEnd w:id="26"/>
    <w:bookmarkStart w:id="27" w:name="decision-engine"/>
    <w:p>
      <w:pPr>
        <w:pStyle w:val="Heading3"/>
      </w:pPr>
      <w:r>
        <w:t xml:space="preserve">4.4 Decision Engine</w:t>
      </w:r>
    </w:p>
    <w:p>
      <w:pPr>
        <w:pStyle w:val="FirstParagraph"/>
      </w:pPr>
      <w:r>
        <w:t xml:space="preserve">A personalised AI that uses the user’s memory, goals, values, priorities and current context to provide recommendations. Decision outputs include:</w:t>
      </w:r>
    </w:p>
    <w:p>
      <w:pPr>
        <w:pStyle w:val="Compact"/>
        <w:numPr>
          <w:ilvl w:val="0"/>
          <w:numId w:val="1005"/>
        </w:numPr>
      </w:pPr>
      <w:r>
        <w:t xml:space="preserve">A clear recommendation with an alignment score.</w:t>
      </w:r>
    </w:p>
    <w:p>
      <w:pPr>
        <w:pStyle w:val="Compact"/>
        <w:numPr>
          <w:ilvl w:val="0"/>
          <w:numId w:val="1005"/>
        </w:numPr>
      </w:pPr>
      <w:r>
        <w:t xml:space="preserve">The reasoning behind the recommendation, citing the user’s own context (e.g. “you marked family as a top priority”).</w:t>
      </w:r>
    </w:p>
    <w:p>
      <w:pPr>
        <w:pStyle w:val="Compact"/>
        <w:numPr>
          <w:ilvl w:val="0"/>
          <w:numId w:val="1005"/>
        </w:numPr>
      </w:pPr>
      <w:r>
        <w:t xml:space="preserve">A list of trade‑offs and potential downsides.</w:t>
      </w:r>
    </w:p>
    <w:p>
      <w:pPr>
        <w:pStyle w:val="Compact"/>
        <w:numPr>
          <w:ilvl w:val="0"/>
          <w:numId w:val="1005"/>
        </w:numPr>
      </w:pPr>
      <w:r>
        <w:t xml:space="preserve">A suggested next step.</w:t>
      </w:r>
    </w:p>
    <w:p>
      <w:pPr>
        <w:pStyle w:val="Compact"/>
        <w:numPr>
          <w:ilvl w:val="0"/>
          <w:numId w:val="1005"/>
        </w:numPr>
      </w:pPr>
      <w:r>
        <w:t xml:space="preserve">A prompt to mark the answer as accurate, partly accurate or wrong. The user can edit context to improve future responses.</w:t>
      </w:r>
    </w:p>
    <w:bookmarkEnd w:id="27"/>
    <w:bookmarkStart w:id="28" w:name="daily-plan-system"/>
    <w:p>
      <w:pPr>
        <w:pStyle w:val="Heading3"/>
      </w:pPr>
      <w:r>
        <w:t xml:space="preserve">4.5 Daily Plan System</w:t>
      </w:r>
    </w:p>
    <w:p>
      <w:pPr>
        <w:pStyle w:val="FirstParagraph"/>
      </w:pPr>
      <w:r>
        <w:t xml:space="preserve">An AI‑generated plan that balances the user’s work, health, family, personal and relationship commitments. It integrates with the user’s calendar and tasks (via approved phone or calendar connection) to schedule:</w:t>
      </w:r>
    </w:p>
    <w:p>
      <w:pPr>
        <w:pStyle w:val="Compact"/>
        <w:numPr>
          <w:ilvl w:val="0"/>
          <w:numId w:val="1006"/>
        </w:numPr>
      </w:pPr>
      <w:r>
        <w:t xml:space="preserve">Top priorities and must‑do tasks.</w:t>
      </w:r>
    </w:p>
    <w:p>
      <w:pPr>
        <w:pStyle w:val="Compact"/>
        <w:numPr>
          <w:ilvl w:val="0"/>
          <w:numId w:val="1006"/>
        </w:numPr>
      </w:pPr>
      <w:r>
        <w:t xml:space="preserve">Health and movement activities.</w:t>
      </w:r>
    </w:p>
    <w:p>
      <w:pPr>
        <w:pStyle w:val="Compact"/>
        <w:numPr>
          <w:ilvl w:val="0"/>
          <w:numId w:val="1006"/>
        </w:numPr>
      </w:pPr>
      <w:r>
        <w:t xml:space="preserve">Relationship and family time.</w:t>
      </w:r>
    </w:p>
    <w:p>
      <w:pPr>
        <w:pStyle w:val="Compact"/>
        <w:numPr>
          <w:ilvl w:val="0"/>
          <w:numId w:val="1006"/>
        </w:numPr>
      </w:pPr>
      <w:r>
        <w:t xml:space="preserve">Reflection and learning blocks.</w:t>
      </w:r>
    </w:p>
    <w:p>
      <w:pPr>
        <w:pStyle w:val="Compact"/>
        <w:numPr>
          <w:ilvl w:val="0"/>
          <w:numId w:val="1006"/>
        </w:numPr>
      </w:pPr>
      <w:r>
        <w:t xml:space="preserve">Free or flexible blocks.</w:t>
      </w:r>
    </w:p>
    <w:p>
      <w:pPr>
        <w:pStyle w:val="FirstParagraph"/>
      </w:pPr>
      <w:r>
        <w:t xml:space="preserve">Plans are adjustable by the user; the system offers end‑of‑day reviews to check what happened and capture lessons learned.</w:t>
      </w:r>
    </w:p>
    <w:bookmarkEnd w:id="28"/>
    <w:bookmarkStart w:id="29" w:name="life-signals-wearables-integration"/>
    <w:p>
      <w:pPr>
        <w:pStyle w:val="Heading3"/>
      </w:pPr>
      <w:r>
        <w:t xml:space="preserve">4.6 Life Signals &amp; Wearables Integration</w:t>
      </w:r>
    </w:p>
    <w:p>
      <w:pPr>
        <w:pStyle w:val="FirstParagraph"/>
      </w:pPr>
      <w:r>
        <w:t xml:space="preserve">With explicit consent, BecomingOS connects to approved sources (e.g. calendar, Apple Health, Google Health Connect, phone reminders, step trackers) to collect</w:t>
      </w:r>
      <w:r>
        <w:t xml:space="preserve"> </w:t>
      </w:r>
      <w:r>
        <w:rPr>
          <w:b/>
          <w:bCs/>
        </w:rPr>
        <w:t xml:space="preserve">passive life signals</w:t>
      </w:r>
      <w:r>
        <w:t xml:space="preserve"> </w:t>
      </w:r>
      <w:r>
        <w:t xml:space="preserve">like sleep duration, steps, heart rate, activity levels, calendar load and screen‑time patterns. These signals help the AI recognise energy levels, stress patterns and routine gaps. The user decides what to connect and can revoke access at any time.</w:t>
      </w:r>
    </w:p>
    <w:bookmarkEnd w:id="29"/>
    <w:bookmarkStart w:id="30" w:name="life-capture-multimodal-input"/>
    <w:p>
      <w:pPr>
        <w:pStyle w:val="Heading3"/>
      </w:pPr>
      <w:r>
        <w:t xml:space="preserve">4.7 Life Capture (Multimodal Input)</w:t>
      </w:r>
    </w:p>
    <w:p>
      <w:pPr>
        <w:pStyle w:val="FirstParagraph"/>
      </w:pPr>
      <w:r>
        <w:t xml:space="preserve">Users can interact with the system through:</w:t>
      </w:r>
    </w:p>
    <w:p>
      <w:pPr>
        <w:pStyle w:val="Compact"/>
        <w:numPr>
          <w:ilvl w:val="0"/>
          <w:numId w:val="1007"/>
        </w:numPr>
      </w:pPr>
      <w:r>
        <w:rPr>
          <w:b/>
          <w:bCs/>
        </w:rPr>
        <w:t xml:space="preserve">Photo capture</w:t>
      </w:r>
      <w:r>
        <w:t xml:space="preserve"> </w:t>
      </w:r>
      <w:r>
        <w:t xml:space="preserve">– take or upload photos of bills, letters, receipts, quotes, products, rooms or jobs. The system extracts dates, amounts, tasks and relevant metadata and suggests actions (e.g. add a payment reminder, create a task list, ask if a purchase aligns with priorities).</w:t>
      </w:r>
    </w:p>
    <w:p>
      <w:pPr>
        <w:pStyle w:val="Compact"/>
        <w:numPr>
          <w:ilvl w:val="0"/>
          <w:numId w:val="1007"/>
        </w:numPr>
      </w:pPr>
      <w:r>
        <w:rPr>
          <w:b/>
          <w:bCs/>
        </w:rPr>
        <w:t xml:space="preserve">Document upload</w:t>
      </w:r>
      <w:r>
        <w:t xml:space="preserve"> </w:t>
      </w:r>
      <w:r>
        <w:t xml:space="preserve">– upload PDFs, Word files or scans of notices, forms or contracts. BecomingOS summarises contents, extracts deadlines, identifies required actions and proposes next steps.</w:t>
      </w:r>
    </w:p>
    <w:p>
      <w:pPr>
        <w:pStyle w:val="Compact"/>
        <w:numPr>
          <w:ilvl w:val="0"/>
          <w:numId w:val="1007"/>
        </w:numPr>
      </w:pPr>
      <w:r>
        <w:rPr>
          <w:b/>
          <w:bCs/>
        </w:rPr>
        <w:t xml:space="preserve">Voice notes</w:t>
      </w:r>
      <w:r>
        <w:t xml:space="preserve"> </w:t>
      </w:r>
      <w:r>
        <w:t xml:space="preserve">– record a reflection or describe a problem; the system transcribes, summarises and suggests tasks or memory entries.</w:t>
      </w:r>
    </w:p>
    <w:p>
      <w:pPr>
        <w:pStyle w:val="Compact"/>
        <w:numPr>
          <w:ilvl w:val="0"/>
          <w:numId w:val="1007"/>
        </w:numPr>
      </w:pPr>
      <w:r>
        <w:rPr>
          <w:b/>
          <w:bCs/>
        </w:rPr>
        <w:t xml:space="preserve">Video capture</w:t>
      </w:r>
      <w:r>
        <w:t xml:space="preserve"> </w:t>
      </w:r>
      <w:r>
        <w:t xml:space="preserve">– upload short videos showing jobs, work sites or interactions. The system summarises key points and creates checklists or job plans, while respecting privacy and legal boundaries.</w:t>
      </w:r>
    </w:p>
    <w:p>
      <w:pPr>
        <w:pStyle w:val="FirstParagraph"/>
      </w:pPr>
      <w:r>
        <w:t xml:space="preserve">Sensitive or third‑party information must not be stored without explicit consent. The user is warned not to upload recordings they are not legally allowed to share.</w:t>
      </w:r>
    </w:p>
    <w:bookmarkEnd w:id="30"/>
    <w:bookmarkStart w:id="31" w:name="support-circle-accountability"/>
    <w:p>
      <w:pPr>
        <w:pStyle w:val="Heading3"/>
      </w:pPr>
      <w:r>
        <w:t xml:space="preserve">4.8 Support Circle &amp; Accountability</w:t>
      </w:r>
    </w:p>
    <w:p>
      <w:pPr>
        <w:pStyle w:val="FirstParagraph"/>
      </w:pPr>
      <w:r>
        <w:t xml:space="preserve">Users may designate trusted contacts (friend, partner, relative, counsellor, coach) to form an</w:t>
      </w:r>
      <w:r>
        <w:t xml:space="preserve"> </w:t>
      </w:r>
      <w:r>
        <w:rPr>
          <w:b/>
          <w:bCs/>
        </w:rPr>
        <w:t xml:space="preserve">accountability circle</w:t>
      </w:r>
      <w:r>
        <w:t xml:space="preserve">. The user controls what these contacts can see and when they are contacted. BecomingOS may, with user permission, send progress updates or ask a support person to check in if the user misses commitments. In high‑risk or crisis situations, the system signposts to appropriate human support and emergency services but does not automatically alert others without the user’s prior consent.</w:t>
      </w:r>
    </w:p>
    <w:bookmarkEnd w:id="31"/>
    <w:bookmarkEnd w:id="32"/>
    <w:bookmarkStart w:id="44" w:name="feature-requirements-design"/>
    <w:p>
      <w:pPr>
        <w:pStyle w:val="Heading2"/>
      </w:pPr>
      <w:r>
        <w:t xml:space="preserve">5. Feature Requirements &amp; Design</w:t>
      </w:r>
    </w:p>
    <w:bookmarkStart w:id="33" w:name="modules-question-formats"/>
    <w:p>
      <w:pPr>
        <w:pStyle w:val="Heading3"/>
      </w:pPr>
      <w:r>
        <w:t xml:space="preserve">5.1 Modules &amp; Question Formats</w:t>
      </w:r>
    </w:p>
    <w:p>
      <w:pPr>
        <w:pStyle w:val="FirstParagraph"/>
      </w:pPr>
      <w:r>
        <w:t xml:space="preserve">Modules must incorporate a variety of question types to keep the experience engaging and to collect richer data:</w:t>
      </w:r>
    </w:p>
    <w:p>
      <w:pPr>
        <w:pStyle w:val="Compact"/>
        <w:numPr>
          <w:ilvl w:val="0"/>
          <w:numId w:val="1008"/>
        </w:numPr>
      </w:pPr>
      <w:r>
        <w:rPr>
          <w:b/>
          <w:bCs/>
        </w:rPr>
        <w:t xml:space="preserve">Multiple choice</w:t>
      </w:r>
      <w:r>
        <w:t xml:space="preserve"> </w:t>
      </w:r>
      <w:r>
        <w:t xml:space="preserve">– for selecting values, priorities, preferences or behaviours (e.g. “Which value resonates most: honesty, curiosity, compassion, discipline?”).</w:t>
      </w:r>
    </w:p>
    <w:p>
      <w:pPr>
        <w:pStyle w:val="Compact"/>
        <w:numPr>
          <w:ilvl w:val="0"/>
          <w:numId w:val="1008"/>
        </w:numPr>
      </w:pPr>
      <w:r>
        <w:rPr>
          <w:b/>
          <w:bCs/>
        </w:rPr>
        <w:t xml:space="preserve">Sliding scales</w:t>
      </w:r>
      <w:r>
        <w:t xml:space="preserve"> </w:t>
      </w:r>
      <w:r>
        <w:t xml:space="preserve">– for subjective measures (“On a scale of 1–10, how satisfied are you with your current work‑life balance?”).</w:t>
      </w:r>
    </w:p>
    <w:p>
      <w:pPr>
        <w:pStyle w:val="Compact"/>
        <w:numPr>
          <w:ilvl w:val="0"/>
          <w:numId w:val="1008"/>
        </w:numPr>
      </w:pPr>
      <w:r>
        <w:rPr>
          <w:b/>
          <w:bCs/>
        </w:rPr>
        <w:t xml:space="preserve">Ranking</w:t>
      </w:r>
      <w:r>
        <w:t xml:space="preserve"> </w:t>
      </w:r>
      <w:r>
        <w:t xml:space="preserve">– to prioritise goals or life areas.</w:t>
      </w:r>
    </w:p>
    <w:p>
      <w:pPr>
        <w:pStyle w:val="Compact"/>
        <w:numPr>
          <w:ilvl w:val="0"/>
          <w:numId w:val="1008"/>
        </w:numPr>
      </w:pPr>
      <w:r>
        <w:rPr>
          <w:b/>
          <w:bCs/>
        </w:rPr>
        <w:t xml:space="preserve">Free‑writing prompts</w:t>
      </w:r>
      <w:r>
        <w:t xml:space="preserve"> </w:t>
      </w:r>
      <w:r>
        <w:t xml:space="preserve">– for open reflections (“Describe a recent situation when you felt most fulfilled at work.”).</w:t>
      </w:r>
    </w:p>
    <w:p>
      <w:pPr>
        <w:pStyle w:val="Compact"/>
        <w:numPr>
          <w:ilvl w:val="0"/>
          <w:numId w:val="1008"/>
        </w:numPr>
      </w:pPr>
      <w:r>
        <w:rPr>
          <w:b/>
          <w:bCs/>
        </w:rPr>
        <w:t xml:space="preserve">Scenario‑based questions</w:t>
      </w:r>
      <w:r>
        <w:t xml:space="preserve"> </w:t>
      </w:r>
      <w:r>
        <w:t xml:space="preserve">– to reveal decision patterns (“If you had two free hours, would you exercise, work, rest, socialise or spend time with family?”).</w:t>
      </w:r>
    </w:p>
    <w:bookmarkEnd w:id="33"/>
    <w:bookmarkStart w:id="34" w:name="ai-reasoning-memory"/>
    <w:p>
      <w:pPr>
        <w:pStyle w:val="Heading3"/>
      </w:pPr>
      <w:r>
        <w:t xml:space="preserve">5.2 AI Reasoning &amp; Memory</w:t>
      </w:r>
    </w:p>
    <w:p>
      <w:pPr>
        <w:pStyle w:val="Compact"/>
        <w:numPr>
          <w:ilvl w:val="0"/>
          <w:numId w:val="1009"/>
        </w:numPr>
      </w:pPr>
      <w:r>
        <w:t xml:space="preserve">All AI outputs are</w:t>
      </w:r>
      <w:r>
        <w:t xml:space="preserve"> </w:t>
      </w:r>
      <w:r>
        <w:rPr>
          <w:b/>
          <w:bCs/>
        </w:rPr>
        <w:t xml:space="preserve">drafts</w:t>
      </w:r>
      <w:r>
        <w:t xml:space="preserve"> </w:t>
      </w:r>
      <w:r>
        <w:t xml:space="preserve">requiring user review; nothing becomes durable memory without explicit confirmation or editing.</w:t>
      </w:r>
    </w:p>
    <w:p>
      <w:pPr>
        <w:pStyle w:val="Compact"/>
        <w:numPr>
          <w:ilvl w:val="0"/>
          <w:numId w:val="1009"/>
        </w:numPr>
      </w:pPr>
      <w:r>
        <w:t xml:space="preserve">Rejected or deleted entries are</w:t>
      </w:r>
      <w:r>
        <w:t xml:space="preserve"> </w:t>
      </w:r>
      <w:r>
        <w:rPr>
          <w:b/>
          <w:bCs/>
        </w:rPr>
        <w:t xml:space="preserve">never used</w:t>
      </w:r>
      <w:r>
        <w:t xml:space="preserve"> </w:t>
      </w:r>
      <w:r>
        <w:t xml:space="preserve">by the AI. Embeddings are invalidated when the source item is removed.</w:t>
      </w:r>
    </w:p>
    <w:p>
      <w:pPr>
        <w:pStyle w:val="Compact"/>
        <w:numPr>
          <w:ilvl w:val="0"/>
          <w:numId w:val="1009"/>
        </w:numPr>
      </w:pPr>
      <w:r>
        <w:t xml:space="preserve">AI responses must explain the</w:t>
      </w:r>
      <w:r>
        <w:t xml:space="preserve"> </w:t>
      </w:r>
      <w:r>
        <w:rPr>
          <w:b/>
          <w:bCs/>
        </w:rPr>
        <w:t xml:space="preserve">context used</w:t>
      </w:r>
      <w:r>
        <w:t xml:space="preserve">, show trade‑offs, invite corrections and allow the user to rate accuracy. This supports transparency and learning.</w:t>
      </w:r>
    </w:p>
    <w:bookmarkEnd w:id="34"/>
    <w:bookmarkStart w:id="35" w:name="quick-value-add-phone-integration"/>
    <w:p>
      <w:pPr>
        <w:pStyle w:val="Heading3"/>
      </w:pPr>
      <w:r>
        <w:t xml:space="preserve">5.3 Quick Value Add &amp; Phone Integration</w:t>
      </w:r>
    </w:p>
    <w:p>
      <w:pPr>
        <w:pStyle w:val="FirstParagraph"/>
      </w:pPr>
      <w:r>
        <w:t xml:space="preserve">To demonstrate value quickly and reduce onboarding friction:</w:t>
      </w:r>
    </w:p>
    <w:p>
      <w:pPr>
        <w:pStyle w:val="Compact"/>
        <w:numPr>
          <w:ilvl w:val="0"/>
          <w:numId w:val="1010"/>
        </w:numPr>
      </w:pPr>
      <w:r>
        <w:t xml:space="preserve">Offer to connect the user’s calendar and task list during setup. This surfaces immediate scheduling conflicts and helps the AI suggest time blocks for priorities.</w:t>
      </w:r>
    </w:p>
    <w:p>
      <w:pPr>
        <w:pStyle w:val="Compact"/>
        <w:numPr>
          <w:ilvl w:val="0"/>
          <w:numId w:val="1010"/>
        </w:numPr>
      </w:pPr>
      <w:r>
        <w:t xml:space="preserve">Integrate with health data (sleep, activity) through Apple Health or Google Health Connect, with clear consent. Use these signals to recommend low‑energy days, rest periods or when to avoid major decisions.</w:t>
      </w:r>
    </w:p>
    <w:p>
      <w:pPr>
        <w:pStyle w:val="Compact"/>
        <w:numPr>
          <w:ilvl w:val="0"/>
          <w:numId w:val="1010"/>
        </w:numPr>
      </w:pPr>
      <w:r>
        <w:t xml:space="preserve">Ask a few simple questions early (“What are your top three priorities?”, “How many hours do you work per week?”) to start building context before deeper modules.</w:t>
      </w:r>
    </w:p>
    <w:p>
      <w:pPr>
        <w:pStyle w:val="Compact"/>
        <w:numPr>
          <w:ilvl w:val="0"/>
          <w:numId w:val="1010"/>
        </w:numPr>
      </w:pPr>
      <w:r>
        <w:t xml:space="preserve">Provide</w:t>
      </w:r>
      <w:r>
        <w:t xml:space="preserve"> </w:t>
      </w:r>
      <w:r>
        <w:rPr>
          <w:b/>
          <w:bCs/>
        </w:rPr>
        <w:t xml:space="preserve">first‑week recommendations</w:t>
      </w:r>
      <w:r>
        <w:t xml:space="preserve"> </w:t>
      </w:r>
      <w:r>
        <w:t xml:space="preserve">based on available data (e.g. schedule a family activity, plan a health action, block a focus period for an important goal).</w:t>
      </w:r>
    </w:p>
    <w:bookmarkEnd w:id="35"/>
    <w:bookmarkStart w:id="36" w:name="passive-active-data"/>
    <w:p>
      <w:pPr>
        <w:pStyle w:val="Heading3"/>
      </w:pPr>
      <w:r>
        <w:t xml:space="preserve">5.4 Passive &amp; Active Data</w:t>
      </w:r>
    </w:p>
    <w:p>
      <w:pPr>
        <w:pStyle w:val="Compact"/>
        <w:numPr>
          <w:ilvl w:val="0"/>
          <w:numId w:val="1011"/>
        </w:numPr>
      </w:pPr>
      <w:r>
        <w:rPr>
          <w:b/>
          <w:bCs/>
        </w:rPr>
        <w:t xml:space="preserve">Passive data</w:t>
      </w:r>
      <w:r>
        <w:t xml:space="preserve"> </w:t>
      </w:r>
      <w:r>
        <w:t xml:space="preserve">comes from connected apps and devices (sleep, steps, heart rate, calendar load, routine patterns, screen time). The user chooses which sources are connected and can disconnect at any time.</w:t>
      </w:r>
    </w:p>
    <w:p>
      <w:pPr>
        <w:pStyle w:val="Compact"/>
        <w:numPr>
          <w:ilvl w:val="0"/>
          <w:numId w:val="1011"/>
        </w:numPr>
      </w:pPr>
      <w:r>
        <w:rPr>
          <w:b/>
          <w:bCs/>
        </w:rPr>
        <w:t xml:space="preserve">Active data</w:t>
      </w:r>
      <w:r>
        <w:t xml:space="preserve"> </w:t>
      </w:r>
      <w:r>
        <w:t xml:space="preserve">is manually provided by the user (journal entries, goal definitions, life events, decisions, tasks, uploaded documents and multimedia captures). It is stored only with consent and may be edited or deleted.</w:t>
      </w:r>
    </w:p>
    <w:bookmarkEnd w:id="36"/>
    <w:bookmarkStart w:id="37" w:name="today-plan-scheduling"/>
    <w:p>
      <w:pPr>
        <w:pStyle w:val="Heading3"/>
      </w:pPr>
      <w:r>
        <w:t xml:space="preserve">5.5 Today Plan &amp; Scheduling</w:t>
      </w:r>
    </w:p>
    <w:p>
      <w:pPr>
        <w:pStyle w:val="Compact"/>
        <w:numPr>
          <w:ilvl w:val="0"/>
          <w:numId w:val="1012"/>
        </w:numPr>
      </w:pPr>
      <w:r>
        <w:t xml:space="preserve">The system combines tasks from calendars, memory commitments and AI suggestions to build a daily plan.</w:t>
      </w:r>
    </w:p>
    <w:p>
      <w:pPr>
        <w:pStyle w:val="Compact"/>
        <w:numPr>
          <w:ilvl w:val="0"/>
          <w:numId w:val="1012"/>
        </w:numPr>
      </w:pPr>
      <w:r>
        <w:t xml:space="preserve">Plans account for energy levels, priority weights, deadlines and desired habits. The user can adjust timing and remove or add tasks.</w:t>
      </w:r>
    </w:p>
    <w:p>
      <w:pPr>
        <w:pStyle w:val="Compact"/>
        <w:numPr>
          <w:ilvl w:val="0"/>
          <w:numId w:val="1012"/>
        </w:numPr>
      </w:pPr>
      <w:r>
        <w:t xml:space="preserve">An</w:t>
      </w:r>
      <w:r>
        <w:t xml:space="preserve"> </w:t>
      </w:r>
      <w:r>
        <w:rPr>
          <w:b/>
          <w:bCs/>
        </w:rPr>
        <w:t xml:space="preserve">end‑of‑day review</w:t>
      </w:r>
      <w:r>
        <w:t xml:space="preserve"> </w:t>
      </w:r>
      <w:r>
        <w:t xml:space="preserve">captures what was accomplished, what needs to roll forward and any lessons learned. Users can save reflections to memory.</w:t>
      </w:r>
    </w:p>
    <w:bookmarkEnd w:id="37"/>
    <w:bookmarkStart w:id="38" w:name="decision-guidance"/>
    <w:p>
      <w:pPr>
        <w:pStyle w:val="Heading3"/>
      </w:pPr>
      <w:r>
        <w:t xml:space="preserve">5.6 Decision Guidance</w:t>
      </w:r>
    </w:p>
    <w:p>
      <w:pPr>
        <w:pStyle w:val="Compact"/>
        <w:numPr>
          <w:ilvl w:val="0"/>
          <w:numId w:val="1013"/>
        </w:numPr>
      </w:pPr>
      <w:r>
        <w:t xml:space="preserve">When faced with a decision, users can describe the situation (text, voice or image) and receive a recommendation.</w:t>
      </w:r>
    </w:p>
    <w:p>
      <w:pPr>
        <w:pStyle w:val="Compact"/>
        <w:numPr>
          <w:ilvl w:val="0"/>
          <w:numId w:val="1013"/>
        </w:numPr>
      </w:pPr>
      <w:r>
        <w:t xml:space="preserve">The AI assesses options against the user’s values, goals, priorities and future self; it lists pros and cons, identifies alignment or conflicts, and suggests next steps.</w:t>
      </w:r>
    </w:p>
    <w:p>
      <w:pPr>
        <w:pStyle w:val="Compact"/>
        <w:numPr>
          <w:ilvl w:val="0"/>
          <w:numId w:val="1013"/>
        </w:numPr>
      </w:pPr>
      <w:r>
        <w:t xml:space="preserve">If context is insufficient, the AI asks clarifying questions. It never makes decisions for the user; it offers guidance and learns from the user’s corrections.</w:t>
      </w:r>
    </w:p>
    <w:bookmarkEnd w:id="38"/>
    <w:bookmarkStart w:id="39" w:name="realtime-life-capture"/>
    <w:p>
      <w:pPr>
        <w:pStyle w:val="Heading3"/>
      </w:pPr>
      <w:r>
        <w:t xml:space="preserve">5.7 Real‑Time Life Capture</w:t>
      </w:r>
    </w:p>
    <w:p>
      <w:pPr>
        <w:pStyle w:val="Compact"/>
        <w:numPr>
          <w:ilvl w:val="0"/>
          <w:numId w:val="1014"/>
        </w:numPr>
      </w:pPr>
      <w:r>
        <w:rPr>
          <w:b/>
          <w:bCs/>
        </w:rPr>
        <w:t xml:space="preserve">Photos</w:t>
      </w:r>
      <w:r>
        <w:t xml:space="preserve">: Scan a bill or letter and detect the amount, due date and sender; suggest creating a payment reminder.</w:t>
      </w:r>
    </w:p>
    <w:p>
      <w:pPr>
        <w:pStyle w:val="Compact"/>
        <w:numPr>
          <w:ilvl w:val="0"/>
          <w:numId w:val="1014"/>
        </w:numPr>
      </w:pPr>
      <w:r>
        <w:rPr>
          <w:b/>
          <w:bCs/>
        </w:rPr>
        <w:t xml:space="preserve">Documents</w:t>
      </w:r>
      <w:r>
        <w:t xml:space="preserve">: Summarise legal or administrative notices; extract required actions; suggest tasks or calendar items.</w:t>
      </w:r>
    </w:p>
    <w:p>
      <w:pPr>
        <w:pStyle w:val="Compact"/>
        <w:numPr>
          <w:ilvl w:val="0"/>
          <w:numId w:val="1014"/>
        </w:numPr>
      </w:pPr>
      <w:r>
        <w:rPr>
          <w:b/>
          <w:bCs/>
        </w:rPr>
        <w:t xml:space="preserve">Voice notes</w:t>
      </w:r>
      <w:r>
        <w:t xml:space="preserve">: Capture reflections on the go; summarise feelings and identify potential goals or patterns; suggest memory entries.</w:t>
      </w:r>
    </w:p>
    <w:p>
      <w:pPr>
        <w:pStyle w:val="Compact"/>
        <w:numPr>
          <w:ilvl w:val="0"/>
          <w:numId w:val="1014"/>
        </w:numPr>
      </w:pPr>
      <w:r>
        <w:rPr>
          <w:b/>
          <w:bCs/>
        </w:rPr>
        <w:t xml:space="preserve">Videos</w:t>
      </w:r>
      <w:r>
        <w:t xml:space="preserve">: Create step‑by‑step job plans or checklists; summarise interactions; identify tasks or potential conflicts. Warn the user about privacy laws when recording others.</w:t>
      </w:r>
    </w:p>
    <w:bookmarkEnd w:id="39"/>
    <w:bookmarkStart w:id="40" w:name="safety-privacy-boundaries"/>
    <w:p>
      <w:pPr>
        <w:pStyle w:val="Heading3"/>
      </w:pPr>
      <w:r>
        <w:t xml:space="preserve">5.8 Safety &amp; Privacy Boundaries</w:t>
      </w:r>
    </w:p>
    <w:p>
      <w:pPr>
        <w:pStyle w:val="Compact"/>
        <w:numPr>
          <w:ilvl w:val="0"/>
          <w:numId w:val="1015"/>
        </w:numPr>
      </w:pPr>
      <w:r>
        <w:t xml:space="preserve">The product is</w:t>
      </w:r>
      <w:r>
        <w:t xml:space="preserve"> </w:t>
      </w:r>
      <w:r>
        <w:rPr>
          <w:b/>
          <w:bCs/>
        </w:rPr>
        <w:t xml:space="preserve">not an emergency service</w:t>
      </w:r>
      <w:r>
        <w:t xml:space="preserve">. It does not monitor users in real time or provide crisis intervention. In emergencies, it signposts to local services.</w:t>
      </w:r>
    </w:p>
    <w:p>
      <w:pPr>
        <w:pStyle w:val="Compact"/>
        <w:numPr>
          <w:ilvl w:val="0"/>
          <w:numId w:val="1015"/>
        </w:numPr>
      </w:pPr>
      <w:r>
        <w:t xml:space="preserve">It does not provide therapy, diagnosis, medical, legal or financial advice. It does not encourage harmful behaviour or coach users through self‑harm or addiction.</w:t>
      </w:r>
    </w:p>
    <w:p>
      <w:pPr>
        <w:pStyle w:val="Compact"/>
        <w:numPr>
          <w:ilvl w:val="0"/>
          <w:numId w:val="1015"/>
        </w:numPr>
      </w:pPr>
      <w:r>
        <w:t xml:space="preserve">Personal data is collected only with consent, minimised, retained for the approved purpose only and destroyed or de‑identified when no longer needed.</w:t>
      </w:r>
    </w:p>
    <w:p>
      <w:pPr>
        <w:pStyle w:val="Compact"/>
        <w:numPr>
          <w:ilvl w:val="0"/>
          <w:numId w:val="1015"/>
        </w:numPr>
      </w:pPr>
      <w:r>
        <w:t xml:space="preserve">Third‑party AI providers must offer approved retention, logging and training policies before any live user data is processed.</w:t>
      </w:r>
    </w:p>
    <w:bookmarkEnd w:id="40"/>
    <w:bookmarkStart w:id="41" w:name="accessibility"/>
    <w:p>
      <w:pPr>
        <w:pStyle w:val="Heading3"/>
      </w:pPr>
      <w:r>
        <w:t xml:space="preserve">5.9 Accessibility</w:t>
      </w:r>
    </w:p>
    <w:p>
      <w:pPr>
        <w:pStyle w:val="Compact"/>
        <w:numPr>
          <w:ilvl w:val="0"/>
          <w:numId w:val="1016"/>
        </w:numPr>
      </w:pPr>
      <w:r>
        <w:t xml:space="preserve">Use WCAG 2.2 AA standards as the default baseline. Provide clear language, consistent navigation, keyboard support, screen‑reader compatibility and adjustable contrast/text size.</w:t>
      </w:r>
    </w:p>
    <w:p>
      <w:pPr>
        <w:pStyle w:val="Compact"/>
        <w:numPr>
          <w:ilvl w:val="0"/>
          <w:numId w:val="1016"/>
        </w:numPr>
      </w:pPr>
      <w:r>
        <w:t xml:space="preserve">Include cognitive and emotional‑safety checks to reduce potential distress during reflection prompts.</w:t>
      </w:r>
    </w:p>
    <w:bookmarkEnd w:id="41"/>
    <w:bookmarkStart w:id="42" w:name="architecture-conceptual"/>
    <w:p>
      <w:pPr>
        <w:pStyle w:val="Heading3"/>
      </w:pPr>
      <w:r>
        <w:t xml:space="preserve">5.10 Architecture (Conceptual)</w:t>
      </w:r>
    </w:p>
    <w:p>
      <w:pPr>
        <w:pStyle w:val="Compact"/>
        <w:numPr>
          <w:ilvl w:val="0"/>
          <w:numId w:val="1017"/>
        </w:numPr>
      </w:pPr>
      <w:r>
        <w:rPr>
          <w:b/>
          <w:bCs/>
        </w:rPr>
        <w:t xml:space="preserve">This specification is conceptual.</w:t>
      </w:r>
      <w:r>
        <w:t xml:space="preserve"> </w:t>
      </w:r>
      <w:r>
        <w:t xml:space="preserve">No code or architecture is approved yet. The following describes components at a high level:</w:t>
      </w:r>
    </w:p>
    <w:p>
      <w:pPr>
        <w:pStyle w:val="Compact"/>
        <w:numPr>
          <w:ilvl w:val="0"/>
          <w:numId w:val="1017"/>
        </w:numPr>
      </w:pPr>
      <w:r>
        <w:rPr>
          <w:b/>
          <w:bCs/>
        </w:rPr>
        <w:t xml:space="preserve">Input Modules</w:t>
      </w:r>
      <w:r>
        <w:t xml:space="preserve"> </w:t>
      </w:r>
      <w:r>
        <w:t xml:space="preserve">collect manual answers, life capture data and passive signals.</w:t>
      </w:r>
    </w:p>
    <w:p>
      <w:pPr>
        <w:pStyle w:val="Compact"/>
        <w:numPr>
          <w:ilvl w:val="0"/>
          <w:numId w:val="1017"/>
        </w:numPr>
      </w:pPr>
      <w:r>
        <w:rPr>
          <w:b/>
          <w:bCs/>
        </w:rPr>
        <w:t xml:space="preserve">Memory Engine</w:t>
      </w:r>
      <w:r>
        <w:t xml:space="preserve"> </w:t>
      </w:r>
      <w:r>
        <w:t xml:space="preserve">stores user‑approved context with metadata.</w:t>
      </w:r>
    </w:p>
    <w:p>
      <w:pPr>
        <w:pStyle w:val="Compact"/>
        <w:numPr>
          <w:ilvl w:val="0"/>
          <w:numId w:val="1017"/>
        </w:numPr>
      </w:pPr>
      <w:r>
        <w:rPr>
          <w:b/>
          <w:bCs/>
        </w:rPr>
        <w:t xml:space="preserve">AI Reasoning Layer</w:t>
      </w:r>
      <w:r>
        <w:t xml:space="preserve"> </w:t>
      </w:r>
      <w:r>
        <w:t xml:space="preserve">uses memory and context to generate personalised guidance and daily plans. It references relevant context and invites corrections.</w:t>
      </w:r>
    </w:p>
    <w:p>
      <w:pPr>
        <w:pStyle w:val="Compact"/>
        <w:numPr>
          <w:ilvl w:val="0"/>
          <w:numId w:val="1017"/>
        </w:numPr>
      </w:pPr>
      <w:r>
        <w:rPr>
          <w:b/>
          <w:bCs/>
        </w:rPr>
        <w:t xml:space="preserve">Today Plan System</w:t>
      </w:r>
      <w:r>
        <w:t xml:space="preserve"> </w:t>
      </w:r>
      <w:r>
        <w:t xml:space="preserve">orchestrates tasks, habits and schedules based on priorities, signals and user preferences.</w:t>
      </w:r>
    </w:p>
    <w:p>
      <w:pPr>
        <w:pStyle w:val="Compact"/>
        <w:numPr>
          <w:ilvl w:val="0"/>
          <w:numId w:val="1017"/>
        </w:numPr>
      </w:pPr>
      <w:r>
        <w:rPr>
          <w:b/>
          <w:bCs/>
        </w:rPr>
        <w:t xml:space="preserve">Life Signals Service</w:t>
      </w:r>
      <w:r>
        <w:t xml:space="preserve"> </w:t>
      </w:r>
      <w:r>
        <w:t xml:space="preserve">connects to permitted sources and provides summarised trends to the AI.</w:t>
      </w:r>
    </w:p>
    <w:p>
      <w:pPr>
        <w:pStyle w:val="Compact"/>
        <w:numPr>
          <w:ilvl w:val="0"/>
          <w:numId w:val="1017"/>
        </w:numPr>
      </w:pPr>
      <w:r>
        <w:rPr>
          <w:b/>
          <w:bCs/>
        </w:rPr>
        <w:t xml:space="preserve">Support Circle Service</w:t>
      </w:r>
      <w:r>
        <w:t xml:space="preserve"> </w:t>
      </w:r>
      <w:r>
        <w:t xml:space="preserve">manages permissions and communications with the user’s nominated contacts.</w:t>
      </w:r>
    </w:p>
    <w:p>
      <w:pPr>
        <w:pStyle w:val="Compact"/>
        <w:numPr>
          <w:ilvl w:val="0"/>
          <w:numId w:val="1017"/>
        </w:numPr>
      </w:pPr>
      <w:r>
        <w:t xml:space="preserve">Future technical decisions (storage systems, APIs, vector databases, etc.) require separate security, privacy and architecture approvals.</w:t>
      </w:r>
    </w:p>
    <w:bookmarkEnd w:id="42"/>
    <w:bookmarkStart w:id="43" w:name="private-beta-guidelines"/>
    <w:p>
      <w:pPr>
        <w:pStyle w:val="Heading3"/>
      </w:pPr>
      <w:r>
        <w:t xml:space="preserve">5.11 Private Beta Guidelines</w:t>
      </w:r>
    </w:p>
    <w:p>
      <w:pPr>
        <w:pStyle w:val="FirstParagraph"/>
      </w:pPr>
      <w:r>
        <w:t xml:space="preserve">To support a small</w:t>
      </w:r>
      <w:r>
        <w:t xml:space="preserve"> </w:t>
      </w:r>
      <w:r>
        <w:rPr>
          <w:b/>
          <w:bCs/>
        </w:rPr>
        <w:t xml:space="preserve">private beta</w:t>
      </w:r>
      <w:r>
        <w:t xml:space="preserve"> </w:t>
      </w:r>
      <w:r>
        <w:t xml:space="preserve">using real data, the following guidelines apply:</w:t>
      </w:r>
    </w:p>
    <w:p>
      <w:pPr>
        <w:pStyle w:val="Compact"/>
        <w:numPr>
          <w:ilvl w:val="0"/>
          <w:numId w:val="1018"/>
        </w:numPr>
      </w:pPr>
      <w:r>
        <w:rPr>
          <w:b/>
          <w:bCs/>
        </w:rPr>
        <w:t xml:space="preserve">Limited scope and participants</w:t>
      </w:r>
      <w:r>
        <w:t xml:space="preserve"> </w:t>
      </w:r>
      <w:r>
        <w:t xml:space="preserve">– restrict the beta to a trusted group of testers (e.g. 5–10 people). Document who is included and ensure they understand the product is pre‑launch and non‑clinical.</w:t>
      </w:r>
    </w:p>
    <w:p>
      <w:pPr>
        <w:pStyle w:val="Compact"/>
        <w:numPr>
          <w:ilvl w:val="0"/>
          <w:numId w:val="1018"/>
        </w:numPr>
      </w:pPr>
      <w:r>
        <w:rPr>
          <w:b/>
          <w:bCs/>
        </w:rPr>
        <w:t xml:space="preserve">Explicit consent</w:t>
      </w:r>
      <w:r>
        <w:t xml:space="preserve"> </w:t>
      </w:r>
      <w:r>
        <w:t xml:space="preserve">– provide each tester with a short consent notice explaining what data will be collected, how it will be used, how long it will be retained and their right to request deletion. Ask testers to acknowledge this notice before using the beta.</w:t>
      </w:r>
    </w:p>
    <w:p>
      <w:pPr>
        <w:pStyle w:val="Compact"/>
        <w:numPr>
          <w:ilvl w:val="0"/>
          <w:numId w:val="1018"/>
        </w:numPr>
      </w:pPr>
      <w:r>
        <w:rPr>
          <w:b/>
          <w:bCs/>
        </w:rPr>
        <w:t xml:space="preserve">Separate environment</w:t>
      </w:r>
      <w:r>
        <w:t xml:space="preserve"> </w:t>
      </w:r>
      <w:r>
        <w:t xml:space="preserve">– deploy the beta on a separate environment or configuration distinct from internal prototypes. Use a dedicated configuration file (e.g.</w:t>
      </w:r>
      <w:r>
        <w:t xml:space="preserve"> </w:t>
      </w:r>
      <w:r>
        <w:rPr>
          <w:rStyle w:val="VerbatimChar"/>
        </w:rPr>
        <w:t xml:space="preserve">config/beta.config.js</w:t>
      </w:r>
      <w:r>
        <w:t xml:space="preserve">) that enables necessary features while keeping logs minimal and enforcing a retention limit.</w:t>
      </w:r>
    </w:p>
    <w:p>
      <w:pPr>
        <w:pStyle w:val="Compact"/>
        <w:numPr>
          <w:ilvl w:val="0"/>
          <w:numId w:val="1018"/>
        </w:numPr>
      </w:pPr>
      <w:r>
        <w:rPr>
          <w:b/>
          <w:bCs/>
        </w:rPr>
        <w:t xml:space="preserve">Data retention and deletion</w:t>
      </w:r>
      <w:r>
        <w:t xml:space="preserve"> </w:t>
      </w:r>
      <w:r>
        <w:t xml:space="preserve">– define a retention period (e.g. 90 days) for beta data. After the beta concludes or upon tester request, purge all collected data and embeddings. Do not reuse beta data for production without renewed consent.</w:t>
      </w:r>
    </w:p>
    <w:p>
      <w:pPr>
        <w:pStyle w:val="Compact"/>
        <w:numPr>
          <w:ilvl w:val="0"/>
          <w:numId w:val="1018"/>
        </w:numPr>
      </w:pPr>
      <w:r>
        <w:rPr>
          <w:b/>
          <w:bCs/>
        </w:rPr>
        <w:t xml:space="preserve">Non‑public</w:t>
      </w:r>
      <w:r>
        <w:t xml:space="preserve"> </w:t>
      </w:r>
      <w:r>
        <w:t xml:space="preserve">– the beta remains non‑public. Testers must not redistribute the app or use it for commercial or clinical purposes.</w:t>
      </w:r>
    </w:p>
    <w:p>
      <w:pPr>
        <w:pStyle w:val="Compact"/>
        <w:numPr>
          <w:ilvl w:val="0"/>
          <w:numId w:val="1018"/>
        </w:numPr>
      </w:pPr>
      <w:r>
        <w:rPr>
          <w:b/>
          <w:bCs/>
        </w:rPr>
        <w:t xml:space="preserve">Feedback loop</w:t>
      </w:r>
      <w:r>
        <w:t xml:space="preserve"> </w:t>
      </w:r>
      <w:r>
        <w:t xml:space="preserve">– collect feedback from testers about usability, clarity and trust. Use their insights to refine the product before any broader release.</w:t>
      </w:r>
    </w:p>
    <w:p>
      <w:pPr>
        <w:pStyle w:val="FirstParagraph"/>
      </w:pPr>
      <w:r>
        <w:t xml:space="preserve">These private‑beta safeguards allow real‑life testing while upholding the product’s privacy, safety and non‑clinical commitments.</w:t>
      </w:r>
    </w:p>
    <w:bookmarkEnd w:id="43"/>
    <w:bookmarkEnd w:id="44"/>
    <w:bookmarkStart w:id="54" w:name="research-validation-plan"/>
    <w:p>
      <w:pPr>
        <w:pStyle w:val="Heading2"/>
      </w:pPr>
      <w:r>
        <w:t xml:space="preserve">6. Research &amp; Validation Plan</w:t>
      </w:r>
    </w:p>
    <w:bookmarkStart w:id="45" w:name="evidence-assumption-register"/>
    <w:p>
      <w:pPr>
        <w:pStyle w:val="Heading3"/>
      </w:pPr>
      <w:r>
        <w:t xml:space="preserve">6.1 Evidence &amp; Assumption Register</w:t>
      </w:r>
    </w:p>
    <w:p>
      <w:pPr>
        <w:pStyle w:val="FirstParagraph"/>
      </w:pPr>
      <w:r>
        <w:t xml:space="preserve">Maintain a register of all design assumptions and their evidence status. For each claim, record the source (e.g. prior research, user interview, design intuition), the current evidence level (none, anecdotal, validated) and next steps. Use this register to prioritise research and prevent speculation from becoming fact.</w:t>
      </w:r>
    </w:p>
    <w:bookmarkEnd w:id="45"/>
    <w:bookmarkStart w:id="46" w:name="user-research"/>
    <w:p>
      <w:pPr>
        <w:pStyle w:val="Heading3"/>
      </w:pPr>
      <w:r>
        <w:t xml:space="preserve">6.2 User Research</w:t>
      </w:r>
    </w:p>
    <w:p>
      <w:pPr>
        <w:pStyle w:val="Compact"/>
        <w:numPr>
          <w:ilvl w:val="0"/>
          <w:numId w:val="1019"/>
        </w:numPr>
      </w:pPr>
      <w:r>
        <w:t xml:space="preserve">Conduct</w:t>
      </w:r>
      <w:r>
        <w:t xml:space="preserve"> </w:t>
      </w:r>
      <w:r>
        <w:rPr>
          <w:b/>
          <w:bCs/>
        </w:rPr>
        <w:t xml:space="preserve">8–12 semi‑structured interviews</w:t>
      </w:r>
      <w:r>
        <w:t xml:space="preserve"> </w:t>
      </w:r>
      <w:r>
        <w:t xml:space="preserve">with potential users (e.g. carers, entrepreneurs, busy parents) to test comprehension, desirability and trust in the core concepts.</w:t>
      </w:r>
    </w:p>
    <w:p>
      <w:pPr>
        <w:pStyle w:val="Compact"/>
        <w:numPr>
          <w:ilvl w:val="0"/>
          <w:numId w:val="1019"/>
        </w:numPr>
      </w:pPr>
      <w:r>
        <w:t xml:space="preserve">Prototype simple workflows for onboarding, memory confirmation, the decision engine, daily plans and life capture. Observe friction points and comprehension issues.</w:t>
      </w:r>
    </w:p>
    <w:p>
      <w:pPr>
        <w:pStyle w:val="Compact"/>
        <w:numPr>
          <w:ilvl w:val="0"/>
          <w:numId w:val="1019"/>
        </w:numPr>
      </w:pPr>
      <w:r>
        <w:t xml:space="preserve">Summarise findings in a research report and update the assumption register and product requirements.</w:t>
      </w:r>
    </w:p>
    <w:bookmarkEnd w:id="46"/>
    <w:bookmarkStart w:id="47" w:name="market-validation"/>
    <w:p>
      <w:pPr>
        <w:pStyle w:val="Heading3"/>
      </w:pPr>
      <w:r>
        <w:t xml:space="preserve">6.3 Market Validation</w:t>
      </w:r>
    </w:p>
    <w:p>
      <w:pPr>
        <w:pStyle w:val="Compact"/>
        <w:numPr>
          <w:ilvl w:val="0"/>
          <w:numId w:val="1020"/>
        </w:numPr>
      </w:pPr>
      <w:r>
        <w:t xml:space="preserve">Launch a</w:t>
      </w:r>
      <w:r>
        <w:t xml:space="preserve"> </w:t>
      </w:r>
      <w:r>
        <w:rPr>
          <w:b/>
          <w:bCs/>
        </w:rPr>
        <w:t xml:space="preserve">landing page test</w:t>
      </w:r>
      <w:r>
        <w:t xml:space="preserve"> </w:t>
      </w:r>
      <w:r>
        <w:t xml:space="preserve">with the product vision and key benefits to collect sign‑ups or expressions of interest. Test different messaging variations to see what resonates.</w:t>
      </w:r>
    </w:p>
    <w:p>
      <w:pPr>
        <w:pStyle w:val="Compact"/>
        <w:numPr>
          <w:ilvl w:val="0"/>
          <w:numId w:val="1020"/>
        </w:numPr>
      </w:pPr>
      <w:r>
        <w:t xml:space="preserve">Conduct</w:t>
      </w:r>
      <w:r>
        <w:t xml:space="preserve"> </w:t>
      </w:r>
      <w:r>
        <w:rPr>
          <w:b/>
          <w:bCs/>
        </w:rPr>
        <w:t xml:space="preserve">willingness‑to‑pay interviews</w:t>
      </w:r>
      <w:r>
        <w:t xml:space="preserve"> </w:t>
      </w:r>
      <w:r>
        <w:t xml:space="preserve">and a competitive analysis to understand price sensitivity, perceived value and what differentiates BecomingOS from generic planners or self‑help apps.</w:t>
      </w:r>
    </w:p>
    <w:p>
      <w:pPr>
        <w:pStyle w:val="Compact"/>
        <w:numPr>
          <w:ilvl w:val="0"/>
          <w:numId w:val="1020"/>
        </w:numPr>
      </w:pPr>
      <w:r>
        <w:t xml:space="preserve">Treat demand and pricing claims as assumptions until validated.</w:t>
      </w:r>
    </w:p>
    <w:bookmarkEnd w:id="47"/>
    <w:bookmarkStart w:id="48" w:name="data-inventory-privacy-governance"/>
    <w:p>
      <w:pPr>
        <w:pStyle w:val="Heading3"/>
      </w:pPr>
      <w:r>
        <w:t xml:space="preserve">6.4 Data Inventory &amp; Privacy Governance</w:t>
      </w:r>
    </w:p>
    <w:p>
      <w:pPr>
        <w:pStyle w:val="Compact"/>
        <w:numPr>
          <w:ilvl w:val="0"/>
          <w:numId w:val="1021"/>
        </w:numPr>
      </w:pPr>
      <w:r>
        <w:t xml:space="preserve">Map all data types (manual entries, calendar, health, location, tasks, documents, audio, video) and document how each is collected, stored, used and deleted.</w:t>
      </w:r>
    </w:p>
    <w:p>
      <w:pPr>
        <w:pStyle w:val="Compact"/>
        <w:numPr>
          <w:ilvl w:val="0"/>
          <w:numId w:val="1021"/>
        </w:numPr>
      </w:pPr>
      <w:r>
        <w:t xml:space="preserve">Produce a</w:t>
      </w:r>
      <w:r>
        <w:t xml:space="preserve"> </w:t>
      </w:r>
      <w:r>
        <w:rPr>
          <w:b/>
          <w:bCs/>
        </w:rPr>
        <w:t xml:space="preserve">privacy impact assessment</w:t>
      </w:r>
      <w:r>
        <w:t xml:space="preserve"> </w:t>
      </w:r>
      <w:r>
        <w:t xml:space="preserve">following OAIC guidelines and ensure the design aligns with GDPR principles (lawfulness, fairness, transparency, data minimisation, storage limitation). Do not claim compliance for jurisdictions without legal review.</w:t>
      </w:r>
    </w:p>
    <w:p>
      <w:pPr>
        <w:pStyle w:val="Compact"/>
        <w:numPr>
          <w:ilvl w:val="0"/>
          <w:numId w:val="1021"/>
        </w:numPr>
      </w:pPr>
      <w:r>
        <w:t xml:space="preserve">Draft user‑facing</w:t>
      </w:r>
      <w:r>
        <w:t xml:space="preserve"> </w:t>
      </w:r>
      <w:r>
        <w:rPr>
          <w:b/>
          <w:bCs/>
        </w:rPr>
        <w:t xml:space="preserve">collection notices</w:t>
      </w:r>
      <w:r>
        <w:t xml:space="preserve"> </w:t>
      </w:r>
      <w:r>
        <w:t xml:space="preserve">explaining what data is collected, why, whether it is optional, how long it is kept and how users can export or delete it.</w:t>
      </w:r>
    </w:p>
    <w:bookmarkEnd w:id="48"/>
    <w:bookmarkStart w:id="49" w:name="ai-vendor-due-diligence"/>
    <w:p>
      <w:pPr>
        <w:pStyle w:val="Heading3"/>
      </w:pPr>
      <w:r>
        <w:t xml:space="preserve">6.5 AI Vendor Due Diligence</w:t>
      </w:r>
    </w:p>
    <w:p>
      <w:pPr>
        <w:pStyle w:val="Compact"/>
        <w:numPr>
          <w:ilvl w:val="0"/>
          <w:numId w:val="1022"/>
        </w:numPr>
      </w:pPr>
      <w:r>
        <w:t xml:space="preserve">Identify potential AI providers and evaluate their data retention, training, and deletion policies.</w:t>
      </w:r>
    </w:p>
    <w:p>
      <w:pPr>
        <w:pStyle w:val="Compact"/>
        <w:numPr>
          <w:ilvl w:val="0"/>
          <w:numId w:val="1022"/>
        </w:numPr>
      </w:pPr>
      <w:r>
        <w:t xml:space="preserve">Require terms that allow explicit control over user data and prevent use of personal data for training without consent.</w:t>
      </w:r>
    </w:p>
    <w:p>
      <w:pPr>
        <w:pStyle w:val="Compact"/>
        <w:numPr>
          <w:ilvl w:val="0"/>
          <w:numId w:val="1022"/>
        </w:numPr>
      </w:pPr>
      <w:r>
        <w:t xml:space="preserve">Document vendor responses and include them in the approval process before any live data is processed.</w:t>
      </w:r>
    </w:p>
    <w:bookmarkEnd w:id="49"/>
    <w:bookmarkStart w:id="50" w:name="embedding-invalidation-design"/>
    <w:p>
      <w:pPr>
        <w:pStyle w:val="Heading3"/>
      </w:pPr>
      <w:r>
        <w:t xml:space="preserve">6.6 Embedding Invalidation Design</w:t>
      </w:r>
    </w:p>
    <w:p>
      <w:pPr>
        <w:pStyle w:val="Compact"/>
        <w:numPr>
          <w:ilvl w:val="0"/>
          <w:numId w:val="1023"/>
        </w:numPr>
      </w:pPr>
      <w:r>
        <w:t xml:space="preserve">Define a mechanism linking each embedding to its source memory. When a memory is edited or deleted, automatically invalidate the corresponding embedding so it is not used in retrieval.</w:t>
      </w:r>
    </w:p>
    <w:bookmarkEnd w:id="50"/>
    <w:bookmarkStart w:id="51" w:name="safety-log-schedule"/>
    <w:p>
      <w:pPr>
        <w:pStyle w:val="Heading3"/>
      </w:pPr>
      <w:r>
        <w:t xml:space="preserve">6.7 Safety Log Schedule</w:t>
      </w:r>
    </w:p>
    <w:p>
      <w:pPr>
        <w:pStyle w:val="Compact"/>
        <w:numPr>
          <w:ilvl w:val="0"/>
          <w:numId w:val="1024"/>
        </w:numPr>
      </w:pPr>
      <w:r>
        <w:t xml:space="preserve">Establish a minimal, segregated log for crisis or safety incidents. Such logs must be access‑controlled, retention‑limited and excluded from AI training. Do not store sensitive content in general product memory or analytics logs.</w:t>
      </w:r>
    </w:p>
    <w:bookmarkEnd w:id="51"/>
    <w:bookmarkStart w:id="52" w:name="accessibility-testing"/>
    <w:p>
      <w:pPr>
        <w:pStyle w:val="Heading3"/>
      </w:pPr>
      <w:r>
        <w:t xml:space="preserve">6.8 Accessibility Testing</w:t>
      </w:r>
    </w:p>
    <w:p>
      <w:pPr>
        <w:pStyle w:val="Compact"/>
        <w:numPr>
          <w:ilvl w:val="0"/>
          <w:numId w:val="1025"/>
        </w:numPr>
      </w:pPr>
      <w:r>
        <w:t xml:space="preserve">Audit prototypes against WCAG 2.2 AA using screen readers, keyboard‑only navigation and high‑contrast modes.</w:t>
      </w:r>
    </w:p>
    <w:p>
      <w:pPr>
        <w:pStyle w:val="Compact"/>
        <w:numPr>
          <w:ilvl w:val="0"/>
          <w:numId w:val="1025"/>
        </w:numPr>
      </w:pPr>
      <w:r>
        <w:t xml:space="preserve">Include participants with diverse abilities and backgrounds in usability tests.</w:t>
      </w:r>
    </w:p>
    <w:p>
      <w:pPr>
        <w:pStyle w:val="Compact"/>
        <w:numPr>
          <w:ilvl w:val="0"/>
          <w:numId w:val="1025"/>
        </w:numPr>
      </w:pPr>
      <w:r>
        <w:t xml:space="preserve">Document issues and remediate them before launching any prototype to users.</w:t>
      </w:r>
    </w:p>
    <w:bookmarkEnd w:id="52"/>
    <w:bookmarkStart w:id="53" w:name="remotelocal-parity-report"/>
    <w:p>
      <w:pPr>
        <w:pStyle w:val="Heading3"/>
      </w:pPr>
      <w:r>
        <w:t xml:space="preserve">6.9 Remote/Local Parity Report</w:t>
      </w:r>
    </w:p>
    <w:p>
      <w:pPr>
        <w:pStyle w:val="Compact"/>
        <w:numPr>
          <w:ilvl w:val="0"/>
          <w:numId w:val="1026"/>
        </w:numPr>
      </w:pPr>
      <w:r>
        <w:t xml:space="preserve">Before moving to canonical documents, verify that the local repository tree matches the remote GitHub repository. Ensure no files are missing or misaligned and that exact duplicates are identified and mapped to source clusters.</w:t>
      </w:r>
    </w:p>
    <w:bookmarkEnd w:id="53"/>
    <w:bookmarkEnd w:id="54"/>
    <w:bookmarkStart w:id="64" w:name="pending-questions-prompts-for-gaps"/>
    <w:p>
      <w:pPr>
        <w:pStyle w:val="Heading2"/>
      </w:pPr>
      <w:r>
        <w:t xml:space="preserve">7. Pending Questions &amp; Prompts for Gaps</w:t>
      </w:r>
    </w:p>
    <w:p>
      <w:pPr>
        <w:pStyle w:val="FirstParagraph"/>
      </w:pPr>
      <w:r>
        <w:t xml:space="preserve">Use the following prompts in user research, onboarding modules or assumption validation. They gather rich context and are designed to be engaging:</w:t>
      </w:r>
    </w:p>
    <w:bookmarkStart w:id="55" w:name="values-priorities"/>
    <w:p>
      <w:pPr>
        <w:pStyle w:val="Heading3"/>
      </w:pPr>
      <w:r>
        <w:t xml:space="preserve">7.1 Values &amp; Priorities</w:t>
      </w:r>
    </w:p>
    <w:p>
      <w:pPr>
        <w:numPr>
          <w:ilvl w:val="0"/>
          <w:numId w:val="1027"/>
        </w:numPr>
      </w:pPr>
      <w:r>
        <w:rPr>
          <w:b/>
          <w:bCs/>
        </w:rPr>
        <w:t xml:space="preserve">Which of these values do you consider most important right now?</w:t>
      </w:r>
      <w:r>
        <w:t xml:space="preserve"> </w:t>
      </w:r>
      <w:r>
        <w:t xml:space="preserve">(Select one)</w:t>
      </w:r>
    </w:p>
    <w:p>
      <w:pPr>
        <w:numPr>
          <w:ilvl w:val="0"/>
          <w:numId w:val="1027"/>
        </w:numPr>
      </w:pPr>
      <w:r>
        <w:t xml:space="preserve">Honesty</w:t>
      </w:r>
    </w:p>
    <w:p>
      <w:pPr>
        <w:pStyle w:val="Compact"/>
        <w:numPr>
          <w:ilvl w:val="0"/>
          <w:numId w:val="1027"/>
        </w:numPr>
      </w:pPr>
      <w:r>
        <w:t xml:space="preserve">Growth</w:t>
      </w:r>
    </w:p>
    <w:p>
      <w:pPr>
        <w:pStyle w:val="Compact"/>
        <w:numPr>
          <w:ilvl w:val="0"/>
          <w:numId w:val="1027"/>
        </w:numPr>
      </w:pPr>
      <w:r>
        <w:t xml:space="preserve">Stability</w:t>
      </w:r>
    </w:p>
    <w:p>
      <w:pPr>
        <w:pStyle w:val="Compact"/>
        <w:numPr>
          <w:ilvl w:val="0"/>
          <w:numId w:val="1027"/>
        </w:numPr>
      </w:pPr>
      <w:r>
        <w:t xml:space="preserve">Adventure</w:t>
      </w:r>
    </w:p>
    <w:p>
      <w:pPr>
        <w:pStyle w:val="Compact"/>
        <w:numPr>
          <w:ilvl w:val="0"/>
          <w:numId w:val="1027"/>
        </w:numPr>
      </w:pPr>
      <w:r>
        <w:t xml:space="preserve">Compassion</w:t>
      </w:r>
    </w:p>
    <w:p>
      <w:pPr>
        <w:numPr>
          <w:ilvl w:val="0"/>
          <w:numId w:val="1027"/>
        </w:numPr>
      </w:pPr>
      <w:r>
        <w:t xml:space="preserve">Creativity</w:t>
      </w:r>
    </w:p>
    <w:p>
      <w:pPr>
        <w:numPr>
          <w:ilvl w:val="0"/>
          <w:numId w:val="1027"/>
        </w:numPr>
      </w:pPr>
      <w:r>
        <w:rPr>
          <w:b/>
          <w:bCs/>
        </w:rPr>
        <w:t xml:space="preserve">Rank the following areas in order of priority for the next year:</w:t>
      </w:r>
    </w:p>
    <w:p>
      <w:pPr>
        <w:numPr>
          <w:ilvl w:val="0"/>
          <w:numId w:val="1027"/>
        </w:numPr>
      </w:pPr>
      <w:r>
        <w:t xml:space="preserve">Career, family, health, friendships, personal development, financial stability.</w:t>
      </w:r>
    </w:p>
    <w:bookmarkEnd w:id="55"/>
    <w:bookmarkStart w:id="56" w:name="goal-setting"/>
    <w:p>
      <w:pPr>
        <w:pStyle w:val="Heading3"/>
      </w:pPr>
      <w:r>
        <w:t xml:space="preserve">7.2 Goal Setting</w:t>
      </w:r>
    </w:p>
    <w:p>
      <w:pPr>
        <w:numPr>
          <w:ilvl w:val="0"/>
          <w:numId w:val="1028"/>
        </w:numPr>
      </w:pPr>
      <w:r>
        <w:rPr>
          <w:b/>
          <w:bCs/>
        </w:rPr>
        <w:t xml:space="preserve">On a scale from 1 to 10, how committed are you to achieving your top goal?</w:t>
      </w:r>
    </w:p>
    <w:p>
      <w:pPr>
        <w:numPr>
          <w:ilvl w:val="0"/>
          <w:numId w:val="1028"/>
        </w:numPr>
      </w:pPr>
      <w:r>
        <w:rPr>
          <w:b/>
          <w:bCs/>
        </w:rPr>
        <w:t xml:space="preserve">Describe why this goal is meaningful to you in your own words.</w:t>
      </w:r>
    </w:p>
    <w:p>
      <w:pPr>
        <w:numPr>
          <w:ilvl w:val="0"/>
          <w:numId w:val="1028"/>
        </w:numPr>
      </w:pPr>
      <w:r>
        <w:rPr>
          <w:b/>
          <w:bCs/>
        </w:rPr>
        <w:t xml:space="preserve">How much control do you feel you have over reaching this goal?</w:t>
      </w:r>
      <w:r>
        <w:t xml:space="preserve"> </w:t>
      </w:r>
      <w:r>
        <w:t xml:space="preserve">(1–10)</w:t>
      </w:r>
    </w:p>
    <w:bookmarkEnd w:id="56"/>
    <w:bookmarkStart w:id="57" w:name="habits-patterns"/>
    <w:p>
      <w:pPr>
        <w:pStyle w:val="Heading3"/>
      </w:pPr>
      <w:r>
        <w:t xml:space="preserve">7.3 Habits &amp; Patterns</w:t>
      </w:r>
    </w:p>
    <w:p>
      <w:pPr>
        <w:numPr>
          <w:ilvl w:val="0"/>
          <w:numId w:val="1029"/>
        </w:numPr>
      </w:pPr>
      <w:r>
        <w:rPr>
          <w:b/>
          <w:bCs/>
        </w:rPr>
        <w:t xml:space="preserve">Which of the following behaviours do you struggle with most?</w:t>
      </w:r>
      <w:r>
        <w:t xml:space="preserve"> </w:t>
      </w:r>
      <w:r>
        <w:t xml:space="preserve">(Select up to two)</w:t>
      </w:r>
    </w:p>
    <w:p>
      <w:pPr>
        <w:numPr>
          <w:ilvl w:val="0"/>
          <w:numId w:val="1029"/>
        </w:numPr>
      </w:pPr>
      <w:r>
        <w:t xml:space="preserve">Procrastination</w:t>
      </w:r>
    </w:p>
    <w:p>
      <w:pPr>
        <w:pStyle w:val="Compact"/>
        <w:numPr>
          <w:ilvl w:val="0"/>
          <w:numId w:val="1029"/>
        </w:numPr>
      </w:pPr>
      <w:r>
        <w:t xml:space="preserve">Over‑commitment</w:t>
      </w:r>
    </w:p>
    <w:p>
      <w:pPr>
        <w:pStyle w:val="Compact"/>
        <w:numPr>
          <w:ilvl w:val="0"/>
          <w:numId w:val="1029"/>
        </w:numPr>
      </w:pPr>
      <w:r>
        <w:t xml:space="preserve">Impulsive spending</w:t>
      </w:r>
    </w:p>
    <w:p>
      <w:pPr>
        <w:pStyle w:val="Compact"/>
        <w:numPr>
          <w:ilvl w:val="0"/>
          <w:numId w:val="1029"/>
        </w:numPr>
      </w:pPr>
      <w:r>
        <w:t xml:space="preserve">Avoiding conflict</w:t>
      </w:r>
    </w:p>
    <w:p>
      <w:pPr>
        <w:numPr>
          <w:ilvl w:val="0"/>
          <w:numId w:val="1029"/>
        </w:numPr>
      </w:pPr>
      <w:r>
        <w:t xml:space="preserve">Over‑scheduling</w:t>
      </w:r>
    </w:p>
    <w:p>
      <w:pPr>
        <w:numPr>
          <w:ilvl w:val="0"/>
          <w:numId w:val="1029"/>
        </w:numPr>
      </w:pPr>
      <w:r>
        <w:rPr>
          <w:b/>
          <w:bCs/>
        </w:rPr>
        <w:t xml:space="preserve">If you have a free evening, which activity are you most likely to choose?</w:t>
      </w:r>
    </w:p>
    <w:p>
      <w:pPr>
        <w:numPr>
          <w:ilvl w:val="0"/>
          <w:numId w:val="1029"/>
        </w:numPr>
      </w:pPr>
      <w:r>
        <w:t xml:space="preserve">Exercise</w:t>
      </w:r>
    </w:p>
    <w:p>
      <w:pPr>
        <w:pStyle w:val="Compact"/>
        <w:numPr>
          <w:ilvl w:val="0"/>
          <w:numId w:val="1029"/>
        </w:numPr>
      </w:pPr>
      <w:r>
        <w:t xml:space="preserve">Work</w:t>
      </w:r>
    </w:p>
    <w:p>
      <w:pPr>
        <w:pStyle w:val="Compact"/>
        <w:numPr>
          <w:ilvl w:val="0"/>
          <w:numId w:val="1029"/>
        </w:numPr>
      </w:pPr>
      <w:r>
        <w:t xml:space="preserve">Socialising</w:t>
      </w:r>
    </w:p>
    <w:p>
      <w:pPr>
        <w:pStyle w:val="Compact"/>
        <w:numPr>
          <w:ilvl w:val="0"/>
          <w:numId w:val="1029"/>
        </w:numPr>
      </w:pPr>
      <w:r>
        <w:t xml:space="preserve">Relaxing alone</w:t>
      </w:r>
    </w:p>
    <w:p>
      <w:pPr>
        <w:pStyle w:val="Compact"/>
        <w:numPr>
          <w:ilvl w:val="0"/>
          <w:numId w:val="1029"/>
        </w:numPr>
      </w:pPr>
      <w:r>
        <w:t xml:space="preserve">Family time</w:t>
      </w:r>
    </w:p>
    <w:bookmarkEnd w:id="57"/>
    <w:bookmarkStart w:id="58" w:name="health-energy"/>
    <w:p>
      <w:pPr>
        <w:pStyle w:val="Heading3"/>
      </w:pPr>
      <w:r>
        <w:t xml:space="preserve">7.4 Health &amp; Energy</w:t>
      </w:r>
    </w:p>
    <w:p>
      <w:pPr>
        <w:numPr>
          <w:ilvl w:val="0"/>
          <w:numId w:val="1030"/>
        </w:numPr>
      </w:pPr>
      <w:r>
        <w:rPr>
          <w:b/>
          <w:bCs/>
        </w:rPr>
        <w:t xml:space="preserve">On average, how many hours of sleep do you get per night?</w:t>
      </w:r>
    </w:p>
    <w:p>
      <w:pPr>
        <w:numPr>
          <w:ilvl w:val="0"/>
          <w:numId w:val="1030"/>
        </w:numPr>
      </w:pPr>
      <w:r>
        <w:t xml:space="preserve">&lt;5, 5–6, 6–7, 7–8, &gt;8</w:t>
      </w:r>
    </w:p>
    <w:p>
      <w:pPr>
        <w:numPr>
          <w:ilvl w:val="0"/>
          <w:numId w:val="1030"/>
        </w:numPr>
      </w:pPr>
      <w:r>
        <w:rPr>
          <w:b/>
          <w:bCs/>
        </w:rPr>
        <w:t xml:space="preserve">On a scale from 1 to 10, rate your current energy level.</w:t>
      </w:r>
    </w:p>
    <w:p>
      <w:pPr>
        <w:numPr>
          <w:ilvl w:val="0"/>
          <w:numId w:val="1030"/>
        </w:numPr>
      </w:pPr>
      <w:r>
        <w:rPr>
          <w:b/>
          <w:bCs/>
        </w:rPr>
        <w:t xml:space="preserve">What helps you feel recharged?</w:t>
      </w:r>
      <w:r>
        <w:t xml:space="preserve"> </w:t>
      </w:r>
      <w:r>
        <w:t xml:space="preserve">(Select all that apply)</w:t>
      </w:r>
    </w:p>
    <w:p>
      <w:pPr>
        <w:numPr>
          <w:ilvl w:val="0"/>
          <w:numId w:val="1030"/>
        </w:numPr>
      </w:pPr>
      <w:r>
        <w:t xml:space="preserve">Exercise, sleep, social time, alone time, nature, hobbies, none</w:t>
      </w:r>
    </w:p>
    <w:bookmarkEnd w:id="58"/>
    <w:bookmarkStart w:id="59" w:name="relationships-support"/>
    <w:p>
      <w:pPr>
        <w:pStyle w:val="Heading3"/>
      </w:pPr>
      <w:r>
        <w:t xml:space="preserve">7.5 Relationships &amp; Support</w:t>
      </w:r>
    </w:p>
    <w:p>
      <w:pPr>
        <w:numPr>
          <w:ilvl w:val="0"/>
          <w:numId w:val="1031"/>
        </w:numPr>
      </w:pPr>
      <w:r>
        <w:rPr>
          <w:b/>
          <w:bCs/>
        </w:rPr>
        <w:t xml:space="preserve">List the top three people you rely on for support and describe the type of support they provide.</w:t>
      </w:r>
    </w:p>
    <w:p>
      <w:pPr>
        <w:numPr>
          <w:ilvl w:val="0"/>
          <w:numId w:val="1031"/>
        </w:numPr>
      </w:pPr>
      <w:r>
        <w:rPr>
          <w:b/>
          <w:bCs/>
        </w:rPr>
        <w:t xml:space="preserve">How comfortable are you asking for help when you need it?</w:t>
      </w:r>
      <w:r>
        <w:t xml:space="preserve"> </w:t>
      </w:r>
      <w:r>
        <w:t xml:space="preserve">(1–10)</w:t>
      </w:r>
    </w:p>
    <w:p>
      <w:pPr>
        <w:numPr>
          <w:ilvl w:val="0"/>
          <w:numId w:val="1031"/>
        </w:numPr>
      </w:pPr>
      <w:r>
        <w:rPr>
          <w:b/>
          <w:bCs/>
        </w:rPr>
        <w:t xml:space="preserve">What kind of check‑ins would you find most helpful from your support circle?</w:t>
      </w:r>
      <w:r>
        <w:t xml:space="preserve"> </w:t>
      </w:r>
      <w:r>
        <w:t xml:space="preserve">(e.g. daily messages, weekly calls, monthly reviews)</w:t>
      </w:r>
    </w:p>
    <w:bookmarkEnd w:id="59"/>
    <w:bookmarkStart w:id="60" w:name="risk-triggers"/>
    <w:p>
      <w:pPr>
        <w:pStyle w:val="Heading3"/>
      </w:pPr>
      <w:r>
        <w:t xml:space="preserve">7.6 Risk &amp; Triggers</w:t>
      </w:r>
    </w:p>
    <w:p>
      <w:pPr>
        <w:numPr>
          <w:ilvl w:val="0"/>
          <w:numId w:val="1032"/>
        </w:numPr>
      </w:pPr>
      <w:r>
        <w:rPr>
          <w:b/>
          <w:bCs/>
        </w:rPr>
        <w:t xml:space="preserve">Describe situations that cause you stress or make you feel like you might compromise your values.</w:t>
      </w:r>
    </w:p>
    <w:p>
      <w:pPr>
        <w:numPr>
          <w:ilvl w:val="0"/>
          <w:numId w:val="1032"/>
        </w:numPr>
      </w:pPr>
      <w:r>
        <w:rPr>
          <w:b/>
          <w:bCs/>
        </w:rPr>
        <w:t xml:space="preserve">If you notice a pattern of not following through on commitments, what would you like the system to do?</w:t>
      </w:r>
    </w:p>
    <w:bookmarkEnd w:id="60"/>
    <w:bookmarkStart w:id="61" w:name="quick-wins-phone-integration"/>
    <w:p>
      <w:pPr>
        <w:pStyle w:val="Heading3"/>
      </w:pPr>
      <w:r>
        <w:t xml:space="preserve">7.7 Quick Wins &amp; Phone Integration</w:t>
      </w:r>
    </w:p>
    <w:p>
      <w:pPr>
        <w:numPr>
          <w:ilvl w:val="0"/>
          <w:numId w:val="1033"/>
        </w:numPr>
      </w:pPr>
      <w:r>
        <w:rPr>
          <w:b/>
          <w:bCs/>
        </w:rPr>
        <w:t xml:space="preserve">Which of the following would you like to connect first?</w:t>
      </w:r>
    </w:p>
    <w:p>
      <w:pPr>
        <w:numPr>
          <w:ilvl w:val="0"/>
          <w:numId w:val="1033"/>
        </w:numPr>
      </w:pPr>
      <w:r>
        <w:t xml:space="preserve">Calendar</w:t>
      </w:r>
    </w:p>
    <w:p>
      <w:pPr>
        <w:pStyle w:val="Compact"/>
        <w:numPr>
          <w:ilvl w:val="0"/>
          <w:numId w:val="1033"/>
        </w:numPr>
      </w:pPr>
      <w:r>
        <w:t xml:space="preserve">Health data</w:t>
      </w:r>
    </w:p>
    <w:p>
      <w:pPr>
        <w:pStyle w:val="Compact"/>
        <w:numPr>
          <w:ilvl w:val="0"/>
          <w:numId w:val="1033"/>
        </w:numPr>
      </w:pPr>
      <w:r>
        <w:t xml:space="preserve">Task list</w:t>
      </w:r>
    </w:p>
    <w:p>
      <w:pPr>
        <w:numPr>
          <w:ilvl w:val="0"/>
          <w:numId w:val="1033"/>
        </w:numPr>
      </w:pPr>
      <w:r>
        <w:t xml:space="preserve">None</w:t>
      </w:r>
    </w:p>
    <w:p>
      <w:pPr>
        <w:numPr>
          <w:ilvl w:val="0"/>
          <w:numId w:val="1033"/>
        </w:numPr>
      </w:pPr>
      <w:r>
        <w:rPr>
          <w:b/>
          <w:bCs/>
        </w:rPr>
        <w:t xml:space="preserve">What is your biggest time‑management challenge?</w:t>
      </w:r>
    </w:p>
    <w:p>
      <w:pPr>
        <w:numPr>
          <w:ilvl w:val="0"/>
          <w:numId w:val="1033"/>
        </w:numPr>
      </w:pPr>
      <w:r>
        <w:t xml:space="preserve">Meetings/tasks overlap</w:t>
      </w:r>
    </w:p>
    <w:p>
      <w:pPr>
        <w:pStyle w:val="Compact"/>
        <w:numPr>
          <w:ilvl w:val="0"/>
          <w:numId w:val="1033"/>
        </w:numPr>
      </w:pPr>
      <w:r>
        <w:t xml:space="preserve">Forgetting commitments</w:t>
      </w:r>
    </w:p>
    <w:p>
      <w:pPr>
        <w:pStyle w:val="Compact"/>
        <w:numPr>
          <w:ilvl w:val="0"/>
          <w:numId w:val="1033"/>
        </w:numPr>
      </w:pPr>
      <w:r>
        <w:t xml:space="preserve">Overbooking</w:t>
      </w:r>
    </w:p>
    <w:p>
      <w:pPr>
        <w:pStyle w:val="Compact"/>
        <w:numPr>
          <w:ilvl w:val="0"/>
          <w:numId w:val="1033"/>
        </w:numPr>
      </w:pPr>
      <w:r>
        <w:t xml:space="preserve">Unclear priorities</w:t>
      </w:r>
    </w:p>
    <w:p>
      <w:pPr>
        <w:pStyle w:val="Compact"/>
        <w:numPr>
          <w:ilvl w:val="0"/>
          <w:numId w:val="1033"/>
        </w:numPr>
      </w:pPr>
      <w:r>
        <w:t xml:space="preserve">Losing track of tasks</w:t>
      </w:r>
    </w:p>
    <w:bookmarkEnd w:id="61"/>
    <w:bookmarkStart w:id="62" w:name="life-capture"/>
    <w:p>
      <w:pPr>
        <w:pStyle w:val="Heading3"/>
      </w:pPr>
      <w:r>
        <w:t xml:space="preserve">7.8 Life Capture</w:t>
      </w:r>
    </w:p>
    <w:p>
      <w:pPr>
        <w:numPr>
          <w:ilvl w:val="0"/>
          <w:numId w:val="1034"/>
        </w:numPr>
      </w:pPr>
      <w:r>
        <w:rPr>
          <w:b/>
          <w:bCs/>
        </w:rPr>
        <w:t xml:space="preserve">Take a photo of a recent bill or invoice you’ve received and tell us how you feel about paying it.</w:t>
      </w:r>
    </w:p>
    <w:p>
      <w:pPr>
        <w:numPr>
          <w:ilvl w:val="0"/>
          <w:numId w:val="1034"/>
        </w:numPr>
      </w:pPr>
      <w:r>
        <w:rPr>
          <w:b/>
          <w:bCs/>
        </w:rPr>
        <w:t xml:space="preserve">Upload a screenshot of a calendar conflict that stresses you and explain why it’s a problem.</w:t>
      </w:r>
    </w:p>
    <w:bookmarkEnd w:id="62"/>
    <w:bookmarkStart w:id="63" w:name="reflections"/>
    <w:p>
      <w:pPr>
        <w:pStyle w:val="Heading3"/>
      </w:pPr>
      <w:r>
        <w:t xml:space="preserve">7.9 Reflections</w:t>
      </w:r>
    </w:p>
    <w:p>
      <w:pPr>
        <w:numPr>
          <w:ilvl w:val="0"/>
          <w:numId w:val="1035"/>
        </w:numPr>
      </w:pPr>
      <w:r>
        <w:rPr>
          <w:b/>
          <w:bCs/>
        </w:rPr>
        <w:t xml:space="preserve">Write about a recent decision you regret. What would you like to do differently next time?</w:t>
      </w:r>
    </w:p>
    <w:p>
      <w:pPr>
        <w:numPr>
          <w:ilvl w:val="0"/>
          <w:numId w:val="1035"/>
        </w:numPr>
      </w:pPr>
      <w:r>
        <w:rPr>
          <w:b/>
          <w:bCs/>
        </w:rPr>
        <w:t xml:space="preserve">If you could speak to your future self, what would you ask or tell them?</w:t>
      </w:r>
    </w:p>
    <w:bookmarkEnd w:id="63"/>
    <w:bookmarkEnd w:id="64"/>
    <w:bookmarkStart w:id="65" w:name="owner-decisions-summary-responses"/>
    <w:p>
      <w:pPr>
        <w:pStyle w:val="Heading2"/>
      </w:pPr>
      <w:r>
        <w:t xml:space="preserve">8. Owner Decisions Summary &amp; Responses</w:t>
      </w:r>
    </w:p>
    <w:p>
      <w:pPr>
        <w:pStyle w:val="FirstParagraph"/>
      </w:pPr>
      <w:r>
        <w:t xml:space="preserve">Below is a consolidated response to the 30 owner decisions referenced in the deep research report. Each decision is either approved, modified or rejected.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Decision Area</w:t>
            </w:r>
          </w:p>
        </w:tc>
        <w:tc>
          <w:tcPr/>
          <w:p>
            <w:pPr>
              <w:pStyle w:val="Compact"/>
            </w:pPr>
            <w:r>
              <w:t xml:space="preserve">Outcome</w:t>
            </w:r>
          </w:p>
        </w:tc>
        <w:tc>
          <w:tcPr/>
          <w:p>
            <w:pPr>
              <w:pStyle w:val="Compact"/>
            </w:pPr>
            <w:r>
              <w:t xml:space="preserve">Notes</w:t>
            </w:r>
          </w:p>
        </w:tc>
      </w:tr>
      <w:tr>
        <w:tc>
          <w:tcPr/>
          <w:p>
            <w:pPr>
              <w:pStyle w:val="Compact"/>
            </w:pPr>
            <w:r>
              <w:t xml:space="preserve">DEC‑001</w:t>
            </w:r>
          </w:p>
        </w:tc>
        <w:tc>
          <w:tcPr/>
          <w:p>
            <w:pPr>
              <w:pStyle w:val="Compact"/>
            </w:pPr>
            <w:r>
              <w:t xml:space="preserve">Product name</w:t>
            </w:r>
          </w:p>
        </w:tc>
        <w:tc>
          <w:tcPr/>
          <w:p>
            <w:pPr>
              <w:pStyle w:val="Compact"/>
            </w:pPr>
            <w:r>
              <w:t xml:space="preserve">Modify</w:t>
            </w:r>
          </w:p>
        </w:tc>
        <w:tc>
          <w:tcPr/>
          <w:p>
            <w:pPr>
              <w:pStyle w:val="Compact"/>
            </w:pPr>
            <w:r>
              <w:t xml:space="preserve">Adopt</w:t>
            </w:r>
            <w:r>
              <w:t xml:space="preserve"> </w:t>
            </w:r>
            <w:r>
              <w:rPr>
                <w:b/>
                <w:bCs/>
              </w:rPr>
              <w:t xml:space="preserve">BecomingOS</w:t>
            </w:r>
            <w:r>
              <w:t xml:space="preserve"> </w:t>
            </w:r>
            <w:r>
              <w:t xml:space="preserve">as the external product name; lifeOS remains an internal alias.</w:t>
            </w:r>
          </w:p>
        </w:tc>
      </w:tr>
      <w:tr>
        <w:tc>
          <w:tcPr/>
          <w:p>
            <w:pPr>
              <w:pStyle w:val="Compact"/>
            </w:pPr>
            <w:r>
              <w:t xml:space="preserve">DEC‑002</w:t>
            </w:r>
          </w:p>
        </w:tc>
        <w:tc>
          <w:tcPr/>
          <w:p>
            <w:pPr>
              <w:pStyle w:val="Compact"/>
            </w:pPr>
            <w:r>
              <w:t xml:space="preserve">Product stage</w:t>
            </w:r>
          </w:p>
        </w:tc>
        <w:tc>
          <w:tcPr/>
          <w:p>
            <w:pPr>
              <w:pStyle w:val="Compact"/>
            </w:pPr>
            <w:r>
              <w:t xml:space="preserve">Modify</w:t>
            </w:r>
          </w:p>
        </w:tc>
        <w:tc>
          <w:tcPr/>
          <w:p>
            <w:pPr>
              <w:pStyle w:val="Compact"/>
            </w:pPr>
            <w:r>
              <w:t xml:space="preserve">The product is pre‑MVP with a limited private beta. The beta allows real data for a trusted group with consent but does not authorise a public build.</w:t>
            </w:r>
          </w:p>
        </w:tc>
      </w:tr>
      <w:tr>
        <w:tc>
          <w:tcPr/>
          <w:p>
            <w:pPr>
              <w:pStyle w:val="Compact"/>
            </w:pPr>
            <w:r>
              <w:t xml:space="preserve">DEC‑003</w:t>
            </w:r>
          </w:p>
        </w:tc>
        <w:tc>
          <w:tcPr/>
          <w:p>
            <w:pPr>
              <w:pStyle w:val="Compact"/>
            </w:pPr>
            <w:r>
              <w:t xml:space="preserve">Repo scope</w:t>
            </w:r>
          </w:p>
        </w:tc>
        <w:tc>
          <w:tcPr/>
          <w:p>
            <w:pPr>
              <w:pStyle w:val="Compact"/>
            </w:pPr>
            <w:r>
              <w:t xml:space="preserve">Modify</w:t>
            </w:r>
          </w:p>
        </w:tc>
        <w:tc>
          <w:tcPr/>
          <w:p>
            <w:pPr>
              <w:pStyle w:val="Compact"/>
            </w:pPr>
            <w:r>
              <w:t xml:space="preserve">Treat implementation‑adjacent files as evidence only, not authority or code.</w:t>
            </w:r>
          </w:p>
        </w:tc>
      </w:tr>
      <w:tr>
        <w:tc>
          <w:tcPr/>
          <w:p>
            <w:pPr>
              <w:pStyle w:val="Compact"/>
            </w:pPr>
            <w:r>
              <w:t xml:space="preserve">DEC‑004</w:t>
            </w:r>
          </w:p>
        </w:tc>
        <w:tc>
          <w:tcPr/>
          <w:p>
            <w:pPr>
              <w:pStyle w:val="Compact"/>
            </w:pPr>
            <w:r>
              <w:t xml:space="preserve">Product category</w:t>
            </w:r>
          </w:p>
        </w:tc>
        <w:tc>
          <w:tcPr/>
          <w:p>
            <w:pPr>
              <w:pStyle w:val="Compact"/>
            </w:pPr>
            <w:r>
              <w:t xml:space="preserve">Approve</w:t>
            </w:r>
          </w:p>
        </w:tc>
        <w:tc>
          <w:tcPr/>
          <w:p>
            <w:pPr>
              <w:pStyle w:val="Compact"/>
            </w:pPr>
            <w:r>
              <w:t xml:space="preserve">Position as an educational, non‑clinical reflection and action‑planning system.</w:t>
            </w:r>
          </w:p>
        </w:tc>
      </w:tr>
      <w:tr>
        <w:tc>
          <w:tcPr/>
          <w:p>
            <w:pPr>
              <w:pStyle w:val="Compact"/>
            </w:pPr>
            <w:r>
              <w:t xml:space="preserve">DEC‑005</w:t>
            </w:r>
          </w:p>
        </w:tc>
        <w:tc>
          <w:tcPr/>
          <w:p>
            <w:pPr>
              <w:pStyle w:val="Compact"/>
            </w:pPr>
            <w:r>
              <w:t xml:space="preserve">Prototype scope</w:t>
            </w:r>
          </w:p>
        </w:tc>
        <w:tc>
          <w:tcPr/>
          <w:p>
            <w:pPr>
              <w:pStyle w:val="Compact"/>
            </w:pPr>
            <w:r>
              <w:t xml:space="preserve">Approve</w:t>
            </w:r>
          </w:p>
        </w:tc>
        <w:tc>
          <w:tcPr/>
          <w:p>
            <w:pPr>
              <w:pStyle w:val="Compact"/>
            </w:pPr>
            <w:r>
              <w:t xml:space="preserve">Limit the internal prototype to validation. Real data is allowed only within the private beta context.</w:t>
            </w:r>
          </w:p>
        </w:tc>
      </w:tr>
      <w:tr>
        <w:tc>
          <w:tcPr/>
          <w:p>
            <w:pPr>
              <w:pStyle w:val="Compact"/>
            </w:pPr>
            <w:r>
              <w:t xml:space="preserve">DEC‑006</w:t>
            </w:r>
          </w:p>
        </w:tc>
        <w:tc>
          <w:tcPr/>
          <w:p>
            <w:pPr>
              <w:pStyle w:val="Compact"/>
            </w:pPr>
            <w:r>
              <w:t xml:space="preserve">Candidate MVP scope</w:t>
            </w:r>
          </w:p>
        </w:tc>
        <w:tc>
          <w:tcPr/>
          <w:p>
            <w:pPr>
              <w:pStyle w:val="Compact"/>
            </w:pPr>
            <w:r>
              <w:t xml:space="preserve">Approve</w:t>
            </w:r>
          </w:p>
        </w:tc>
        <w:tc>
          <w:tcPr/>
          <w:p>
            <w:pPr>
              <w:pStyle w:val="Compact"/>
            </w:pPr>
            <w:r>
              <w:t xml:space="preserve">Use as planning only; not build‑approved.</w:t>
            </w:r>
          </w:p>
        </w:tc>
      </w:tr>
      <w:tr>
        <w:tc>
          <w:tcPr/>
          <w:p>
            <w:pPr>
              <w:pStyle w:val="Compact"/>
            </w:pPr>
            <w:r>
              <w:t xml:space="preserve">DEC‑007</w:t>
            </w:r>
          </w:p>
        </w:tc>
        <w:tc>
          <w:tcPr/>
          <w:p>
            <w:pPr>
              <w:pStyle w:val="Compact"/>
            </w:pPr>
            <w:r>
              <w:t xml:space="preserve">Non‑clinical boundary</w:t>
            </w:r>
          </w:p>
        </w:tc>
        <w:tc>
          <w:tcPr/>
          <w:p>
            <w:pPr>
              <w:pStyle w:val="Compact"/>
            </w:pPr>
            <w:r>
              <w:t xml:space="preserve">Approve</w:t>
            </w:r>
          </w:p>
        </w:tc>
        <w:tc>
          <w:tcPr/>
          <w:p>
            <w:pPr>
              <w:pStyle w:val="Compact"/>
            </w:pPr>
            <w:r>
              <w:t xml:space="preserve">All docs must enforce a non‑clinical, non‑therapy boundary.</w:t>
            </w:r>
          </w:p>
        </w:tc>
      </w:tr>
      <w:tr>
        <w:tc>
          <w:tcPr/>
          <w:p>
            <w:pPr>
              <w:pStyle w:val="Compact"/>
            </w:pPr>
            <w:r>
              <w:t xml:space="preserve">DEC‑008</w:t>
            </w:r>
          </w:p>
        </w:tc>
        <w:tc>
          <w:tcPr/>
          <w:p>
            <w:pPr>
              <w:pStyle w:val="Compact"/>
            </w:pPr>
            <w:r>
              <w:t xml:space="preserve">Crisis and emergency handling</w:t>
            </w:r>
          </w:p>
        </w:tc>
        <w:tc>
          <w:tcPr/>
          <w:p>
            <w:pPr>
              <w:pStyle w:val="Compact"/>
            </w:pPr>
            <w:r>
              <w:t xml:space="preserve">Approve</w:t>
            </w:r>
          </w:p>
        </w:tc>
        <w:tc>
          <w:tcPr/>
          <w:p>
            <w:pPr>
              <w:pStyle w:val="Compact"/>
            </w:pPr>
            <w:r>
              <w:t xml:space="preserve">State that the product is not an emergency service; provide only resource signposting.</w:t>
            </w:r>
          </w:p>
        </w:tc>
      </w:tr>
      <w:tr>
        <w:tc>
          <w:tcPr/>
          <w:p>
            <w:pPr>
              <w:pStyle w:val="Compact"/>
            </w:pPr>
            <w:r>
              <w:t xml:space="preserve">DEC‑009</w:t>
            </w:r>
          </w:p>
        </w:tc>
        <w:tc>
          <w:tcPr/>
          <w:p>
            <w:pPr>
              <w:pStyle w:val="Compact"/>
            </w:pPr>
            <w:r>
              <w:t xml:space="preserve">Crisis/safety logging</w:t>
            </w:r>
          </w:p>
        </w:tc>
        <w:tc>
          <w:tcPr/>
          <w:p>
            <w:pPr>
              <w:pStyle w:val="Compact"/>
            </w:pPr>
            <w:r>
              <w:t xml:space="preserve">Modify</w:t>
            </w:r>
          </w:p>
        </w:tc>
        <w:tc>
          <w:tcPr/>
          <w:p>
            <w:pPr>
              <w:pStyle w:val="Compact"/>
            </w:pPr>
            <w:r>
              <w:t xml:space="preserve">Create a minimal, segregated safety log; exclude it from memory and analytics.</w:t>
            </w:r>
          </w:p>
        </w:tc>
      </w:tr>
      <w:tr>
        <w:tc>
          <w:tcPr/>
          <w:p>
            <w:pPr>
              <w:pStyle w:val="Compact"/>
            </w:pPr>
            <w:r>
              <w:t xml:space="preserve">DEC‑010</w:t>
            </w:r>
          </w:p>
        </w:tc>
        <w:tc>
          <w:tcPr/>
          <w:p>
            <w:pPr>
              <w:pStyle w:val="Compact"/>
            </w:pPr>
            <w:r>
              <w:t xml:space="preserve">Bad‑day mode</w:t>
            </w:r>
          </w:p>
        </w:tc>
        <w:tc>
          <w:tcPr/>
          <w:p>
            <w:pPr>
              <w:pStyle w:val="Compact"/>
            </w:pPr>
            <w:r>
              <w:t xml:space="preserve">Approve</w:t>
            </w:r>
          </w:p>
        </w:tc>
        <w:tc>
          <w:tcPr/>
          <w:p>
            <w:pPr>
              <w:pStyle w:val="Compact"/>
            </w:pPr>
            <w:r>
              <w:t xml:space="preserve">Offer a low‑intensity mode with pause/skip and resource links.</w:t>
            </w:r>
          </w:p>
        </w:tc>
      </w:tr>
      <w:tr>
        <w:tc>
          <w:tcPr/>
          <w:p>
            <w:pPr>
              <w:pStyle w:val="Compact"/>
            </w:pPr>
            <w:r>
              <w:t xml:space="preserve">DEC‑011</w:t>
            </w:r>
          </w:p>
        </w:tc>
        <w:tc>
          <w:tcPr/>
          <w:p>
            <w:pPr>
              <w:pStyle w:val="Compact"/>
            </w:pPr>
            <w:r>
              <w:t xml:space="preserve">Data storage model</w:t>
            </w:r>
          </w:p>
        </w:tc>
        <w:tc>
          <w:tcPr/>
          <w:p>
            <w:pPr>
              <w:pStyle w:val="Compact"/>
            </w:pPr>
            <w:r>
              <w:t xml:space="preserve">Approve</w:t>
            </w:r>
          </w:p>
        </w:tc>
        <w:tc>
          <w:tcPr/>
          <w:p>
            <w:pPr>
              <w:pStyle w:val="Compact"/>
            </w:pPr>
            <w:r>
              <w:t xml:space="preserve">Prototype does not require durable personal data; for the private beta, data retention and deletion rules must be defined.</w:t>
            </w:r>
          </w:p>
        </w:tc>
      </w:tr>
      <w:tr>
        <w:tc>
          <w:tcPr/>
          <w:p>
            <w:pPr>
              <w:pStyle w:val="Compact"/>
            </w:pPr>
            <w:r>
              <w:t xml:space="preserve">DEC‑012</w:t>
            </w:r>
          </w:p>
        </w:tc>
        <w:tc>
          <w:tcPr/>
          <w:p>
            <w:pPr>
              <w:pStyle w:val="Compact"/>
            </w:pPr>
            <w:r>
              <w:t xml:space="preserve">Consent/retention/deletion/export</w:t>
            </w:r>
          </w:p>
        </w:tc>
        <w:tc>
          <w:tcPr/>
          <w:p>
            <w:pPr>
              <w:pStyle w:val="Compact"/>
            </w:pPr>
            <w:r>
              <w:t xml:space="preserve">Approve</w:t>
            </w:r>
          </w:p>
        </w:tc>
        <w:tc>
          <w:tcPr/>
          <w:p>
            <w:pPr>
              <w:pStyle w:val="Compact"/>
            </w:pPr>
            <w:r>
              <w:t xml:space="preserve">Define data‑type‑specific rules before any live processing. Private beta testers must receive a consent notice.</w:t>
            </w:r>
          </w:p>
        </w:tc>
      </w:tr>
      <w:tr>
        <w:tc>
          <w:tcPr/>
          <w:p>
            <w:pPr>
              <w:pStyle w:val="Compact"/>
            </w:pPr>
            <w:r>
              <w:t xml:space="preserve">DEC‑013</w:t>
            </w:r>
          </w:p>
        </w:tc>
        <w:tc>
          <w:tcPr/>
          <w:p>
            <w:pPr>
              <w:pStyle w:val="Compact"/>
            </w:pPr>
            <w:r>
              <w:t xml:space="preserve">Jurisdiction assumptions</w:t>
            </w:r>
          </w:p>
        </w:tc>
        <w:tc>
          <w:tcPr/>
          <w:p>
            <w:pPr>
              <w:pStyle w:val="Compact"/>
            </w:pPr>
            <w:r>
              <w:t xml:space="preserve">Modify</w:t>
            </w:r>
          </w:p>
        </w:tc>
        <w:tc>
          <w:tcPr/>
          <w:p>
            <w:pPr>
              <w:pStyle w:val="Compact"/>
            </w:pPr>
            <w:r>
              <w:t xml:space="preserve">Use Australia‑first baseline with GDPR‑compatible design; avoid making compliance claims without legal review.</w:t>
            </w:r>
          </w:p>
        </w:tc>
      </w:tr>
      <w:tr>
        <w:tc>
          <w:tcPr/>
          <w:p>
            <w:pPr>
              <w:pStyle w:val="Compact"/>
            </w:pPr>
            <w:r>
              <w:t xml:space="preserve">DEC‑014</w:t>
            </w:r>
          </w:p>
        </w:tc>
        <w:tc>
          <w:tcPr/>
          <w:p>
            <w:pPr>
              <w:pStyle w:val="Compact"/>
            </w:pPr>
            <w:r>
              <w:t xml:space="preserve">Supporter/donor data</w:t>
            </w:r>
          </w:p>
        </w:tc>
        <w:tc>
          <w:tcPr/>
          <w:p>
            <w:pPr>
              <w:pStyle w:val="Compact"/>
            </w:pPr>
            <w:r>
              <w:t xml:space="preserve">Reject</w:t>
            </w:r>
          </w:p>
        </w:tc>
        <w:tc>
          <w:tcPr/>
          <w:p>
            <w:pPr>
              <w:pStyle w:val="Compact"/>
            </w:pPr>
            <w:r>
              <w:t xml:space="preserve">Exclude supporter/donor data from the scope.</w:t>
            </w:r>
          </w:p>
        </w:tc>
      </w:tr>
      <w:tr>
        <w:tc>
          <w:tcPr/>
          <w:p>
            <w:pPr>
              <w:pStyle w:val="Compact"/>
            </w:pPr>
            <w:r>
              <w:t xml:space="preserve">DEC‑015</w:t>
            </w:r>
          </w:p>
        </w:tc>
        <w:tc>
          <w:tcPr/>
          <w:p>
            <w:pPr>
              <w:pStyle w:val="Compact"/>
            </w:pPr>
            <w:r>
              <w:t xml:space="preserve">AI role</w:t>
            </w:r>
          </w:p>
        </w:tc>
        <w:tc>
          <w:tcPr/>
          <w:p>
            <w:pPr>
              <w:pStyle w:val="Compact"/>
            </w:pPr>
            <w:r>
              <w:t xml:space="preserve">Approve</w:t>
            </w:r>
          </w:p>
        </w:tc>
        <w:tc>
          <w:tcPr/>
          <w:p>
            <w:pPr>
              <w:pStyle w:val="Compact"/>
            </w:pPr>
            <w:r>
              <w:t xml:space="preserve">AI only drafts interpretations and suggestions; user confirmation is required for durable memory.</w:t>
            </w:r>
          </w:p>
        </w:tc>
      </w:tr>
      <w:tr>
        <w:tc>
          <w:tcPr/>
          <w:p>
            <w:pPr>
              <w:pStyle w:val="Compact"/>
            </w:pPr>
            <w:r>
              <w:t xml:space="preserve">DEC‑016</w:t>
            </w:r>
          </w:p>
        </w:tc>
        <w:tc>
          <w:tcPr/>
          <w:p>
            <w:pPr>
              <w:pStyle w:val="Compact"/>
            </w:pPr>
            <w:r>
              <w:t xml:space="preserve">Rejected/deleted memory</w:t>
            </w:r>
          </w:p>
        </w:tc>
        <w:tc>
          <w:tcPr/>
          <w:p>
            <w:pPr>
              <w:pStyle w:val="Compact"/>
            </w:pPr>
            <w:r>
              <w:t xml:space="preserve">Approve</w:t>
            </w:r>
          </w:p>
        </w:tc>
        <w:tc>
          <w:tcPr/>
          <w:p>
            <w:pPr>
              <w:pStyle w:val="Compact"/>
            </w:pPr>
            <w:r>
              <w:t xml:space="preserve">Exclude unconfirmed, rejected, deleted or withdrawn items from retrieval.</w:t>
            </w:r>
          </w:p>
        </w:tc>
      </w:tr>
      <w:tr>
        <w:tc>
          <w:tcPr/>
          <w:p>
            <w:pPr>
              <w:pStyle w:val="Compact"/>
            </w:pPr>
            <w:r>
              <w:t xml:space="preserve">DEC‑017</w:t>
            </w:r>
          </w:p>
        </w:tc>
        <w:tc>
          <w:tcPr/>
          <w:p>
            <w:pPr>
              <w:pStyle w:val="Compact"/>
            </w:pPr>
            <w:r>
              <w:t xml:space="preserve">Provider retention</w:t>
            </w:r>
          </w:p>
        </w:tc>
        <w:tc>
          <w:tcPr/>
          <w:p>
            <w:pPr>
              <w:pStyle w:val="Compact"/>
            </w:pPr>
            <w:r>
              <w:t xml:space="preserve">Approve</w:t>
            </w:r>
          </w:p>
        </w:tc>
        <w:tc>
          <w:tcPr/>
          <w:p>
            <w:pPr>
              <w:pStyle w:val="Compact"/>
            </w:pPr>
            <w:r>
              <w:t xml:space="preserve">Do not send live user data to AI providers until retention, training, transfer and deletion terms are approved.</w:t>
            </w:r>
          </w:p>
        </w:tc>
      </w:tr>
      <w:tr>
        <w:tc>
          <w:tcPr/>
          <w:p>
            <w:pPr>
              <w:pStyle w:val="Compact"/>
            </w:pPr>
            <w:r>
              <w:t xml:space="preserve">DEC‑018</w:t>
            </w:r>
          </w:p>
        </w:tc>
        <w:tc>
          <w:tcPr/>
          <w:p>
            <w:pPr>
              <w:pStyle w:val="Compact"/>
            </w:pPr>
            <w:r>
              <w:t xml:space="preserve">Embeddings and retrieval</w:t>
            </w:r>
          </w:p>
        </w:tc>
        <w:tc>
          <w:tcPr/>
          <w:p>
            <w:pPr>
              <w:pStyle w:val="Compact"/>
            </w:pPr>
            <w:r>
              <w:t xml:space="preserve">Approve</w:t>
            </w:r>
          </w:p>
        </w:tc>
        <w:tc>
          <w:tcPr/>
          <w:p>
            <w:pPr>
              <w:pStyle w:val="Compact"/>
            </w:pPr>
            <w:r>
              <w:t xml:space="preserve">Embeddings are created only for confirmed data and invalidated when the source changes.</w:t>
            </w:r>
          </w:p>
        </w:tc>
      </w:tr>
      <w:tr>
        <w:tc>
          <w:tcPr/>
          <w:p>
            <w:pPr>
              <w:pStyle w:val="Compact"/>
            </w:pPr>
            <w:r>
              <w:t xml:space="preserve">DEC‑019</w:t>
            </w:r>
          </w:p>
        </w:tc>
        <w:tc>
          <w:tcPr/>
          <w:p>
            <w:pPr>
              <w:pStyle w:val="Compact"/>
            </w:pPr>
            <w:r>
              <w:t xml:space="preserve">Evidence vs assumptions</w:t>
            </w:r>
          </w:p>
        </w:tc>
        <w:tc>
          <w:tcPr/>
          <w:p>
            <w:pPr>
              <w:pStyle w:val="Compact"/>
            </w:pPr>
            <w:r>
              <w:t xml:space="preserve">Approve</w:t>
            </w:r>
          </w:p>
        </w:tc>
        <w:tc>
          <w:tcPr/>
          <w:p>
            <w:pPr>
              <w:pStyle w:val="Compact"/>
            </w:pPr>
            <w:r>
              <w:t xml:space="preserve">Maintain an evidence/assumption register; do not treat recommendations as fact without testing.</w:t>
            </w:r>
          </w:p>
        </w:tc>
      </w:tr>
      <w:tr>
        <w:tc>
          <w:tcPr/>
          <w:p>
            <w:pPr>
              <w:pStyle w:val="Compact"/>
            </w:pPr>
            <w:r>
              <w:t xml:space="preserve">DEC‑020</w:t>
            </w:r>
          </w:p>
        </w:tc>
        <w:tc>
          <w:tcPr/>
          <w:p>
            <w:pPr>
              <w:pStyle w:val="Compact"/>
            </w:pPr>
            <w:r>
              <w:t xml:space="preserve">User research</w:t>
            </w:r>
          </w:p>
        </w:tc>
        <w:tc>
          <w:tcPr/>
          <w:p>
            <w:pPr>
              <w:pStyle w:val="Compact"/>
            </w:pPr>
            <w:r>
              <w:t xml:space="preserve">Approve</w:t>
            </w:r>
          </w:p>
        </w:tc>
        <w:tc>
          <w:tcPr/>
          <w:p>
            <w:pPr>
              <w:pStyle w:val="Compact"/>
            </w:pPr>
            <w:r>
              <w:t xml:space="preserve">Only the research plan exists; evidence is pending.</w:t>
            </w:r>
          </w:p>
        </w:tc>
      </w:tr>
      <w:tr>
        <w:tc>
          <w:tcPr/>
          <w:p>
            <w:pPr>
              <w:pStyle w:val="Compact"/>
            </w:pPr>
            <w:r>
              <w:t xml:space="preserve">DEC‑021</w:t>
            </w:r>
          </w:p>
        </w:tc>
        <w:tc>
          <w:tcPr/>
          <w:p>
            <w:pPr>
              <w:pStyle w:val="Compact"/>
            </w:pPr>
            <w:r>
              <w:t xml:space="preserve">Market validation</w:t>
            </w:r>
          </w:p>
        </w:tc>
        <w:tc>
          <w:tcPr/>
          <w:p>
            <w:pPr>
              <w:pStyle w:val="Compact"/>
            </w:pPr>
            <w:r>
              <w:t xml:space="preserve">Approve</w:t>
            </w:r>
          </w:p>
        </w:tc>
        <w:tc>
          <w:tcPr/>
          <w:p>
            <w:pPr>
              <w:pStyle w:val="Compact"/>
            </w:pPr>
            <w:r>
              <w:t xml:space="preserve">Freeze market/pricing claims until validated.</w:t>
            </w:r>
          </w:p>
        </w:tc>
      </w:tr>
      <w:tr>
        <w:tc>
          <w:tcPr/>
          <w:p>
            <w:pPr>
              <w:pStyle w:val="Compact"/>
            </w:pPr>
            <w:r>
              <w:t xml:space="preserve">DEC‑022</w:t>
            </w:r>
          </w:p>
        </w:tc>
        <w:tc>
          <w:tcPr/>
          <w:p>
            <w:pPr>
              <w:pStyle w:val="Compact"/>
            </w:pPr>
            <w:r>
              <w:t xml:space="preserve">Architecture status</w:t>
            </w:r>
          </w:p>
        </w:tc>
        <w:tc>
          <w:tcPr/>
          <w:p>
            <w:pPr>
              <w:pStyle w:val="Compact"/>
            </w:pPr>
            <w:r>
              <w:t xml:space="preserve">Approve</w:t>
            </w:r>
          </w:p>
        </w:tc>
        <w:tc>
          <w:tcPr/>
          <w:p>
            <w:pPr>
              <w:pStyle w:val="Compact"/>
            </w:pPr>
            <w:r>
              <w:t xml:space="preserve">Treat architecture, API and NFR documents as conceptual planning.</w:t>
            </w:r>
          </w:p>
        </w:tc>
      </w:tr>
      <w:tr>
        <w:tc>
          <w:tcPr/>
          <w:p>
            <w:pPr>
              <w:pStyle w:val="Compact"/>
            </w:pPr>
            <w:r>
              <w:t xml:space="preserve">DEC‑023</w:t>
            </w:r>
          </w:p>
        </w:tc>
        <w:tc>
          <w:tcPr/>
          <w:p>
            <w:pPr>
              <w:pStyle w:val="Compact"/>
            </w:pPr>
            <w:r>
              <w:t xml:space="preserve">NFR &amp; accessibility baseline</w:t>
            </w:r>
          </w:p>
        </w:tc>
        <w:tc>
          <w:tcPr/>
          <w:p>
            <w:pPr>
              <w:pStyle w:val="Compact"/>
            </w:pPr>
            <w:r>
              <w:t xml:space="preserve">Modify</w:t>
            </w:r>
          </w:p>
        </w:tc>
        <w:tc>
          <w:tcPr/>
          <w:p>
            <w:pPr>
              <w:pStyle w:val="Compact"/>
            </w:pPr>
            <w:r>
              <w:t xml:space="preserve">Adopt WCAG 2.2 AA as the default baseline; clarify stage‑specific NFRs.</w:t>
            </w:r>
          </w:p>
        </w:tc>
      </w:tr>
      <w:tr>
        <w:tc>
          <w:tcPr/>
          <w:p>
            <w:pPr>
              <w:pStyle w:val="Compact"/>
            </w:pPr>
            <w:r>
              <w:t xml:space="preserve">DEC‑024</w:t>
            </w:r>
          </w:p>
        </w:tc>
        <w:tc>
          <w:tcPr/>
          <w:p>
            <w:pPr>
              <w:pStyle w:val="Compact"/>
            </w:pPr>
            <w:r>
              <w:t xml:space="preserve">MVP/build readiness</w:t>
            </w:r>
          </w:p>
        </w:tc>
        <w:tc>
          <w:tcPr/>
          <w:p>
            <w:pPr>
              <w:pStyle w:val="Compact"/>
            </w:pPr>
            <w:r>
              <w:t xml:space="preserve">Approve</w:t>
            </w:r>
          </w:p>
        </w:tc>
        <w:tc>
          <w:tcPr/>
          <w:p>
            <w:pPr>
              <w:pStyle w:val="Compact"/>
            </w:pPr>
            <w:r>
              <w:t xml:space="preserve">Do not approve building until all gates are satisfied.</w:t>
            </w:r>
          </w:p>
        </w:tc>
      </w:tr>
      <w:tr>
        <w:tc>
          <w:tcPr/>
          <w:p>
            <w:pPr>
              <w:pStyle w:val="Compact"/>
            </w:pPr>
            <w:r>
              <w:t xml:space="preserve">DEC‑025</w:t>
            </w:r>
          </w:p>
        </w:tc>
        <w:tc>
          <w:tcPr/>
          <w:p>
            <w:pPr>
              <w:pStyle w:val="Compact"/>
            </w:pPr>
            <w:r>
              <w:t xml:space="preserve">Release readiness</w:t>
            </w:r>
          </w:p>
        </w:tc>
        <w:tc>
          <w:tcPr/>
          <w:p>
            <w:pPr>
              <w:pStyle w:val="Compact"/>
            </w:pPr>
            <w:r>
              <w:t xml:space="preserve">Approve</w:t>
            </w:r>
          </w:p>
        </w:tc>
        <w:tc>
          <w:tcPr/>
          <w:p>
            <w:pPr>
              <w:pStyle w:val="Compact"/>
            </w:pPr>
            <w:r>
              <w:t xml:space="preserve">Readiness reports are evidence inputs, not approvals.</w:t>
            </w:r>
          </w:p>
        </w:tc>
      </w:tr>
      <w:tr>
        <w:tc>
          <w:tcPr/>
          <w:p>
            <w:pPr>
              <w:pStyle w:val="Compact"/>
            </w:pPr>
            <w:r>
              <w:t xml:space="preserve">DEC‑026</w:t>
            </w:r>
          </w:p>
        </w:tc>
        <w:tc>
          <w:tcPr/>
          <w:p>
            <w:pPr>
              <w:pStyle w:val="Compact"/>
            </w:pPr>
            <w:r>
              <w:t xml:space="preserve">Brand source of truth</w:t>
            </w:r>
          </w:p>
        </w:tc>
        <w:tc>
          <w:tcPr/>
          <w:p>
            <w:pPr>
              <w:pStyle w:val="Compact"/>
            </w:pPr>
            <w:r>
              <w:t xml:space="preserve">Modify</w:t>
            </w:r>
          </w:p>
        </w:tc>
        <w:tc>
          <w:tcPr/>
          <w:p>
            <w:pPr>
              <w:pStyle w:val="Compact"/>
            </w:pPr>
            <w:r>
              <w:t xml:space="preserve">Brand documents are draft until name and tone decisions are finalised.</w:t>
            </w:r>
          </w:p>
        </w:tc>
      </w:tr>
      <w:tr>
        <w:tc>
          <w:tcPr/>
          <w:p>
            <w:pPr>
              <w:pStyle w:val="Compact"/>
            </w:pPr>
            <w:r>
              <w:t xml:space="preserve">DEC‑027</w:t>
            </w:r>
          </w:p>
        </w:tc>
        <w:tc>
          <w:tcPr/>
          <w:p>
            <w:pPr>
              <w:pStyle w:val="Compact"/>
            </w:pPr>
            <w:r>
              <w:t xml:space="preserve">Tone and language</w:t>
            </w:r>
          </w:p>
        </w:tc>
        <w:tc>
          <w:tcPr/>
          <w:p>
            <w:pPr>
              <w:pStyle w:val="Compact"/>
            </w:pPr>
            <w:r>
              <w:t xml:space="preserve">Approve</w:t>
            </w:r>
          </w:p>
        </w:tc>
        <w:tc>
          <w:tcPr/>
          <w:p>
            <w:pPr>
              <w:pStyle w:val="Compact"/>
            </w:pPr>
            <w:r>
              <w:t xml:space="preserve">Use a calm, clear, respectful, non‑shaming, non‑clinical tone.</w:t>
            </w:r>
          </w:p>
        </w:tc>
      </w:tr>
      <w:tr>
        <w:tc>
          <w:tcPr/>
          <w:p>
            <w:pPr>
              <w:pStyle w:val="Compact"/>
            </w:pPr>
            <w:r>
              <w:t xml:space="preserve">DEC‑028</w:t>
            </w:r>
          </w:p>
        </w:tc>
        <w:tc>
          <w:tcPr/>
          <w:p>
            <w:pPr>
              <w:pStyle w:val="Compact"/>
            </w:pPr>
            <w:r>
              <w:t xml:space="preserve">Canonical structure</w:t>
            </w:r>
          </w:p>
        </w:tc>
        <w:tc>
          <w:tcPr/>
          <w:p>
            <w:pPr>
              <w:pStyle w:val="Compact"/>
            </w:pPr>
            <w:r>
              <w:t xml:space="preserve">Modify</w:t>
            </w:r>
          </w:p>
        </w:tc>
        <w:tc>
          <w:tcPr/>
          <w:p>
            <w:pPr>
              <w:pStyle w:val="Compact"/>
            </w:pPr>
            <w:r>
              <w:t xml:space="preserve">Use the repository root as the canonical documentation tree; avoid nested</w:t>
            </w:r>
            <w:r>
              <w:t xml:space="preserve"> </w:t>
            </w:r>
            <w:r>
              <w:rPr>
                <w:rStyle w:val="VerbatimChar"/>
              </w:rPr>
              <w:t xml:space="preserve">docs/docs</w:t>
            </w:r>
            <w:r>
              <w:t xml:space="preserve"> </w:t>
            </w:r>
            <w:r>
              <w:t xml:space="preserve">duplication.</w:t>
            </w:r>
          </w:p>
        </w:tc>
      </w:tr>
      <w:tr>
        <w:tc>
          <w:tcPr/>
          <w:p>
            <w:pPr>
              <w:pStyle w:val="Compact"/>
            </w:pPr>
            <w:r>
              <w:t xml:space="preserve">DEC‑029</w:t>
            </w:r>
          </w:p>
        </w:tc>
        <w:tc>
          <w:tcPr/>
          <w:p>
            <w:pPr>
              <w:pStyle w:val="Compact"/>
            </w:pPr>
            <w:r>
              <w:t xml:space="preserve">Source evidence baseline</w:t>
            </w:r>
          </w:p>
        </w:tc>
        <w:tc>
          <w:tcPr/>
          <w:p>
            <w:pPr>
              <w:pStyle w:val="Compact"/>
            </w:pPr>
            <w:r>
              <w:t xml:space="preserve">Approve</w:t>
            </w:r>
          </w:p>
        </w:tc>
        <w:tc>
          <w:tcPr/>
          <w:p>
            <w:pPr>
              <w:pStyle w:val="Compact"/>
            </w:pPr>
            <w:r>
              <w:t xml:space="preserve">Preserve</w:t>
            </w:r>
            <w:r>
              <w:t xml:space="preserve"> </w:t>
            </w:r>
            <w:r>
              <w:rPr>
                <w:rStyle w:val="VerbatimChar"/>
              </w:rPr>
              <w:t xml:space="preserve">01-source-documents/originals/</w:t>
            </w:r>
            <w:r>
              <w:t xml:space="preserve"> </w:t>
            </w:r>
            <w:r>
              <w:t xml:space="preserve">as the evidence baseline for exact duplicates.</w:t>
            </w:r>
          </w:p>
        </w:tc>
      </w:tr>
      <w:tr>
        <w:tc>
          <w:tcPr/>
          <w:p>
            <w:pPr>
              <w:pStyle w:val="Compact"/>
            </w:pPr>
            <w:r>
              <w:t xml:space="preserve">DEC‑030</w:t>
            </w:r>
          </w:p>
        </w:tc>
        <w:tc>
          <w:tcPr/>
          <w:p>
            <w:pPr>
              <w:pStyle w:val="Compact"/>
            </w:pPr>
            <w:r>
              <w:t xml:space="preserve">Archive permission</w:t>
            </w:r>
          </w:p>
        </w:tc>
        <w:tc>
          <w:tcPr/>
          <w:p>
            <w:pPr>
              <w:pStyle w:val="Compact"/>
            </w:pPr>
            <w:r>
              <w:t xml:space="preserve">Approve</w:t>
            </w:r>
          </w:p>
        </w:tc>
        <w:tc>
          <w:tcPr/>
          <w:p>
            <w:pPr>
              <w:pStyle w:val="Compact"/>
            </w:pPr>
            <w:r>
              <w:t xml:space="preserve">Do not archive or delete files until canonical replacements and traceability exist.</w:t>
            </w:r>
          </w:p>
        </w:tc>
      </w:tr>
    </w:tbl>
    <w:bookmarkEnd w:id="65"/>
    <w:bookmarkStart w:id="66" w:name="next-steps"/>
    <w:p>
      <w:pPr>
        <w:pStyle w:val="Heading2"/>
      </w:pPr>
      <w:r>
        <w:t xml:space="preserve">9. Next Steps</w:t>
      </w:r>
    </w:p>
    <w:p>
      <w:pPr>
        <w:pStyle w:val="Compact"/>
        <w:numPr>
          <w:ilvl w:val="0"/>
          <w:numId w:val="1036"/>
        </w:numPr>
      </w:pPr>
      <w:r>
        <w:rPr>
          <w:b/>
          <w:bCs/>
        </w:rPr>
        <w:t xml:space="preserve">Review and approve</w:t>
      </w:r>
      <w:r>
        <w:t xml:space="preserve"> </w:t>
      </w:r>
      <w:r>
        <w:t xml:space="preserve">this product specification and the decisions summary. Adjust wording if the owner wishes to modify any decision or requirement.</w:t>
      </w:r>
    </w:p>
    <w:p>
      <w:pPr>
        <w:pStyle w:val="Compact"/>
        <w:numPr>
          <w:ilvl w:val="0"/>
          <w:numId w:val="1036"/>
        </w:numPr>
      </w:pPr>
      <w:r>
        <w:rPr>
          <w:b/>
          <w:bCs/>
        </w:rPr>
        <w:t xml:space="preserve">Freeze the canonical structure</w:t>
      </w:r>
      <w:r>
        <w:t xml:space="preserve"> </w:t>
      </w:r>
      <w:r>
        <w:t xml:space="preserve">using the repository root as the documentation tree. Create empty folders following the proposed structure but do not move or delete files until canonical documents and a traceability map exist.</w:t>
      </w:r>
    </w:p>
    <w:p>
      <w:pPr>
        <w:pStyle w:val="Compact"/>
        <w:numPr>
          <w:ilvl w:val="0"/>
          <w:numId w:val="1036"/>
        </w:numPr>
      </w:pPr>
      <w:r>
        <w:rPr>
          <w:b/>
          <w:bCs/>
        </w:rPr>
        <w:t xml:space="preserve">Build an evidence &amp; assumption register</w:t>
      </w:r>
      <w:r>
        <w:t xml:space="preserve"> </w:t>
      </w:r>
      <w:r>
        <w:t xml:space="preserve">to track claims, sources and validation status. This helps prioritise research and prevents untested assumptions from solidifying.</w:t>
      </w:r>
    </w:p>
    <w:p>
      <w:pPr>
        <w:pStyle w:val="Compact"/>
        <w:numPr>
          <w:ilvl w:val="0"/>
          <w:numId w:val="1036"/>
        </w:numPr>
      </w:pPr>
      <w:r>
        <w:rPr>
          <w:b/>
          <w:bCs/>
        </w:rPr>
        <w:t xml:space="preserve">Plan the research agenda</w:t>
      </w:r>
      <w:r>
        <w:t xml:space="preserve">: schedule user interviews, develop prototypes for testing core flows (onboarding, memory confirmation, decision engine, daily plan, life capture) and design market validation experiments.</w:t>
      </w:r>
    </w:p>
    <w:p>
      <w:pPr>
        <w:pStyle w:val="Compact"/>
        <w:numPr>
          <w:ilvl w:val="0"/>
          <w:numId w:val="1036"/>
        </w:numPr>
      </w:pPr>
      <w:r>
        <w:rPr>
          <w:b/>
          <w:bCs/>
        </w:rPr>
        <w:t xml:space="preserve">Develop data inventory and privacy documentation</w:t>
      </w:r>
      <w:r>
        <w:t xml:space="preserve">, including collection notices, retention and deletion policies, and a privacy impact assessment.</w:t>
      </w:r>
    </w:p>
    <w:p>
      <w:pPr>
        <w:pStyle w:val="Compact"/>
        <w:numPr>
          <w:ilvl w:val="0"/>
          <w:numId w:val="1036"/>
        </w:numPr>
      </w:pPr>
      <w:r>
        <w:rPr>
          <w:b/>
          <w:bCs/>
        </w:rPr>
        <w:t xml:space="preserve">Conduct AI vendor due diligence</w:t>
      </w:r>
      <w:r>
        <w:t xml:space="preserve"> </w:t>
      </w:r>
      <w:r>
        <w:t xml:space="preserve">to ensure external models meet retention and usage requirements before processing user data.</w:t>
      </w:r>
    </w:p>
    <w:p>
      <w:pPr>
        <w:pStyle w:val="Compact"/>
        <w:numPr>
          <w:ilvl w:val="0"/>
          <w:numId w:val="1036"/>
        </w:numPr>
      </w:pPr>
      <w:r>
        <w:rPr>
          <w:b/>
          <w:bCs/>
        </w:rPr>
        <w:t xml:space="preserve">Design embedding invalidation mechanisms</w:t>
      </w:r>
      <w:r>
        <w:t xml:space="preserve">, safety log policies and accessibility tests before any prototype goes live.</w:t>
      </w:r>
    </w:p>
    <w:p>
      <w:pPr>
        <w:pStyle w:val="Compact"/>
        <w:numPr>
          <w:ilvl w:val="0"/>
          <w:numId w:val="1036"/>
        </w:numPr>
      </w:pPr>
      <w:r>
        <w:rPr>
          <w:b/>
          <w:bCs/>
        </w:rPr>
        <w:t xml:space="preserve">Begin low‑fidelity prototyping and testing</w:t>
      </w:r>
      <w:r>
        <w:t xml:space="preserve"> </w:t>
      </w:r>
      <w:r>
        <w:t xml:space="preserve">once governance, privacy and research foundations are in place. Use the question prompts above to gather deeper user insights and refine the product before moving to a build phase.</w:t>
      </w:r>
    </w:p>
    <w:p>
      <w:pPr>
        <w:pStyle w:val="Compact"/>
        <w:numPr>
          <w:ilvl w:val="0"/>
          <w:numId w:val="1036"/>
        </w:numPr>
      </w:pPr>
      <w:r>
        <w:rPr>
          <w:b/>
          <w:bCs/>
        </w:rPr>
        <w:t xml:space="preserve">Plan and execute a private beta with real data</w:t>
      </w:r>
      <w:r>
        <w:t xml:space="preserve"> </w:t>
      </w:r>
      <w:r>
        <w:t xml:space="preserve">– create a beta consent notice, configure a dedicated beta environment (</w:t>
      </w:r>
      <w:r>
        <w:rPr>
          <w:rStyle w:val="VerbatimChar"/>
        </w:rPr>
        <w:t xml:space="preserve">beta.config.js</w:t>
      </w:r>
      <w:r>
        <w:t xml:space="preserve">), recruit a limited group of trusted testers, set a data retention period (e.g. 90 days) and document how all beta data will be deleted or anonymised after the test. Use feedback from the beta to inform the public MVP.</w:t>
      </w:r>
    </w:p>
    <w:bookmarkEnd w:id="66"/>
    <w:bookmarkEnd w:id="67"/>
    <w:bookmarkEnd w:id="68"/>
    <w:p>
      <w:r>
        <w:pict>
          <v:rect style="width:0;height:1.5pt" o:hralign="center" o:hrstd="t" o:hr="t"/>
        </w:pict>
      </w:r>
    </w:p>
    <w:bookmarkStart w:id="69" w:name="citations"/>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2026-05-30T21:03:17Z</dcterms:created>
  <dcterms:modified xsi:type="dcterms:W3CDTF">2026-05-30T21:03:17Z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