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55" w:rsidRPr="00C06D93" w:rsidRDefault="00B56A9A">
      <w:pPr>
        <w:rPr>
          <w:b/>
        </w:rPr>
      </w:pPr>
      <w:r w:rsidRPr="00C06D93">
        <w:rPr>
          <w:b/>
        </w:rPr>
        <w:t>ANGOLA</w:t>
      </w:r>
      <w:r w:rsidR="006408E1" w:rsidRPr="00C06D93">
        <w:rPr>
          <w:b/>
        </w:rPr>
        <w:t xml:space="preserve"> 2016</w:t>
      </w:r>
    </w:p>
    <w:p w:rsidR="00B56A9A" w:rsidRDefault="00B56A9A">
      <w:r>
        <w:tab/>
        <w:t>LUANDA</w:t>
      </w:r>
    </w:p>
    <w:p w:rsidR="00B56A9A" w:rsidRDefault="00B56A9A">
      <w:r>
        <w:t>POPULATION 25.789.024 HABITANTES</w:t>
      </w:r>
    </w:p>
    <w:p w:rsidR="00B56A9A" w:rsidRDefault="00B56A9A">
      <w:pPr>
        <w:rPr>
          <w:vertAlign w:val="superscript"/>
        </w:rPr>
      </w:pPr>
      <w:r>
        <w:t>SUPERFICIE 1.246.700 km</w:t>
      </w:r>
      <w:r>
        <w:rPr>
          <w:vertAlign w:val="superscript"/>
        </w:rPr>
        <w:t>2</w:t>
      </w:r>
    </w:p>
    <w:p w:rsidR="00B56A9A" w:rsidRDefault="00B56A9A">
      <w:r>
        <w:t>ANUAL BUDGET 6.959. 728.851.527</w:t>
      </w:r>
    </w:p>
    <w:p w:rsidR="00B3435E" w:rsidRDefault="00B3435E">
      <w:proofErr w:type="gramStart"/>
      <w:r>
        <w:t xml:space="preserve">General  </w:t>
      </w:r>
      <w:proofErr w:type="spellStart"/>
      <w:r>
        <w:t>Information</w:t>
      </w:r>
      <w:proofErr w:type="spellEnd"/>
      <w:proofErr w:type="gramEnd"/>
    </w:p>
    <w:tbl>
      <w:tblPr>
        <w:tblStyle w:val="Tabelacomgrelha"/>
        <w:tblW w:w="0" w:type="auto"/>
        <w:tblLook w:val="04A0"/>
      </w:tblPr>
      <w:tblGrid>
        <w:gridCol w:w="1526"/>
        <w:gridCol w:w="992"/>
        <w:gridCol w:w="992"/>
        <w:gridCol w:w="921"/>
        <w:gridCol w:w="922"/>
      </w:tblGrid>
      <w:tr w:rsidR="00B15015" w:rsidTr="00B15015">
        <w:tc>
          <w:tcPr>
            <w:tcW w:w="5353" w:type="dxa"/>
            <w:gridSpan w:val="5"/>
          </w:tcPr>
          <w:p w:rsidR="00B15015" w:rsidRDefault="00B15015" w:rsidP="00B15015">
            <w:pPr>
              <w:jc w:val="center"/>
            </w:pPr>
            <w:r>
              <w:t>POPULATION %</w:t>
            </w:r>
          </w:p>
        </w:tc>
      </w:tr>
      <w:tr w:rsidR="00CE7ED6" w:rsidTr="00B15015">
        <w:tc>
          <w:tcPr>
            <w:tcW w:w="1526" w:type="dxa"/>
          </w:tcPr>
          <w:p w:rsidR="00CE7ED6" w:rsidRDefault="00E5694E">
            <w:r>
              <w:t xml:space="preserve">   </w:t>
            </w:r>
            <w:r w:rsidR="00B15015">
              <w:t>Age</w:t>
            </w:r>
          </w:p>
        </w:tc>
        <w:tc>
          <w:tcPr>
            <w:tcW w:w="1984" w:type="dxa"/>
            <w:gridSpan w:val="2"/>
          </w:tcPr>
          <w:p w:rsidR="00CE7ED6" w:rsidRDefault="001D1DD4" w:rsidP="00B15015">
            <w:pPr>
              <w:jc w:val="center"/>
            </w:pPr>
            <w:proofErr w:type="spellStart"/>
            <w:proofErr w:type="gramStart"/>
            <w:r>
              <w:t>*</w:t>
            </w:r>
            <w:r w:rsidR="00B15015">
              <w:t>General</w:t>
            </w:r>
            <w:proofErr w:type="spellEnd"/>
            <w:r w:rsidR="00B15015">
              <w:t xml:space="preserve">  </w:t>
            </w:r>
            <w:proofErr w:type="spellStart"/>
            <w:r w:rsidR="00B15015">
              <w:t>distribution</w:t>
            </w:r>
            <w:proofErr w:type="spellEnd"/>
            <w:proofErr w:type="gramEnd"/>
          </w:p>
        </w:tc>
        <w:tc>
          <w:tcPr>
            <w:tcW w:w="1843" w:type="dxa"/>
            <w:gridSpan w:val="2"/>
          </w:tcPr>
          <w:p w:rsidR="00CE7ED6" w:rsidRDefault="00B15015">
            <w:proofErr w:type="spellStart"/>
            <w:r>
              <w:t>Enrolled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</w:p>
        </w:tc>
      </w:tr>
      <w:tr w:rsidR="00B15015" w:rsidTr="00160349">
        <w:tc>
          <w:tcPr>
            <w:tcW w:w="1526" w:type="dxa"/>
          </w:tcPr>
          <w:p w:rsidR="00B15015" w:rsidRDefault="00E5694E">
            <w:r>
              <w:t xml:space="preserve">    </w:t>
            </w:r>
          </w:p>
        </w:tc>
        <w:tc>
          <w:tcPr>
            <w:tcW w:w="992" w:type="dxa"/>
          </w:tcPr>
          <w:p w:rsidR="00B15015" w:rsidRDefault="00B15015">
            <w:r>
              <w:t>M</w:t>
            </w:r>
          </w:p>
        </w:tc>
        <w:tc>
          <w:tcPr>
            <w:tcW w:w="992" w:type="dxa"/>
          </w:tcPr>
          <w:p w:rsidR="00B15015" w:rsidRDefault="00B15015">
            <w:r>
              <w:t>F</w:t>
            </w:r>
          </w:p>
        </w:tc>
        <w:tc>
          <w:tcPr>
            <w:tcW w:w="921" w:type="dxa"/>
          </w:tcPr>
          <w:p w:rsidR="00B15015" w:rsidRDefault="00B15015" w:rsidP="00B15015">
            <w:pPr>
              <w:jc w:val="center"/>
            </w:pPr>
            <w:r>
              <w:t>M</w:t>
            </w:r>
          </w:p>
        </w:tc>
        <w:tc>
          <w:tcPr>
            <w:tcW w:w="922" w:type="dxa"/>
          </w:tcPr>
          <w:p w:rsidR="00B15015" w:rsidRDefault="00B15015" w:rsidP="00B15015">
            <w:pPr>
              <w:jc w:val="center"/>
            </w:pPr>
            <w:r>
              <w:t>F</w:t>
            </w:r>
          </w:p>
        </w:tc>
      </w:tr>
      <w:tr w:rsidR="00B15015" w:rsidTr="00841A00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0 – 3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5,9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5,9</w:t>
            </w:r>
          </w:p>
        </w:tc>
        <w:tc>
          <w:tcPr>
            <w:tcW w:w="921" w:type="dxa"/>
            <w:shd w:val="clear" w:color="auto" w:fill="000000" w:themeFill="text1"/>
          </w:tcPr>
          <w:p w:rsidR="00B15015" w:rsidRDefault="00B15015"/>
        </w:tc>
        <w:tc>
          <w:tcPr>
            <w:tcW w:w="922" w:type="dxa"/>
            <w:shd w:val="clear" w:color="auto" w:fill="000000" w:themeFill="text1"/>
          </w:tcPr>
          <w:p w:rsidR="00B15015" w:rsidRDefault="00B15015"/>
        </w:tc>
      </w:tr>
      <w:tr w:rsidR="00B15015" w:rsidTr="00720BC1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3 – 6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5,6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5,6</w:t>
            </w:r>
          </w:p>
        </w:tc>
        <w:tc>
          <w:tcPr>
            <w:tcW w:w="921" w:type="dxa"/>
          </w:tcPr>
          <w:p w:rsidR="00B15015" w:rsidRDefault="00FC192E" w:rsidP="00FC192E">
            <w:pPr>
              <w:jc w:val="right"/>
            </w:pPr>
            <w:r>
              <w:t>1,5</w:t>
            </w:r>
          </w:p>
        </w:tc>
        <w:tc>
          <w:tcPr>
            <w:tcW w:w="922" w:type="dxa"/>
          </w:tcPr>
          <w:p w:rsidR="00B15015" w:rsidRDefault="00FC192E" w:rsidP="00FC192E">
            <w:pPr>
              <w:jc w:val="right"/>
            </w:pPr>
            <w:r>
              <w:t>1,1</w:t>
            </w:r>
          </w:p>
        </w:tc>
      </w:tr>
      <w:tr w:rsidR="00B15015" w:rsidTr="00B56E9B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6 – 12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8,8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9,0</w:t>
            </w:r>
          </w:p>
        </w:tc>
        <w:tc>
          <w:tcPr>
            <w:tcW w:w="921" w:type="dxa"/>
          </w:tcPr>
          <w:p w:rsidR="00B15015" w:rsidRDefault="00FC192E" w:rsidP="00FC192E">
            <w:pPr>
              <w:jc w:val="right"/>
            </w:pPr>
            <w:r>
              <w:t>10,8</w:t>
            </w:r>
          </w:p>
        </w:tc>
        <w:tc>
          <w:tcPr>
            <w:tcW w:w="922" w:type="dxa"/>
          </w:tcPr>
          <w:p w:rsidR="00B15015" w:rsidRDefault="00FC192E" w:rsidP="00FC192E">
            <w:pPr>
              <w:jc w:val="right"/>
            </w:pPr>
            <w:r>
              <w:t>9,9</w:t>
            </w:r>
          </w:p>
        </w:tc>
      </w:tr>
      <w:tr w:rsidR="00B15015" w:rsidTr="00500724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12 – 18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6,2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6,4</w:t>
            </w:r>
          </w:p>
        </w:tc>
        <w:tc>
          <w:tcPr>
            <w:tcW w:w="921" w:type="dxa"/>
          </w:tcPr>
          <w:p w:rsidR="00B15015" w:rsidRDefault="00FC192E" w:rsidP="00FC192E">
            <w:pPr>
              <w:jc w:val="right"/>
            </w:pPr>
            <w:r>
              <w:t>3,5</w:t>
            </w:r>
          </w:p>
        </w:tc>
        <w:tc>
          <w:tcPr>
            <w:tcW w:w="922" w:type="dxa"/>
          </w:tcPr>
          <w:p w:rsidR="00B15015" w:rsidRDefault="00FC192E" w:rsidP="00FC192E">
            <w:pPr>
              <w:jc w:val="right"/>
            </w:pPr>
            <w:r>
              <w:t>3.2</w:t>
            </w:r>
          </w:p>
        </w:tc>
      </w:tr>
      <w:tr w:rsidR="00B15015" w:rsidTr="008B04AB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18 – 25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5,7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7,1</w:t>
            </w:r>
          </w:p>
        </w:tc>
        <w:tc>
          <w:tcPr>
            <w:tcW w:w="921" w:type="dxa"/>
          </w:tcPr>
          <w:p w:rsidR="00B15015" w:rsidRDefault="00FC192E" w:rsidP="00FC192E">
            <w:pPr>
              <w:jc w:val="right"/>
            </w:pPr>
            <w:r>
              <w:t>2,0</w:t>
            </w:r>
          </w:p>
        </w:tc>
        <w:tc>
          <w:tcPr>
            <w:tcW w:w="922" w:type="dxa"/>
          </w:tcPr>
          <w:p w:rsidR="00B15015" w:rsidRDefault="00FC192E" w:rsidP="00FC192E">
            <w:pPr>
              <w:jc w:val="right"/>
            </w:pPr>
            <w:r>
              <w:t>2,2</w:t>
            </w:r>
          </w:p>
        </w:tc>
      </w:tr>
      <w:tr w:rsidR="00B15015" w:rsidTr="005759D0">
        <w:tc>
          <w:tcPr>
            <w:tcW w:w="1526" w:type="dxa"/>
          </w:tcPr>
          <w:p w:rsidR="00B15015" w:rsidRDefault="00841A00" w:rsidP="00F7321C">
            <w:pPr>
              <w:jc w:val="center"/>
            </w:pPr>
            <w:r>
              <w:t>25 - 35</w:t>
            </w:r>
          </w:p>
        </w:tc>
        <w:tc>
          <w:tcPr>
            <w:tcW w:w="992" w:type="dxa"/>
          </w:tcPr>
          <w:p w:rsidR="00B15015" w:rsidRDefault="00F7321C" w:rsidP="00F7321C">
            <w:pPr>
              <w:jc w:val="right"/>
            </w:pPr>
            <w:r>
              <w:t>6,8</w:t>
            </w:r>
          </w:p>
        </w:tc>
        <w:tc>
          <w:tcPr>
            <w:tcW w:w="992" w:type="dxa"/>
          </w:tcPr>
          <w:p w:rsidR="00B15015" w:rsidRDefault="00F7321C" w:rsidP="004E1A58">
            <w:pPr>
              <w:jc w:val="right"/>
            </w:pPr>
            <w:r>
              <w:t>7,6</w:t>
            </w:r>
          </w:p>
        </w:tc>
        <w:tc>
          <w:tcPr>
            <w:tcW w:w="921" w:type="dxa"/>
          </w:tcPr>
          <w:p w:rsidR="00B15015" w:rsidRDefault="00FC192E" w:rsidP="00FC192E">
            <w:pPr>
              <w:jc w:val="right"/>
            </w:pPr>
            <w:r>
              <w:t>1,5</w:t>
            </w:r>
          </w:p>
        </w:tc>
        <w:tc>
          <w:tcPr>
            <w:tcW w:w="922" w:type="dxa"/>
          </w:tcPr>
          <w:p w:rsidR="00B15015" w:rsidRDefault="00FC192E" w:rsidP="00FC192E">
            <w:pPr>
              <w:jc w:val="right"/>
            </w:pPr>
            <w:r>
              <w:t>1,1</w:t>
            </w:r>
          </w:p>
        </w:tc>
      </w:tr>
    </w:tbl>
    <w:p w:rsidR="00CE7ED6" w:rsidRDefault="007B4BD6" w:rsidP="001D1DD4">
      <w:r>
        <w:t xml:space="preserve">*Os </w:t>
      </w:r>
      <w:proofErr w:type="gramStart"/>
      <w:r>
        <w:t>dados</w:t>
      </w:r>
      <w:r w:rsidR="001D1DD4">
        <w:t xml:space="preserve"> da População são estimativas feitas</w:t>
      </w:r>
      <w:proofErr w:type="gramEnd"/>
      <w:r w:rsidR="001D1DD4">
        <w:t xml:space="preserve"> com base na taxa de crescimento natural verificada aquando do censo populacional</w:t>
      </w:r>
    </w:p>
    <w:tbl>
      <w:tblPr>
        <w:tblStyle w:val="Tabelacomgrelha"/>
        <w:tblW w:w="0" w:type="auto"/>
        <w:tblLook w:val="04A0"/>
      </w:tblPr>
      <w:tblGrid>
        <w:gridCol w:w="1668"/>
        <w:gridCol w:w="992"/>
      </w:tblGrid>
      <w:tr w:rsidR="00E5694E" w:rsidTr="00184FE3">
        <w:tc>
          <w:tcPr>
            <w:tcW w:w="2660" w:type="dxa"/>
            <w:gridSpan w:val="2"/>
          </w:tcPr>
          <w:p w:rsidR="00E5694E" w:rsidRDefault="00E5694E" w:rsidP="00E5694E">
            <w:pPr>
              <w:jc w:val="center"/>
            </w:pPr>
            <w:r>
              <w:t>BUDGET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SCHOOL CYCLE</w:t>
            </w:r>
          </w:p>
        </w:tc>
        <w:tc>
          <w:tcPr>
            <w:tcW w:w="992" w:type="dxa"/>
          </w:tcPr>
          <w:p w:rsidR="00E5694E" w:rsidRDefault="00E5694E" w:rsidP="007B4BD6">
            <w:pPr>
              <w:jc w:val="right"/>
            </w:pPr>
            <w:r>
              <w:t>%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PREPRIMARY</w:t>
            </w:r>
            <w:r w:rsidR="001D1DD4">
              <w:t>**</w:t>
            </w:r>
          </w:p>
        </w:tc>
        <w:tc>
          <w:tcPr>
            <w:tcW w:w="992" w:type="dxa"/>
          </w:tcPr>
          <w:p w:rsidR="00E5694E" w:rsidRDefault="00E5694E" w:rsidP="00E5694E">
            <w:pPr>
              <w:jc w:val="right"/>
            </w:pPr>
            <w:r>
              <w:t>0,2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PRIMARY</w:t>
            </w:r>
            <w:r w:rsidR="001D1DD4">
              <w:t>**</w:t>
            </w:r>
          </w:p>
        </w:tc>
        <w:tc>
          <w:tcPr>
            <w:tcW w:w="992" w:type="dxa"/>
          </w:tcPr>
          <w:p w:rsidR="00E5694E" w:rsidRDefault="00E5694E" w:rsidP="00E5694E">
            <w:pPr>
              <w:jc w:val="right"/>
            </w:pPr>
            <w:r>
              <w:t>69,7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SECONDARY</w:t>
            </w:r>
            <w:r w:rsidR="001D1DD4">
              <w:t>**</w:t>
            </w:r>
          </w:p>
        </w:tc>
        <w:tc>
          <w:tcPr>
            <w:tcW w:w="992" w:type="dxa"/>
          </w:tcPr>
          <w:p w:rsidR="00E5694E" w:rsidRDefault="00E5694E" w:rsidP="00E5694E">
            <w:pPr>
              <w:jc w:val="right"/>
            </w:pPr>
            <w:r>
              <w:t>22,8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HIGHER</w:t>
            </w:r>
          </w:p>
        </w:tc>
        <w:tc>
          <w:tcPr>
            <w:tcW w:w="992" w:type="dxa"/>
          </w:tcPr>
          <w:p w:rsidR="00E5694E" w:rsidRDefault="00E5694E" w:rsidP="00E5694E">
            <w:pPr>
              <w:jc w:val="right"/>
            </w:pPr>
            <w:r>
              <w:t>1,2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TVET</w:t>
            </w:r>
            <w:r w:rsidR="001D1DD4">
              <w:t>**</w:t>
            </w:r>
          </w:p>
        </w:tc>
        <w:tc>
          <w:tcPr>
            <w:tcW w:w="992" w:type="dxa"/>
          </w:tcPr>
          <w:p w:rsidR="00E5694E" w:rsidRDefault="00E5694E" w:rsidP="00E5694E">
            <w:pPr>
              <w:jc w:val="right"/>
            </w:pPr>
            <w:r>
              <w:t>3,1</w:t>
            </w:r>
          </w:p>
        </w:tc>
      </w:tr>
      <w:tr w:rsidR="00E5694E" w:rsidTr="00E5694E">
        <w:tc>
          <w:tcPr>
            <w:tcW w:w="1668" w:type="dxa"/>
          </w:tcPr>
          <w:p w:rsidR="00E5694E" w:rsidRDefault="00E5694E">
            <w:r>
              <w:t>STI</w:t>
            </w:r>
          </w:p>
        </w:tc>
        <w:tc>
          <w:tcPr>
            <w:tcW w:w="992" w:type="dxa"/>
          </w:tcPr>
          <w:p w:rsidR="00E5694E" w:rsidRDefault="00E5694E"/>
        </w:tc>
      </w:tr>
    </w:tbl>
    <w:p w:rsidR="00E5694E" w:rsidRPr="00B56A9A" w:rsidRDefault="001D1DD4">
      <w:r>
        <w:t>As despesas não repartidas por nível de ensino representam 4,2%</w:t>
      </w:r>
    </w:p>
    <w:p w:rsidR="007B4BD6" w:rsidRDefault="007B4BD6" w:rsidP="007B4BD6">
      <w:pPr>
        <w:spacing w:after="240" w:line="240" w:lineRule="auto"/>
        <w:ind w:right="-142"/>
        <w:jc w:val="both"/>
        <w:rPr>
          <w:rFonts w:ascii="Tahoma" w:eastAsia="Calibri" w:hAnsi="Tahoma" w:cs="Tahoma"/>
        </w:rPr>
      </w:pPr>
      <w:r w:rsidRPr="009237DD">
        <w:rPr>
          <w:rFonts w:ascii="Tahoma" w:eastAsia="Times New Roman" w:hAnsi="Tahoma" w:cs="Tahoma"/>
          <w:sz w:val="24"/>
          <w:szCs w:val="24"/>
          <w:lang w:eastAsia="ja-JP"/>
        </w:rPr>
        <w:t xml:space="preserve">O Sector da Educação em Angola registou um significativo </w:t>
      </w:r>
      <w:proofErr w:type="gramStart"/>
      <w:r w:rsidRPr="009237DD">
        <w:rPr>
          <w:rFonts w:ascii="Tahoma" w:eastAsia="Times New Roman" w:hAnsi="Tahoma" w:cs="Tahoma"/>
          <w:sz w:val="24"/>
          <w:szCs w:val="24"/>
          <w:lang w:eastAsia="ja-JP"/>
        </w:rPr>
        <w:t>avanço</w:t>
      </w:r>
      <w:proofErr w:type="gramEnd"/>
      <w:r w:rsidRPr="009237DD">
        <w:rPr>
          <w:rFonts w:ascii="Tahoma" w:eastAsia="Times New Roman" w:hAnsi="Tahoma" w:cs="Tahoma"/>
          <w:sz w:val="24"/>
          <w:szCs w:val="24"/>
          <w:lang w:eastAsia="ja-JP"/>
        </w:rPr>
        <w:t xml:space="preserve"> no que concerne as políticas da Educação que visa essencialmente </w:t>
      </w:r>
      <w:r w:rsidRPr="009237DD">
        <w:rPr>
          <w:rFonts w:ascii="Tahoma" w:eastAsia="Times New Roman" w:hAnsi="Tahoma" w:cs="Tahoma"/>
          <w:b/>
          <w:i/>
          <w:lang w:eastAsia="ja-JP"/>
        </w:rPr>
        <w:t>Promover o desenvolvimento humano e educacional, com base numa educação e aprendizagem ao longo da vida para todos e cada um dos angolanos</w:t>
      </w:r>
      <w:r>
        <w:rPr>
          <w:rFonts w:ascii="Tahoma" w:eastAsia="Calibri" w:hAnsi="Tahoma" w:cs="Tahoma"/>
        </w:rPr>
        <w:t xml:space="preserve">. </w:t>
      </w:r>
    </w:p>
    <w:p w:rsidR="007B4BD6" w:rsidRDefault="007B4BD6" w:rsidP="007B4BD6">
      <w:pPr>
        <w:spacing w:after="240" w:line="240" w:lineRule="auto"/>
        <w:ind w:right="-142"/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Ao longo dos anos lectivos 2015-2016, foram desenvolvidas programas e actividades relevantes relativo ao acesso, equidade e qualidade da Educação de acordo aos subsistemas de ensino, das quais destacamos as seguintes:</w:t>
      </w:r>
    </w:p>
    <w:p w:rsidR="007B4BD6" w:rsidRPr="00D33BC8" w:rsidRDefault="007B4BD6" w:rsidP="007B4BD6">
      <w:pPr>
        <w:pStyle w:val="PargrafodaLista"/>
        <w:numPr>
          <w:ilvl w:val="0"/>
          <w:numId w:val="2"/>
        </w:numPr>
        <w:spacing w:after="240" w:line="240" w:lineRule="auto"/>
        <w:ind w:right="-142"/>
        <w:jc w:val="both"/>
        <w:rPr>
          <w:rFonts w:ascii="Tahoma" w:eastAsia="Times New Roman" w:hAnsi="Tahoma" w:cs="Tahoma"/>
          <w:b/>
          <w:sz w:val="24"/>
          <w:szCs w:val="24"/>
          <w:lang w:eastAsia="ja-JP"/>
        </w:rPr>
      </w:pPr>
      <w:r w:rsidRPr="00D33BC8">
        <w:rPr>
          <w:rFonts w:ascii="Tahoma" w:eastAsia="Times New Roman" w:hAnsi="Tahoma" w:cs="Tahoma"/>
          <w:b/>
          <w:sz w:val="24"/>
          <w:szCs w:val="24"/>
          <w:lang w:eastAsia="ja-JP"/>
        </w:rPr>
        <w:t>Subsistema do Ensino Primário</w:t>
      </w:r>
    </w:p>
    <w:p w:rsidR="007B4BD6" w:rsidRDefault="007B4BD6" w:rsidP="007B4BD6">
      <w:pPr>
        <w:pStyle w:val="PargrafodaLista"/>
        <w:spacing w:after="240" w:line="240" w:lineRule="auto"/>
        <w:ind w:right="-142"/>
        <w:jc w:val="both"/>
        <w:rPr>
          <w:rFonts w:ascii="Tahoma" w:eastAsia="Times New Roman" w:hAnsi="Tahoma" w:cs="Tahoma"/>
          <w:sz w:val="24"/>
          <w:szCs w:val="24"/>
          <w:lang w:eastAsia="ja-JP"/>
        </w:rPr>
      </w:pPr>
    </w:p>
    <w:p w:rsidR="007B4BD6" w:rsidRPr="008B7C91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 w:rsidRPr="007929B3">
        <w:rPr>
          <w:rFonts w:ascii="Tahoma" w:eastAsia="Calibri" w:hAnsi="Tahoma" w:cs="Tahoma"/>
        </w:rPr>
        <w:t>Assegurada a oferta de ensino às crianças com 5</w:t>
      </w:r>
      <w:r>
        <w:rPr>
          <w:rFonts w:ascii="Tahoma" w:eastAsia="Calibri" w:hAnsi="Tahoma" w:cs="Tahoma"/>
        </w:rPr>
        <w:t xml:space="preserve"> e 6 </w:t>
      </w:r>
      <w:r w:rsidRPr="007929B3">
        <w:rPr>
          <w:rFonts w:ascii="Tahoma" w:eastAsia="Calibri" w:hAnsi="Tahoma" w:cs="Tahoma"/>
        </w:rPr>
        <w:t xml:space="preserve">anos de idade mediante a entrada em funcionamento de </w:t>
      </w:r>
      <w:r>
        <w:rPr>
          <w:rFonts w:ascii="Tahoma" w:eastAsia="Calibri" w:hAnsi="Tahoma" w:cs="Tahoma"/>
        </w:rPr>
        <w:t>69.291 salas de aulas, beneficiando cerca de 6.236.190 alunos matriculados.</w:t>
      </w:r>
    </w:p>
    <w:p w:rsidR="007B4BD6" w:rsidRPr="00CE5D4F" w:rsidRDefault="007B4BD6" w:rsidP="007B4BD6">
      <w:pPr>
        <w:pStyle w:val="PargrafodaLista"/>
        <w:spacing w:after="240" w:line="240" w:lineRule="auto"/>
        <w:ind w:left="1440" w:right="-142"/>
        <w:jc w:val="both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>
        <w:rPr>
          <w:rFonts w:ascii="Tahoma" w:eastAsia="Times New Roman" w:hAnsi="Tahoma" w:cs="Tahoma"/>
          <w:lang w:eastAsia="ja-JP"/>
        </w:rPr>
        <w:lastRenderedPageBreak/>
        <w:t xml:space="preserve">Informatização das Escolas do Ensino primário a nível Nacional, com a implementação do Projecto “Meu </w:t>
      </w:r>
      <w:proofErr w:type="spellStart"/>
      <w:r>
        <w:rPr>
          <w:rFonts w:ascii="Tahoma" w:eastAsia="Times New Roman" w:hAnsi="Tahoma" w:cs="Tahoma"/>
          <w:lang w:eastAsia="ja-JP"/>
        </w:rPr>
        <w:t>Kamba</w:t>
      </w:r>
      <w:proofErr w:type="spellEnd"/>
      <w:r>
        <w:rPr>
          <w:rFonts w:ascii="Tahoma" w:eastAsia="Times New Roman" w:hAnsi="Tahoma" w:cs="Tahoma"/>
          <w:lang w:eastAsia="ja-JP"/>
        </w:rPr>
        <w:t xml:space="preserve">”, tendo sido já equipadas </w:t>
      </w:r>
      <w:r w:rsidRPr="00CE5D4F">
        <w:rPr>
          <w:rFonts w:ascii="Tahoma" w:eastAsia="Times New Roman" w:hAnsi="Tahoma" w:cs="Tahoma"/>
          <w:lang w:eastAsia="ja-JP"/>
        </w:rPr>
        <w:t>um total de 92 salas</w:t>
      </w:r>
      <w:r>
        <w:rPr>
          <w:rFonts w:ascii="Tahoma" w:eastAsia="Times New Roman" w:hAnsi="Tahoma" w:cs="Tahoma"/>
          <w:lang w:eastAsia="ja-JP"/>
        </w:rPr>
        <w:t xml:space="preserve"> de aulas </w:t>
      </w:r>
      <w:r w:rsidRPr="00CE5D4F">
        <w:rPr>
          <w:rFonts w:ascii="Tahoma" w:eastAsia="Times New Roman" w:hAnsi="Tahoma" w:cs="Tahoma"/>
          <w:lang w:eastAsia="ja-JP"/>
        </w:rPr>
        <w:t>com cerca de 3.772 computadores e beneficiando cerca de 8.280 alunos.</w:t>
      </w:r>
    </w:p>
    <w:p w:rsidR="007B4BD6" w:rsidRPr="008B7C91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spacing w:after="240" w:line="240" w:lineRule="auto"/>
        <w:ind w:left="1440" w:right="-142"/>
        <w:jc w:val="both"/>
        <w:rPr>
          <w:rFonts w:ascii="Tahoma" w:eastAsia="Times New Roman" w:hAnsi="Tahoma" w:cs="Tahoma"/>
          <w:lang w:eastAsia="ja-JP"/>
        </w:rPr>
      </w:pPr>
    </w:p>
    <w:p w:rsidR="007B4BD6" w:rsidRPr="00CE5D4F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 w:rsidRPr="00CE5D4F">
        <w:rPr>
          <w:rFonts w:ascii="Tahoma" w:eastAsia="Calibri" w:hAnsi="Tahoma" w:cs="Tahoma"/>
        </w:rPr>
        <w:t>Assegurada a distribuição gratuita de cerca de 15.113.721 manuais escolares para o ensino primário, tendo sido produzidos 52.705.346 manuais, equivalente a 95,5% da produção programada</w:t>
      </w:r>
      <w:r>
        <w:rPr>
          <w:rFonts w:ascii="Tahoma" w:eastAsia="Calibri" w:hAnsi="Tahoma" w:cs="Tahoma"/>
        </w:rPr>
        <w:t>.</w:t>
      </w:r>
    </w:p>
    <w:p w:rsidR="007B4BD6" w:rsidRPr="00CE5D4F" w:rsidRDefault="007B4BD6" w:rsidP="007B4BD6">
      <w:pPr>
        <w:pStyle w:val="PargrafodaLista"/>
        <w:spacing w:after="240" w:line="240" w:lineRule="auto"/>
        <w:ind w:left="1440" w:right="-142"/>
        <w:jc w:val="both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>
        <w:rPr>
          <w:rFonts w:ascii="Tahoma" w:eastAsia="Times New Roman" w:hAnsi="Tahoma" w:cs="Tahoma"/>
          <w:lang w:eastAsia="ja-JP"/>
        </w:rPr>
        <w:t xml:space="preserve">Definidas as estratégias multissectoriais para a avaliação do impacto da Seca, desastres naturais, </w:t>
      </w:r>
      <w:r w:rsidRPr="00CE5D4F">
        <w:rPr>
          <w:rFonts w:ascii="Tahoma" w:eastAsia="Times New Roman" w:hAnsi="Tahoma" w:cs="Tahoma"/>
          <w:lang w:eastAsia="ja-JP"/>
        </w:rPr>
        <w:t xml:space="preserve">processo migratório e </w:t>
      </w:r>
      <w:proofErr w:type="spellStart"/>
      <w:r w:rsidRPr="00CE5D4F">
        <w:rPr>
          <w:rFonts w:ascii="Tahoma" w:eastAsia="Times New Roman" w:hAnsi="Tahoma" w:cs="Tahoma"/>
          <w:lang w:eastAsia="ja-JP"/>
        </w:rPr>
        <w:t>transumante</w:t>
      </w:r>
      <w:proofErr w:type="spellEnd"/>
      <w:r w:rsidRPr="00CE5D4F">
        <w:rPr>
          <w:rFonts w:ascii="Tahoma" w:eastAsia="Times New Roman" w:hAnsi="Tahoma" w:cs="Tahoma"/>
          <w:lang w:eastAsia="ja-JP"/>
        </w:rPr>
        <w:t xml:space="preserve"> de comunidade</w:t>
      </w:r>
      <w:r>
        <w:rPr>
          <w:rFonts w:ascii="Tahoma" w:eastAsia="Times New Roman" w:hAnsi="Tahoma" w:cs="Tahoma"/>
          <w:lang w:eastAsia="ja-JP"/>
        </w:rPr>
        <w:t>s</w:t>
      </w:r>
      <w:r w:rsidRPr="00CE5D4F">
        <w:rPr>
          <w:rFonts w:ascii="Tahoma" w:eastAsia="Times New Roman" w:hAnsi="Tahoma" w:cs="Tahoma"/>
          <w:lang w:eastAsia="ja-JP"/>
        </w:rPr>
        <w:t xml:space="preserve"> </w:t>
      </w:r>
      <w:proofErr w:type="spellStart"/>
      <w:r w:rsidRPr="00CE5D4F">
        <w:rPr>
          <w:rFonts w:ascii="Tahoma" w:eastAsia="Times New Roman" w:hAnsi="Tahoma" w:cs="Tahoma"/>
          <w:lang w:eastAsia="ja-JP"/>
        </w:rPr>
        <w:t>agro-pastoril</w:t>
      </w:r>
      <w:proofErr w:type="spellEnd"/>
      <w:r w:rsidRPr="00CE5D4F">
        <w:rPr>
          <w:rFonts w:ascii="Tahoma" w:eastAsia="Times New Roman" w:hAnsi="Tahoma" w:cs="Tahoma"/>
          <w:lang w:eastAsia="ja-JP"/>
        </w:rPr>
        <w:t xml:space="preserve"> para elaboração do Plano Estratégico de Acção, Monitoria e Avaliação para as Escolas Itinerante</w:t>
      </w:r>
      <w:r>
        <w:rPr>
          <w:rFonts w:ascii="Tahoma" w:eastAsia="Times New Roman" w:hAnsi="Tahoma" w:cs="Tahoma"/>
          <w:lang w:eastAsia="ja-JP"/>
        </w:rPr>
        <w:t xml:space="preserve">s e outros Modelos Alternativos com objectivo de dar resposta a Educação em situação de emergência no País. </w:t>
      </w:r>
    </w:p>
    <w:p w:rsidR="007B4BD6" w:rsidRPr="00BC7198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>
        <w:rPr>
          <w:rFonts w:ascii="Tahoma" w:eastAsia="Times New Roman" w:hAnsi="Tahoma" w:cs="Tahoma"/>
          <w:lang w:eastAsia="ja-JP"/>
        </w:rPr>
        <w:t xml:space="preserve">Implementado o Projecto sobre “Escolas Amiga da Criança” que visa promover a qualidade do ensino bem como a </w:t>
      </w:r>
      <w:r w:rsidRPr="00BC7198">
        <w:rPr>
          <w:rFonts w:ascii="Tahoma" w:eastAsia="Times New Roman" w:hAnsi="Tahoma" w:cs="Tahoma"/>
          <w:lang w:eastAsia="ja-JP"/>
        </w:rPr>
        <w:t>formação e capacitação d</w:t>
      </w:r>
      <w:r>
        <w:rPr>
          <w:rFonts w:ascii="Tahoma" w:eastAsia="Times New Roman" w:hAnsi="Tahoma" w:cs="Tahoma"/>
          <w:lang w:eastAsia="ja-JP"/>
        </w:rPr>
        <w:t xml:space="preserve">e Directores e Subdirectores (400) e </w:t>
      </w:r>
      <w:r w:rsidRPr="00BC7198">
        <w:rPr>
          <w:rFonts w:ascii="Tahoma" w:eastAsia="Times New Roman" w:hAnsi="Tahoma" w:cs="Tahoma"/>
          <w:lang w:eastAsia="ja-JP"/>
        </w:rPr>
        <w:t>de 237 professores de escolas do Ensino primário sobre a Metodologia Centrado no Aluno</w:t>
      </w:r>
      <w:r>
        <w:rPr>
          <w:rFonts w:ascii="Tahoma" w:eastAsia="Times New Roman" w:hAnsi="Tahoma" w:cs="Tahoma"/>
          <w:lang w:eastAsia="ja-JP"/>
        </w:rPr>
        <w:t>.</w:t>
      </w:r>
    </w:p>
    <w:p w:rsidR="007B4BD6" w:rsidRPr="006107B0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>
        <w:rPr>
          <w:rFonts w:ascii="Tahoma" w:eastAsia="Times New Roman" w:hAnsi="Tahoma" w:cs="Tahoma"/>
          <w:lang w:eastAsia="ja-JP"/>
        </w:rPr>
        <w:t xml:space="preserve">Elaborada a </w:t>
      </w:r>
      <w:r w:rsidRPr="006107B0">
        <w:rPr>
          <w:rFonts w:ascii="Tahoma" w:eastAsia="Times New Roman" w:hAnsi="Tahoma" w:cs="Tahoma"/>
          <w:lang w:eastAsia="ja-JP"/>
        </w:rPr>
        <w:t>Política Nacional da Educação Especial, orientada para a inclusão educacional.</w:t>
      </w:r>
    </w:p>
    <w:p w:rsidR="007B4BD6" w:rsidRPr="008754C0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 w:rsidRPr="006107B0">
        <w:rPr>
          <w:rFonts w:ascii="Tahoma" w:eastAsia="Times New Roman" w:hAnsi="Tahoma" w:cs="Tahoma"/>
          <w:lang w:eastAsia="ja-JP"/>
        </w:rPr>
        <w:t>Formação de Interpretes Bilateral da Língua Gestual Angolana</w:t>
      </w:r>
      <w:proofErr w:type="gramStart"/>
      <w:r w:rsidRPr="006107B0">
        <w:rPr>
          <w:rFonts w:ascii="Tahoma" w:eastAsia="Times New Roman" w:hAnsi="Tahoma" w:cs="Tahoma"/>
          <w:lang w:eastAsia="ja-JP"/>
        </w:rPr>
        <w:t>,</w:t>
      </w:r>
      <w:proofErr w:type="gramEnd"/>
      <w:r w:rsidRPr="006107B0">
        <w:rPr>
          <w:rFonts w:ascii="Tahoma" w:eastAsia="Times New Roman" w:hAnsi="Tahoma" w:cs="Tahoma"/>
          <w:lang w:eastAsia="ja-JP"/>
        </w:rPr>
        <w:t xml:space="preserve"> tendo sido formados e capacitados 30 Interpretes e tradutores</w:t>
      </w:r>
      <w:proofErr w:type="gramStart"/>
      <w:r w:rsidRPr="006107B0">
        <w:rPr>
          <w:rFonts w:ascii="Tahoma" w:eastAsia="Times New Roman" w:hAnsi="Tahoma" w:cs="Tahoma"/>
          <w:lang w:eastAsia="ja-JP"/>
        </w:rPr>
        <w:t>;</w:t>
      </w:r>
      <w:r>
        <w:rPr>
          <w:rFonts w:ascii="Tahoma" w:eastAsia="Times New Roman" w:hAnsi="Tahoma" w:cs="Tahoma"/>
          <w:lang w:eastAsia="ja-JP"/>
        </w:rPr>
        <w:t>120</w:t>
      </w:r>
      <w:proofErr w:type="gramEnd"/>
      <w:r>
        <w:rPr>
          <w:rFonts w:ascii="Tahoma" w:eastAsia="Times New Roman" w:hAnsi="Tahoma" w:cs="Tahoma"/>
          <w:lang w:eastAsia="ja-JP"/>
        </w:rPr>
        <w:t xml:space="preserve"> </w:t>
      </w:r>
      <w:r w:rsidRPr="006107B0">
        <w:rPr>
          <w:rFonts w:ascii="Tahoma" w:eastAsia="Times New Roman" w:hAnsi="Tahoma" w:cs="Tahoma"/>
          <w:lang w:eastAsia="ja-JP"/>
        </w:rPr>
        <w:t>especialistas em Atendi</w:t>
      </w:r>
      <w:r>
        <w:rPr>
          <w:rFonts w:ascii="Tahoma" w:eastAsia="Times New Roman" w:hAnsi="Tahoma" w:cs="Tahoma"/>
          <w:lang w:eastAsia="ja-JP"/>
        </w:rPr>
        <w:t xml:space="preserve">mento a Educação Especial (AEE), </w:t>
      </w:r>
      <w:r w:rsidRPr="006107B0">
        <w:rPr>
          <w:rFonts w:ascii="Tahoma" w:eastAsia="Times New Roman" w:hAnsi="Tahoma" w:cs="Tahoma"/>
          <w:lang w:eastAsia="ja-JP"/>
        </w:rPr>
        <w:t xml:space="preserve">66 Professores em Adaptações Curriculares </w:t>
      </w:r>
      <w:r>
        <w:rPr>
          <w:rFonts w:ascii="Tahoma" w:eastAsia="Times New Roman" w:hAnsi="Tahoma" w:cs="Tahoma"/>
          <w:lang w:eastAsia="ja-JP"/>
        </w:rPr>
        <w:t>e elaborados os</w:t>
      </w:r>
      <w:r w:rsidRPr="006107B0">
        <w:rPr>
          <w:rFonts w:ascii="Tahoma" w:eastAsia="Times New Roman" w:hAnsi="Tahoma" w:cs="Tahoma"/>
          <w:lang w:eastAsia="ja-JP"/>
        </w:rPr>
        <w:t xml:space="preserve"> Planos Educativos Individuais das crianças com Necessidades Educativas Especiais e 18 formadores em matéria de atendimento educacional</w:t>
      </w:r>
      <w:r>
        <w:rPr>
          <w:rFonts w:ascii="Tahoma" w:eastAsia="Times New Roman" w:hAnsi="Tahoma" w:cs="Tahoma"/>
          <w:lang w:eastAsia="ja-JP"/>
        </w:rPr>
        <w:t>.</w:t>
      </w:r>
    </w:p>
    <w:p w:rsidR="007B4BD6" w:rsidRPr="00C569BE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Pr="00C569BE" w:rsidRDefault="007B4BD6" w:rsidP="007B4BD6">
      <w:pPr>
        <w:pStyle w:val="PargrafodaLista"/>
        <w:numPr>
          <w:ilvl w:val="0"/>
          <w:numId w:val="3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 w:rsidRPr="00C569BE">
        <w:rPr>
          <w:rFonts w:ascii="Tahoma" w:eastAsia="Calibri" w:hAnsi="Tahoma" w:cs="Tahoma"/>
        </w:rPr>
        <w:t>Implementado o Projecto de Aprendizagem para Todos (PAT), co-financiado pelo Banco Mundial, com intervenções nas seguintes áreas: (i) Zonas de Influencia Pedagógica; (</w:t>
      </w:r>
      <w:proofErr w:type="spellStart"/>
      <w:r w:rsidRPr="00C569BE">
        <w:rPr>
          <w:rFonts w:ascii="Tahoma" w:eastAsia="Calibri" w:hAnsi="Tahoma" w:cs="Tahoma"/>
        </w:rPr>
        <w:t>ii</w:t>
      </w:r>
      <w:proofErr w:type="spellEnd"/>
      <w:r w:rsidRPr="00C569BE">
        <w:rPr>
          <w:rFonts w:ascii="Tahoma" w:eastAsia="Calibri" w:hAnsi="Tahoma" w:cs="Tahoma"/>
        </w:rPr>
        <w:t>) Programa de Formação de Professores; (</w:t>
      </w:r>
      <w:proofErr w:type="spellStart"/>
      <w:r w:rsidRPr="00C569BE">
        <w:rPr>
          <w:rFonts w:ascii="Tahoma" w:eastAsia="Calibri" w:hAnsi="Tahoma" w:cs="Tahoma"/>
        </w:rPr>
        <w:t>iii</w:t>
      </w:r>
      <w:proofErr w:type="spellEnd"/>
      <w:r w:rsidRPr="00C569BE">
        <w:rPr>
          <w:rFonts w:ascii="Tahoma" w:eastAsia="Calibri" w:hAnsi="Tahoma" w:cs="Tahoma"/>
        </w:rPr>
        <w:t>) Melhoramento da Estratégia de Gestão Escolar; (</w:t>
      </w:r>
      <w:proofErr w:type="spellStart"/>
      <w:r w:rsidRPr="00C569BE">
        <w:rPr>
          <w:rFonts w:ascii="Tahoma" w:eastAsia="Calibri" w:hAnsi="Tahoma" w:cs="Tahoma"/>
        </w:rPr>
        <w:t>iv</w:t>
      </w:r>
      <w:proofErr w:type="spellEnd"/>
      <w:r w:rsidRPr="00C569BE">
        <w:rPr>
          <w:rFonts w:ascii="Tahoma" w:eastAsia="Calibri" w:hAnsi="Tahoma" w:cs="Tahoma"/>
        </w:rPr>
        <w:t>) Estabelecimento de um Sistema de Avaliação de Alunos</w:t>
      </w:r>
      <w:r>
        <w:rPr>
          <w:rFonts w:ascii="Tahoma" w:eastAsia="Calibri" w:hAnsi="Tahoma" w:cs="Tahoma"/>
        </w:rPr>
        <w:t>.</w:t>
      </w:r>
    </w:p>
    <w:p w:rsidR="007B4BD6" w:rsidRPr="00C569BE" w:rsidRDefault="007B4BD6" w:rsidP="007B4BD6">
      <w:pPr>
        <w:pStyle w:val="PargrafodaLista"/>
        <w:rPr>
          <w:rFonts w:ascii="Tahoma" w:eastAsia="Times New Roman" w:hAnsi="Tahoma" w:cs="Tahoma"/>
          <w:lang w:eastAsia="ja-JP"/>
        </w:rPr>
      </w:pPr>
    </w:p>
    <w:p w:rsidR="007B4BD6" w:rsidRDefault="007B4BD6" w:rsidP="007B4BD6">
      <w:pPr>
        <w:pStyle w:val="PargrafodaLista"/>
        <w:numPr>
          <w:ilvl w:val="0"/>
          <w:numId w:val="2"/>
        </w:numPr>
        <w:spacing w:after="240" w:line="240" w:lineRule="auto"/>
        <w:ind w:right="-142"/>
        <w:jc w:val="both"/>
        <w:rPr>
          <w:rFonts w:ascii="Tahoma" w:eastAsia="Times New Roman" w:hAnsi="Tahoma" w:cs="Tahoma"/>
          <w:b/>
          <w:lang w:eastAsia="ja-JP"/>
        </w:rPr>
      </w:pPr>
      <w:r w:rsidRPr="00D33BC8">
        <w:rPr>
          <w:rFonts w:ascii="Tahoma" w:eastAsia="Times New Roman" w:hAnsi="Tahoma" w:cs="Tahoma"/>
          <w:b/>
          <w:lang w:eastAsia="ja-JP"/>
        </w:rPr>
        <w:t>Subsistema de Ensino Secundário</w:t>
      </w:r>
    </w:p>
    <w:p w:rsidR="007B4BD6" w:rsidRPr="00D33BC8" w:rsidRDefault="007B4BD6" w:rsidP="007B4BD6">
      <w:pPr>
        <w:pStyle w:val="PargrafodaLista"/>
        <w:spacing w:after="240" w:line="240" w:lineRule="auto"/>
        <w:ind w:right="-142"/>
        <w:jc w:val="both"/>
        <w:rPr>
          <w:rFonts w:ascii="Tahoma" w:eastAsia="Times New Roman" w:hAnsi="Tahoma" w:cs="Tahoma"/>
          <w:b/>
          <w:lang w:eastAsia="ja-JP"/>
        </w:rPr>
      </w:pPr>
    </w:p>
    <w:p w:rsidR="007B4BD6" w:rsidRPr="008808C0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  <w:rPr>
          <w:rFonts w:ascii="Tahoma" w:eastAsia="Times New Roman" w:hAnsi="Tahoma" w:cs="Tahoma"/>
          <w:lang w:eastAsia="ja-JP"/>
        </w:rPr>
      </w:pPr>
      <w:r w:rsidRPr="008808C0">
        <w:rPr>
          <w:rFonts w:ascii="Tahoma" w:eastAsia="Calibri" w:hAnsi="Tahoma" w:cs="Tahoma"/>
        </w:rPr>
        <w:t>Criado o Sistema Nacional de Avaliação da Educação</w:t>
      </w:r>
    </w:p>
    <w:p w:rsidR="007B4BD6" w:rsidRPr="008808C0" w:rsidRDefault="007B4BD6" w:rsidP="007B4BD6">
      <w:pPr>
        <w:pStyle w:val="PargrafodaLista"/>
        <w:spacing w:after="240" w:line="240" w:lineRule="auto"/>
        <w:ind w:left="1440" w:right="-142"/>
        <w:jc w:val="both"/>
        <w:rPr>
          <w:rFonts w:ascii="Tahoma" w:eastAsia="Times New Roman" w:hAnsi="Tahoma" w:cs="Tahoma"/>
          <w:lang w:eastAsia="ja-JP"/>
        </w:rPr>
      </w:pPr>
    </w:p>
    <w:p w:rsidR="007B4BD6" w:rsidRPr="008808C0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 w:rsidRPr="008808C0">
        <w:rPr>
          <w:rFonts w:ascii="Tahoma" w:eastAsia="Calibri" w:hAnsi="Tahoma" w:cs="Tahoma"/>
        </w:rPr>
        <w:t xml:space="preserve">Implementado o Programa de </w:t>
      </w:r>
      <w:proofErr w:type="spellStart"/>
      <w:r w:rsidRPr="008808C0">
        <w:rPr>
          <w:rFonts w:ascii="Tahoma" w:eastAsia="Calibri" w:hAnsi="Tahoma" w:cs="Tahoma"/>
        </w:rPr>
        <w:t>Restrutu</w:t>
      </w:r>
      <w:r>
        <w:rPr>
          <w:rFonts w:ascii="Tahoma" w:eastAsia="Calibri" w:hAnsi="Tahoma" w:cs="Tahoma"/>
        </w:rPr>
        <w:t>ração</w:t>
      </w:r>
      <w:proofErr w:type="spellEnd"/>
      <w:r>
        <w:rPr>
          <w:rFonts w:ascii="Tahoma" w:eastAsia="Calibri" w:hAnsi="Tahoma" w:cs="Tahoma"/>
        </w:rPr>
        <w:t xml:space="preserve"> da Inspecção da </w:t>
      </w:r>
      <w:proofErr w:type="spellStart"/>
      <w:r>
        <w:rPr>
          <w:rFonts w:ascii="Tahoma" w:eastAsia="Calibri" w:hAnsi="Tahoma" w:cs="Tahoma"/>
        </w:rPr>
        <w:t>Educação</w:t>
      </w:r>
      <w:r w:rsidRPr="008808C0">
        <w:rPr>
          <w:rFonts w:ascii="Tahoma" w:eastAsia="Calibri" w:hAnsi="Tahoma" w:cs="Tahoma"/>
        </w:rPr>
        <w:t>visando</w:t>
      </w:r>
      <w:proofErr w:type="spellEnd"/>
      <w:r w:rsidRPr="008808C0">
        <w:rPr>
          <w:rFonts w:ascii="Tahoma" w:eastAsia="Calibri" w:hAnsi="Tahoma" w:cs="Tahoma"/>
        </w:rPr>
        <w:t xml:space="preserve"> capacitar e reforçar a acção dos Inspectores a nível Nacional.</w:t>
      </w:r>
    </w:p>
    <w:p w:rsidR="007B4BD6" w:rsidRPr="008808C0" w:rsidRDefault="007B4BD6" w:rsidP="007B4BD6">
      <w:pPr>
        <w:pStyle w:val="PargrafodaLista"/>
        <w:rPr>
          <w:rFonts w:ascii="Tahoma" w:eastAsia="Calibri" w:hAnsi="Tahoma" w:cs="Tahoma"/>
        </w:rPr>
      </w:pPr>
    </w:p>
    <w:p w:rsidR="007B4BD6" w:rsidRPr="00D33BC8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 w:rsidRPr="008808C0">
        <w:rPr>
          <w:rFonts w:ascii="Tahoma" w:eastAsia="Calibri" w:hAnsi="Tahoma" w:cs="Tahoma"/>
        </w:rPr>
        <w:t xml:space="preserve">Implementado o projecto de informatização do SIGE- Sistema de Informação de Gestão de </w:t>
      </w:r>
      <w:proofErr w:type="spellStart"/>
      <w:r w:rsidRPr="008808C0">
        <w:rPr>
          <w:rFonts w:ascii="Tahoma" w:eastAsia="Calibri" w:hAnsi="Tahoma" w:cs="Tahoma"/>
        </w:rPr>
        <w:t>Educaçãoem</w:t>
      </w:r>
      <w:proofErr w:type="spellEnd"/>
      <w:r w:rsidRPr="008808C0">
        <w:rPr>
          <w:rFonts w:ascii="Tahoma" w:eastAsia="Calibri" w:hAnsi="Tahoma" w:cs="Tahoma"/>
        </w:rPr>
        <w:t xml:space="preserve"> todas as províncias de Angola, permitindo assim a digitação dos dados estatísticos por escolas de </w:t>
      </w:r>
      <w:r>
        <w:rPr>
          <w:rFonts w:ascii="Tahoma" w:eastAsia="Calibri" w:hAnsi="Tahoma" w:cs="Tahoma"/>
        </w:rPr>
        <w:t>forma on-line viabilizando a produção dos Anuários estatísticos a nível Nacional, Provincial e Municipal.</w:t>
      </w:r>
    </w:p>
    <w:p w:rsidR="007B4BD6" w:rsidRDefault="007B4BD6" w:rsidP="007B4BD6">
      <w:pPr>
        <w:pStyle w:val="PargrafodaLista"/>
      </w:pPr>
    </w:p>
    <w:p w:rsidR="007B4BD6" w:rsidRPr="008808C0" w:rsidRDefault="007B4BD6" w:rsidP="007B4BD6">
      <w:pPr>
        <w:pStyle w:val="PargrafodaLista"/>
        <w:spacing w:after="240" w:line="240" w:lineRule="auto"/>
        <w:ind w:left="1440" w:right="-142"/>
        <w:jc w:val="both"/>
      </w:pPr>
    </w:p>
    <w:p w:rsidR="007B4BD6" w:rsidRPr="00D33BC8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 w:rsidRPr="00D33BC8">
        <w:rPr>
          <w:rFonts w:ascii="Tahoma" w:eastAsia="Calibri" w:hAnsi="Tahoma" w:cs="Tahoma"/>
        </w:rPr>
        <w:t>Elaborado o Plano Nacional sobre Saúde Escolar Abrangente, Sexualidade, e de Combate ao VIH/SIDA, doenças endémicas (malária e tuberculose) e Saúde Sexual e Reprodutiva.</w:t>
      </w:r>
    </w:p>
    <w:p w:rsidR="007B4BD6" w:rsidRPr="00D33BC8" w:rsidRDefault="007B4BD6" w:rsidP="007B4BD6">
      <w:pPr>
        <w:pStyle w:val="PargrafodaLista"/>
        <w:spacing w:after="240" w:line="240" w:lineRule="auto"/>
        <w:ind w:left="1440" w:right="-142"/>
        <w:jc w:val="both"/>
      </w:pPr>
    </w:p>
    <w:p w:rsidR="007B4BD6" w:rsidRPr="00D33BC8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 w:rsidRPr="00D33BC8">
        <w:rPr>
          <w:rFonts w:ascii="Tahoma" w:eastAsia="Calibri" w:hAnsi="Tahoma" w:cs="Tahoma"/>
        </w:rPr>
        <w:t xml:space="preserve">Implementado o Projecto de </w:t>
      </w:r>
      <w:proofErr w:type="spellStart"/>
      <w:r w:rsidRPr="00D33BC8">
        <w:rPr>
          <w:rFonts w:ascii="Tahoma" w:eastAsia="Calibri" w:hAnsi="Tahoma" w:cs="Tahoma"/>
        </w:rPr>
        <w:t>Empreendedorismo</w:t>
      </w:r>
      <w:proofErr w:type="spellEnd"/>
      <w:r w:rsidRPr="00D33BC8">
        <w:rPr>
          <w:rFonts w:ascii="Tahoma" w:eastAsia="Calibri" w:hAnsi="Tahoma" w:cs="Tahoma"/>
        </w:rPr>
        <w:t xml:space="preserve"> do Ensino Secundário, através das seguintes acções: (a) informação das estruturas políticas governamentais, das instituições escolares, dos pais e encarregados de educação e das comunidades em geral, sobre a estratégia de generalização do Programa de </w:t>
      </w:r>
      <w:proofErr w:type="spellStart"/>
      <w:r w:rsidRPr="00D33BC8">
        <w:rPr>
          <w:rFonts w:ascii="Tahoma" w:eastAsia="Calibri" w:hAnsi="Tahoma" w:cs="Tahoma"/>
        </w:rPr>
        <w:t>Empreendedorismo</w:t>
      </w:r>
      <w:proofErr w:type="spellEnd"/>
      <w:r w:rsidRPr="00D33BC8">
        <w:rPr>
          <w:rFonts w:ascii="Tahoma" w:eastAsia="Calibri" w:hAnsi="Tahoma" w:cs="Tahoma"/>
        </w:rPr>
        <w:t xml:space="preserve"> no Ensino Secundário, envolvendo os diferentes sectores e actores para implementação das acções do Programa; (b) formação nas áreas do “Desenvolvimento das Competências Metodológicas e </w:t>
      </w:r>
      <w:proofErr w:type="spellStart"/>
      <w:r w:rsidRPr="00D33BC8">
        <w:rPr>
          <w:rFonts w:ascii="Tahoma" w:eastAsia="Calibri" w:hAnsi="Tahoma" w:cs="Tahoma"/>
        </w:rPr>
        <w:t>Cientifico-pedagógicas</w:t>
      </w:r>
      <w:proofErr w:type="spellEnd"/>
      <w:r w:rsidRPr="00D33BC8">
        <w:rPr>
          <w:rFonts w:ascii="Tahoma" w:eastAsia="Calibri" w:hAnsi="Tahoma" w:cs="Tahoma"/>
        </w:rPr>
        <w:t xml:space="preserve"> para o Ensino do </w:t>
      </w:r>
      <w:proofErr w:type="spellStart"/>
      <w:r w:rsidRPr="00D33BC8">
        <w:rPr>
          <w:rFonts w:ascii="Tahoma" w:eastAsia="Calibri" w:hAnsi="Tahoma" w:cs="Tahoma"/>
        </w:rPr>
        <w:t>Empreendedorismo</w:t>
      </w:r>
      <w:proofErr w:type="spellEnd"/>
      <w:r w:rsidRPr="00D33BC8">
        <w:rPr>
          <w:rFonts w:ascii="Tahoma" w:eastAsia="Calibri" w:hAnsi="Tahoma" w:cs="Tahoma"/>
        </w:rPr>
        <w:t xml:space="preserve"> a nível Nacional.</w:t>
      </w:r>
    </w:p>
    <w:p w:rsidR="007B4BD6" w:rsidRDefault="007B4BD6" w:rsidP="007B4BD6">
      <w:pPr>
        <w:pStyle w:val="PargrafodaLista"/>
      </w:pPr>
    </w:p>
    <w:p w:rsidR="007B4BD6" w:rsidRPr="00FF3E44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 w:rsidRPr="00FF3E44">
        <w:rPr>
          <w:rFonts w:ascii="Tahoma" w:eastAsia="Calibri" w:hAnsi="Tahoma" w:cs="Tahoma"/>
        </w:rPr>
        <w:t>Implementado o Plano de Profissionalização Docente dos professores sem as habilitações literárias que são exigidas para o exercício da docência (nivelamento</w:t>
      </w:r>
      <w:r>
        <w:rPr>
          <w:rFonts w:ascii="Tahoma" w:eastAsia="Calibri" w:hAnsi="Tahoma" w:cs="Tahoma"/>
        </w:rPr>
        <w:t>)</w:t>
      </w:r>
    </w:p>
    <w:p w:rsidR="007B4BD6" w:rsidRPr="00FF3E44" w:rsidRDefault="007B4BD6" w:rsidP="007B4BD6">
      <w:pPr>
        <w:pStyle w:val="PargrafodaLista"/>
        <w:rPr>
          <w:rFonts w:ascii="Tahoma" w:eastAsia="Calibri" w:hAnsi="Tahoma" w:cs="Tahoma"/>
          <w:sz w:val="20"/>
          <w:szCs w:val="20"/>
        </w:rPr>
      </w:pPr>
    </w:p>
    <w:p w:rsidR="007B4BD6" w:rsidRPr="0056476D" w:rsidRDefault="007B4BD6" w:rsidP="007B4BD6">
      <w:pPr>
        <w:pStyle w:val="PargrafodaLista"/>
        <w:numPr>
          <w:ilvl w:val="0"/>
          <w:numId w:val="4"/>
        </w:numPr>
        <w:spacing w:after="240" w:line="240" w:lineRule="auto"/>
        <w:ind w:right="-142"/>
        <w:jc w:val="both"/>
      </w:pPr>
      <w:r>
        <w:rPr>
          <w:rFonts w:ascii="Tahoma" w:eastAsia="Calibri" w:hAnsi="Tahoma" w:cs="Tahoma"/>
        </w:rPr>
        <w:t>Efectuada a r</w:t>
      </w:r>
      <w:r w:rsidRPr="00FF3E44">
        <w:rPr>
          <w:rFonts w:ascii="Tahoma" w:eastAsia="Calibri" w:hAnsi="Tahoma" w:cs="Tahoma"/>
        </w:rPr>
        <w:t xml:space="preserve">evisão dos Planos Curriculares da formação inicial de professores do </w:t>
      </w:r>
      <w:r>
        <w:rPr>
          <w:rFonts w:ascii="Tahoma" w:eastAsia="Calibri" w:hAnsi="Tahoma" w:cs="Tahoma"/>
        </w:rPr>
        <w:t>P</w:t>
      </w:r>
      <w:r w:rsidRPr="00FF3E44">
        <w:rPr>
          <w:rFonts w:ascii="Tahoma" w:eastAsia="Calibri" w:hAnsi="Tahoma" w:cs="Tahoma"/>
        </w:rPr>
        <w:t>ré-escolar;</w:t>
      </w:r>
    </w:p>
    <w:p w:rsidR="007B4BD6" w:rsidRDefault="007B4BD6" w:rsidP="007B4BD6">
      <w:pPr>
        <w:pStyle w:val="PargrafodaLista"/>
      </w:pPr>
    </w:p>
    <w:p w:rsidR="007B4BD6" w:rsidRPr="00FF3E44" w:rsidRDefault="007B4BD6" w:rsidP="007B4BD6">
      <w:pPr>
        <w:pStyle w:val="PargrafodaLista"/>
        <w:spacing w:after="240" w:line="240" w:lineRule="auto"/>
        <w:ind w:left="1440" w:right="-142"/>
        <w:jc w:val="both"/>
      </w:pPr>
    </w:p>
    <w:p w:rsidR="007B4BD6" w:rsidRDefault="007B4BD6" w:rsidP="007B4BD6">
      <w:pPr>
        <w:pStyle w:val="PargrafodaLista"/>
        <w:numPr>
          <w:ilvl w:val="0"/>
          <w:numId w:val="2"/>
        </w:numPr>
        <w:spacing w:after="240" w:line="240" w:lineRule="auto"/>
        <w:ind w:right="-142"/>
        <w:jc w:val="both"/>
        <w:rPr>
          <w:rFonts w:ascii="Tahoma" w:hAnsi="Tahoma" w:cs="Tahoma"/>
          <w:b/>
          <w:sz w:val="24"/>
          <w:szCs w:val="24"/>
        </w:rPr>
      </w:pPr>
      <w:r w:rsidRPr="0056476D">
        <w:rPr>
          <w:rFonts w:ascii="Tahoma" w:hAnsi="Tahoma" w:cs="Tahoma"/>
          <w:b/>
          <w:sz w:val="24"/>
          <w:szCs w:val="24"/>
        </w:rPr>
        <w:t>Subsistema de Formação e Ensino Técnico Profissional</w:t>
      </w:r>
    </w:p>
    <w:p w:rsidR="007B4BD6" w:rsidRDefault="007B4BD6" w:rsidP="007B4BD6">
      <w:pPr>
        <w:pStyle w:val="PargrafodaLista"/>
        <w:spacing w:after="240" w:line="240" w:lineRule="auto"/>
        <w:ind w:left="786" w:right="-142"/>
        <w:jc w:val="both"/>
        <w:rPr>
          <w:rFonts w:ascii="Tahoma" w:hAnsi="Tahoma" w:cs="Tahoma"/>
          <w:b/>
          <w:sz w:val="24"/>
          <w:szCs w:val="24"/>
        </w:rPr>
      </w:pPr>
    </w:p>
    <w:p w:rsidR="007B4BD6" w:rsidRPr="00851BA5" w:rsidRDefault="007B4BD6" w:rsidP="007B4BD6">
      <w:pPr>
        <w:pStyle w:val="PargrafodaLista"/>
        <w:numPr>
          <w:ilvl w:val="0"/>
          <w:numId w:val="5"/>
        </w:numPr>
        <w:spacing w:after="240" w:line="240" w:lineRule="auto"/>
        <w:ind w:right="-142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Elaborado o Plano Nacional de Formação De Quadros (PNFQ), visando o alinhamento d</w:t>
      </w:r>
      <w:r w:rsidRPr="00F117CF">
        <w:rPr>
          <w:rFonts w:ascii="Tahoma" w:eastAsia="Calibri" w:hAnsi="Tahoma" w:cs="Tahoma"/>
          <w:color w:val="000000"/>
        </w:rPr>
        <w:t xml:space="preserve">as Bases Gerais do Ensino Técnico e Tecnológico, </w:t>
      </w:r>
      <w:r>
        <w:rPr>
          <w:rFonts w:ascii="Tahoma" w:eastAsia="Calibri" w:hAnsi="Tahoma" w:cs="Tahoma"/>
          <w:color w:val="000000"/>
        </w:rPr>
        <w:t xml:space="preserve">ao </w:t>
      </w:r>
      <w:r w:rsidRPr="00F117CF">
        <w:rPr>
          <w:rFonts w:ascii="Tahoma" w:eastAsia="Calibri" w:hAnsi="Tahoma" w:cs="Tahoma"/>
          <w:color w:val="000000"/>
        </w:rPr>
        <w:t>ensino médio com o ensino superior e com a formação profissional.</w:t>
      </w:r>
    </w:p>
    <w:p w:rsidR="007B4BD6" w:rsidRPr="00851BA5" w:rsidRDefault="007B4BD6" w:rsidP="007B4BD6">
      <w:pPr>
        <w:pStyle w:val="PargrafodaLista"/>
        <w:spacing w:after="240" w:line="240" w:lineRule="auto"/>
        <w:ind w:left="1506" w:right="-142"/>
        <w:jc w:val="both"/>
        <w:rPr>
          <w:rFonts w:ascii="Tahoma" w:hAnsi="Tahoma" w:cs="Tahoma"/>
          <w:b/>
        </w:rPr>
      </w:pPr>
    </w:p>
    <w:p w:rsidR="007B4BD6" w:rsidRPr="00CF3F1A" w:rsidRDefault="007B4BD6" w:rsidP="007B4BD6">
      <w:pPr>
        <w:pStyle w:val="PargrafodaLista"/>
        <w:numPr>
          <w:ilvl w:val="0"/>
          <w:numId w:val="5"/>
        </w:numPr>
        <w:spacing w:after="240" w:line="240" w:lineRule="auto"/>
        <w:ind w:right="-142"/>
        <w:jc w:val="both"/>
        <w:rPr>
          <w:rFonts w:ascii="Tahoma" w:hAnsi="Tahoma" w:cs="Tahoma"/>
          <w:b/>
        </w:rPr>
      </w:pPr>
      <w:r w:rsidRPr="00851BA5">
        <w:rPr>
          <w:rFonts w:ascii="Tahoma" w:eastAsia="Calibri" w:hAnsi="Tahoma" w:cs="Tahoma"/>
        </w:rPr>
        <w:t>Elaborado o plano de concepção de novos cursos de acordo com o PNFQ e o Plano de Formação Profissional</w:t>
      </w:r>
      <w:r>
        <w:rPr>
          <w:rFonts w:ascii="Tahoma" w:eastAsia="Calibri" w:hAnsi="Tahoma" w:cs="Tahoma"/>
        </w:rPr>
        <w:t>, permitindo a criação e actualização de 26 novos cursos de Formação Média Técnica e 21 novos cursos de Formação Profissional Básica.</w:t>
      </w:r>
    </w:p>
    <w:p w:rsidR="007B4BD6" w:rsidRPr="00CF3F1A" w:rsidRDefault="007B4BD6" w:rsidP="007B4BD6">
      <w:pPr>
        <w:pStyle w:val="PargrafodaLista"/>
        <w:rPr>
          <w:rFonts w:ascii="Tahoma" w:hAnsi="Tahoma" w:cs="Tahoma"/>
        </w:rPr>
      </w:pPr>
    </w:p>
    <w:p w:rsidR="007B4BD6" w:rsidRPr="007A15BF" w:rsidRDefault="007B4BD6" w:rsidP="007B4BD6">
      <w:pPr>
        <w:pStyle w:val="PargrafodaLista"/>
        <w:numPr>
          <w:ilvl w:val="0"/>
          <w:numId w:val="5"/>
        </w:numPr>
        <w:spacing w:after="240" w:line="240" w:lineRule="auto"/>
        <w:ind w:right="-142"/>
        <w:jc w:val="both"/>
        <w:rPr>
          <w:rFonts w:ascii="Tahoma" w:hAnsi="Tahoma" w:cs="Tahoma"/>
          <w:b/>
        </w:rPr>
      </w:pPr>
      <w:r w:rsidRPr="007A15BF">
        <w:rPr>
          <w:rFonts w:ascii="Tahoma" w:eastAsia="Calibri" w:hAnsi="Tahoma" w:cs="Tahoma"/>
        </w:rPr>
        <w:t xml:space="preserve">Implementado o projecto de Avaliação do nível de </w:t>
      </w:r>
      <w:r w:rsidRPr="007A15BF">
        <w:rPr>
          <w:rFonts w:ascii="Tahoma" w:eastAsia="Calibri" w:hAnsi="Tahoma" w:cs="Tahoma"/>
          <w:color w:val="000000"/>
        </w:rPr>
        <w:t>empregabilidade do ETP</w:t>
      </w:r>
      <w:r w:rsidRPr="007A15BF">
        <w:rPr>
          <w:rFonts w:ascii="Tahoma" w:eastAsia="Calibri" w:hAnsi="Tahoma" w:cs="Tahoma"/>
        </w:rPr>
        <w:t xml:space="preserve"> com vista a assegurar o acompanhamento do grau de absorção dos quadros formados e as expectativas do </w:t>
      </w:r>
      <w:r>
        <w:rPr>
          <w:rFonts w:ascii="Tahoma" w:eastAsia="Calibri" w:hAnsi="Tahoma" w:cs="Tahoma"/>
        </w:rPr>
        <w:t>mercado.</w:t>
      </w:r>
    </w:p>
    <w:p w:rsidR="007B4BD6" w:rsidRPr="007A15BF" w:rsidRDefault="007B4BD6" w:rsidP="007B4BD6">
      <w:pPr>
        <w:pStyle w:val="PargrafodaLista"/>
        <w:rPr>
          <w:rFonts w:ascii="Tahoma" w:hAnsi="Tahoma" w:cs="Tahoma"/>
          <w:b/>
        </w:rPr>
      </w:pPr>
    </w:p>
    <w:p w:rsidR="007B4BD6" w:rsidRPr="007A15BF" w:rsidRDefault="007B4BD6" w:rsidP="007B4BD6">
      <w:pPr>
        <w:pStyle w:val="PargrafodaLista"/>
        <w:numPr>
          <w:ilvl w:val="0"/>
          <w:numId w:val="5"/>
        </w:numPr>
        <w:spacing w:after="240" w:line="240" w:lineRule="auto"/>
        <w:ind w:right="-142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Implementado o Processo de Formação de 502 Docentes no âmbito do Projecto de Intervenção e Assistência Técnica Funcional aos Laboratórios de Informática Aplicada à Contabilidade e Gestão com a aplicação do Software Primavera.</w:t>
      </w:r>
      <w:bookmarkStart w:id="0" w:name="_GoBack"/>
      <w:bookmarkEnd w:id="0"/>
    </w:p>
    <w:p w:rsidR="007B4BD6" w:rsidRPr="00CF3F1A" w:rsidRDefault="007B4BD6" w:rsidP="007B4BD6">
      <w:pPr>
        <w:pStyle w:val="PargrafodaLista"/>
        <w:spacing w:after="240" w:line="240" w:lineRule="auto"/>
        <w:ind w:left="1506" w:right="-142"/>
        <w:jc w:val="both"/>
        <w:rPr>
          <w:rFonts w:ascii="Tahoma" w:hAnsi="Tahoma" w:cs="Tahoma"/>
          <w:b/>
        </w:rPr>
      </w:pPr>
    </w:p>
    <w:p w:rsidR="00B56A9A" w:rsidRPr="007B4BD6" w:rsidRDefault="00B56A9A"/>
    <w:p w:rsidR="00B56A9A" w:rsidRDefault="00B56A9A"/>
    <w:p w:rsidR="00B56A9A" w:rsidRDefault="00B56A9A"/>
    <w:sectPr w:rsidR="00B56A9A" w:rsidSect="00AC1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DBE"/>
    <w:multiLevelType w:val="hybridMultilevel"/>
    <w:tmpl w:val="EE26D1D0"/>
    <w:lvl w:ilvl="0" w:tplc="25B04B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751F6"/>
    <w:multiLevelType w:val="hybridMultilevel"/>
    <w:tmpl w:val="308831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066948"/>
    <w:multiLevelType w:val="hybridMultilevel"/>
    <w:tmpl w:val="2124CEF8"/>
    <w:lvl w:ilvl="0" w:tplc="6760312E">
      <w:start w:val="1"/>
      <w:numFmt w:val="decimal"/>
      <w:lvlText w:val="%1."/>
      <w:lvlJc w:val="left"/>
      <w:pPr>
        <w:ind w:left="786" w:hanging="360"/>
      </w:pPr>
      <w:rPr>
        <w:rFonts w:eastAsia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E34BB"/>
    <w:multiLevelType w:val="hybridMultilevel"/>
    <w:tmpl w:val="619AD80E"/>
    <w:lvl w:ilvl="0" w:tplc="08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56A70D92"/>
    <w:multiLevelType w:val="hybridMultilevel"/>
    <w:tmpl w:val="9926BC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A9A"/>
    <w:rsid w:val="00016B77"/>
    <w:rsid w:val="000210AC"/>
    <w:rsid w:val="00130BC6"/>
    <w:rsid w:val="001D1DD4"/>
    <w:rsid w:val="002A3408"/>
    <w:rsid w:val="00351600"/>
    <w:rsid w:val="004E1A58"/>
    <w:rsid w:val="00581949"/>
    <w:rsid w:val="0060775C"/>
    <w:rsid w:val="006408E1"/>
    <w:rsid w:val="00746533"/>
    <w:rsid w:val="007B4BD6"/>
    <w:rsid w:val="00841A00"/>
    <w:rsid w:val="009369B6"/>
    <w:rsid w:val="00A3067D"/>
    <w:rsid w:val="00AC1755"/>
    <w:rsid w:val="00B15015"/>
    <w:rsid w:val="00B3435E"/>
    <w:rsid w:val="00B56A9A"/>
    <w:rsid w:val="00C06D93"/>
    <w:rsid w:val="00C45407"/>
    <w:rsid w:val="00CD7720"/>
    <w:rsid w:val="00CE7ED6"/>
    <w:rsid w:val="00E5694E"/>
    <w:rsid w:val="00F54494"/>
    <w:rsid w:val="00F7321C"/>
    <w:rsid w:val="00FC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5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E7E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3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2016-10-20T11:56:00Z</dcterms:created>
  <dcterms:modified xsi:type="dcterms:W3CDTF">2016-10-21T08:39:00Z</dcterms:modified>
</cp:coreProperties>
</file>