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56" w:type="dxa"/>
        <w:tblLayout w:type="fixed"/>
        <w:tblLook w:val="04A0" w:firstRow="1" w:lastRow="0" w:firstColumn="1" w:lastColumn="0" w:noHBand="0" w:noVBand="1"/>
      </w:tblPr>
      <w:tblGrid>
        <w:gridCol w:w="1526"/>
        <w:gridCol w:w="2126"/>
        <w:gridCol w:w="2666"/>
        <w:gridCol w:w="4138"/>
      </w:tblGrid>
      <w:tr w:rsidR="007514F5" w:rsidRPr="0063125B" w:rsidTr="001768BC">
        <w:trPr>
          <w:trHeight w:val="827"/>
        </w:trPr>
        <w:tc>
          <w:tcPr>
            <w:tcW w:w="1526" w:type="dxa"/>
            <w:vMerge w:val="restart"/>
            <w:vAlign w:val="center"/>
          </w:tcPr>
          <w:p w:rsidR="007514F5" w:rsidRPr="00BF4666" w:rsidRDefault="007514F5" w:rsidP="001768BC">
            <w:pPr>
              <w:jc w:val="center"/>
              <w:rPr>
                <w:rFonts w:ascii="Arial" w:hAnsi="Arial" w:cs="Arial"/>
                <w:sz w:val="24"/>
                <w:szCs w:val="24"/>
              </w:rPr>
            </w:pPr>
            <w:bookmarkStart w:id="0" w:name="_Toc402249999"/>
            <w:bookmarkStart w:id="1" w:name="_GoBack"/>
            <w:bookmarkEnd w:id="1"/>
            <w:r w:rsidRPr="00BF4666">
              <w:rPr>
                <w:rFonts w:ascii="Arial" w:hAnsi="Arial" w:cs="Arial"/>
                <w:noProof/>
                <w:sz w:val="24"/>
                <w:szCs w:val="24"/>
              </w:rPr>
              <w:drawing>
                <wp:inline distT="0" distB="0" distL="0" distR="0" wp14:anchorId="1F0338A3" wp14:editId="59A08294">
                  <wp:extent cx="873211" cy="873211"/>
                  <wp:effectExtent l="0" t="0" r="3175" b="3175"/>
                  <wp:docPr id="2" name="Picture 2" descr="http://www.ethiopianopinion.com/wp-content/uploads/2015/03/147df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hiopianopinion.com/wp-content/uploads/2015/03/147df04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211" cy="873211"/>
                          </a:xfrm>
                          <a:prstGeom prst="rect">
                            <a:avLst/>
                          </a:prstGeom>
                          <a:noFill/>
                          <a:ln>
                            <a:noFill/>
                          </a:ln>
                        </pic:spPr>
                      </pic:pic>
                    </a:graphicData>
                  </a:graphic>
                </wp:inline>
              </w:drawing>
            </w:r>
          </w:p>
        </w:tc>
        <w:tc>
          <w:tcPr>
            <w:tcW w:w="2126" w:type="dxa"/>
            <w:vAlign w:val="center"/>
          </w:tcPr>
          <w:p w:rsidR="007514F5" w:rsidRPr="00BF4666" w:rsidRDefault="007514F5" w:rsidP="001768BC">
            <w:pPr>
              <w:jc w:val="center"/>
              <w:rPr>
                <w:rFonts w:ascii="Arial" w:hAnsi="Arial" w:cs="Arial"/>
                <w:b/>
                <w:sz w:val="36"/>
                <w:szCs w:val="36"/>
              </w:rPr>
            </w:pPr>
            <w:r w:rsidRPr="00BF4666">
              <w:rPr>
                <w:rFonts w:ascii="Arial" w:hAnsi="Arial" w:cs="Arial"/>
                <w:b/>
                <w:sz w:val="36"/>
                <w:szCs w:val="36"/>
              </w:rPr>
              <w:t>COMESA</w:t>
            </w:r>
          </w:p>
        </w:tc>
        <w:tc>
          <w:tcPr>
            <w:tcW w:w="6804" w:type="dxa"/>
            <w:gridSpan w:val="2"/>
            <w:vAlign w:val="center"/>
          </w:tcPr>
          <w:p w:rsidR="007514F5" w:rsidRPr="00876546" w:rsidRDefault="007514F5" w:rsidP="001768BC">
            <w:pPr>
              <w:spacing w:line="276" w:lineRule="auto"/>
              <w:jc w:val="both"/>
              <w:rPr>
                <w:rFonts w:ascii="Arial Narrow" w:hAnsi="Arial Narrow" w:cs="Arial"/>
                <w:sz w:val="20"/>
                <w:szCs w:val="20"/>
              </w:rPr>
            </w:pPr>
            <w:r w:rsidRPr="00876546">
              <w:rPr>
                <w:rFonts w:ascii="Arial Narrow" w:hAnsi="Arial Narrow" w:cs="Arial"/>
                <w:b/>
                <w:sz w:val="24"/>
                <w:szCs w:val="24"/>
              </w:rPr>
              <w:t>Member Countries (19)</w:t>
            </w:r>
            <w:r w:rsidRPr="00876546">
              <w:rPr>
                <w:rFonts w:ascii="Arial Narrow" w:hAnsi="Arial Narrow" w:cs="Arial"/>
                <w:b/>
                <w:sz w:val="20"/>
                <w:szCs w:val="20"/>
              </w:rPr>
              <w:t xml:space="preserve"> : </w:t>
            </w:r>
            <w:r w:rsidRPr="00876546">
              <w:rPr>
                <w:rFonts w:ascii="Arial Narrow" w:hAnsi="Arial Narrow" w:cs="Arial"/>
                <w:sz w:val="20"/>
                <w:szCs w:val="20"/>
              </w:rPr>
              <w:t>*Burundi  *Comoros  *Djibouti  *Egypt  *Eritrea  *Ethiopia  *Kenya  *Libya  *Madagascar  *Malawi  *Mauritius  *Uganda  *D. R. of Congo  *Rwanda  *Seychelles  *Sudan *Swaziland  *Zambia  *Zimbabwe</w:t>
            </w:r>
          </w:p>
        </w:tc>
      </w:tr>
      <w:tr w:rsidR="007514F5" w:rsidRPr="0063125B" w:rsidTr="001768BC">
        <w:trPr>
          <w:trHeight w:val="515"/>
        </w:trPr>
        <w:tc>
          <w:tcPr>
            <w:tcW w:w="1526" w:type="dxa"/>
            <w:vMerge/>
          </w:tcPr>
          <w:p w:rsidR="007514F5" w:rsidRPr="00BF4666" w:rsidRDefault="007514F5" w:rsidP="001768BC">
            <w:pPr>
              <w:rPr>
                <w:rFonts w:ascii="Arial" w:hAnsi="Arial" w:cs="Arial"/>
                <w:noProof/>
                <w:sz w:val="24"/>
                <w:szCs w:val="24"/>
                <w:lang w:eastAsia="fr-FR"/>
              </w:rPr>
            </w:pPr>
          </w:p>
        </w:tc>
        <w:tc>
          <w:tcPr>
            <w:tcW w:w="2126" w:type="dxa"/>
            <w:vMerge w:val="restart"/>
            <w:vAlign w:val="center"/>
          </w:tcPr>
          <w:p w:rsidR="007514F5" w:rsidRPr="00BF4666" w:rsidRDefault="007514F5" w:rsidP="001768BC">
            <w:pPr>
              <w:jc w:val="center"/>
              <w:rPr>
                <w:rFonts w:ascii="Arial" w:hAnsi="Arial" w:cs="Arial"/>
                <w:b/>
                <w:sz w:val="28"/>
                <w:szCs w:val="28"/>
              </w:rPr>
            </w:pPr>
            <w:r>
              <w:rPr>
                <w:rFonts w:ascii="Arial" w:hAnsi="Arial" w:cs="Arial"/>
                <w:b/>
                <w:sz w:val="28"/>
                <w:szCs w:val="28"/>
              </w:rPr>
              <w:t>Lusaka</w:t>
            </w:r>
          </w:p>
        </w:tc>
        <w:tc>
          <w:tcPr>
            <w:tcW w:w="2666" w:type="dxa"/>
            <w:vMerge w:val="restart"/>
          </w:tcPr>
          <w:p w:rsidR="007514F5" w:rsidRDefault="007514F5" w:rsidP="001768BC">
            <w:pPr>
              <w:jc w:val="center"/>
              <w:rPr>
                <w:rFonts w:ascii="Arial Narrow" w:hAnsi="Arial Narrow" w:cs="Arial"/>
                <w:sz w:val="20"/>
                <w:szCs w:val="20"/>
              </w:rPr>
            </w:pPr>
            <w:r>
              <w:rPr>
                <w:rFonts w:ascii="Arial Narrow" w:hAnsi="Arial Narrow" w:cs="Arial"/>
                <w:sz w:val="20"/>
                <w:szCs w:val="20"/>
              </w:rPr>
              <w:t>Population of COMESA</w:t>
            </w:r>
          </w:p>
          <w:p w:rsidR="007514F5" w:rsidRPr="00DF1EBB" w:rsidRDefault="007514F5" w:rsidP="001768BC">
            <w:pPr>
              <w:jc w:val="center"/>
              <w:rPr>
                <w:rFonts w:ascii="Arial Narrow" w:hAnsi="Arial Narrow" w:cs="Arial"/>
                <w:b/>
                <w:sz w:val="24"/>
                <w:szCs w:val="24"/>
              </w:rPr>
            </w:pPr>
            <w:r>
              <w:rPr>
                <w:rFonts w:ascii="Arial Narrow" w:hAnsi="Arial Narrow" w:cs="Arial"/>
                <w:b/>
                <w:sz w:val="24"/>
                <w:szCs w:val="24"/>
              </w:rPr>
              <w:t xml:space="preserve">492 706 000 </w:t>
            </w:r>
            <w:proofErr w:type="spellStart"/>
            <w:r>
              <w:rPr>
                <w:rFonts w:ascii="Arial Narrow" w:hAnsi="Arial Narrow" w:cs="Arial"/>
                <w:b/>
                <w:sz w:val="24"/>
                <w:szCs w:val="24"/>
              </w:rPr>
              <w:t>inhab</w:t>
            </w:r>
            <w:proofErr w:type="spellEnd"/>
            <w:r>
              <w:rPr>
                <w:rFonts w:ascii="Arial Narrow" w:hAnsi="Arial Narrow" w:cs="Arial"/>
                <w:b/>
                <w:sz w:val="24"/>
                <w:szCs w:val="24"/>
              </w:rPr>
              <w:t>.</w:t>
            </w:r>
          </w:p>
          <w:p w:rsidR="007514F5" w:rsidRPr="00430C13" w:rsidRDefault="007514F5" w:rsidP="001768BC">
            <w:pPr>
              <w:ind w:firstLine="720"/>
              <w:jc w:val="center"/>
              <w:rPr>
                <w:rFonts w:ascii="Arial Narrow" w:hAnsi="Arial Narrow" w:cs="Arial"/>
                <w:sz w:val="20"/>
                <w:szCs w:val="20"/>
              </w:rPr>
            </w:pPr>
          </w:p>
        </w:tc>
        <w:tc>
          <w:tcPr>
            <w:tcW w:w="4138" w:type="dxa"/>
          </w:tcPr>
          <w:p w:rsidR="007514F5" w:rsidRPr="001D343E" w:rsidRDefault="007514F5" w:rsidP="001768BC">
            <w:pPr>
              <w:jc w:val="center"/>
              <w:rPr>
                <w:rFonts w:ascii="Arial Narrow" w:hAnsi="Arial Narrow" w:cs="Arial"/>
                <w:sz w:val="20"/>
                <w:szCs w:val="20"/>
              </w:rPr>
            </w:pPr>
            <w:r>
              <w:rPr>
                <w:rFonts w:ascii="Arial Narrow" w:hAnsi="Arial Narrow" w:cs="Arial"/>
                <w:sz w:val="20"/>
                <w:szCs w:val="20"/>
              </w:rPr>
              <w:t xml:space="preserve">Global budget of COMESA Members </w:t>
            </w:r>
            <w:proofErr w:type="spellStart"/>
            <w:r>
              <w:rPr>
                <w:rFonts w:ascii="Arial Narrow" w:hAnsi="Arial Narrow" w:cs="Arial"/>
                <w:sz w:val="20"/>
                <w:szCs w:val="20"/>
              </w:rPr>
              <w:t>States:Non</w:t>
            </w:r>
            <w:proofErr w:type="spellEnd"/>
          </w:p>
        </w:tc>
      </w:tr>
      <w:tr w:rsidR="007514F5" w:rsidRPr="00BF4666" w:rsidTr="001768BC">
        <w:trPr>
          <w:trHeight w:val="514"/>
        </w:trPr>
        <w:tc>
          <w:tcPr>
            <w:tcW w:w="1526" w:type="dxa"/>
            <w:vMerge/>
          </w:tcPr>
          <w:p w:rsidR="007514F5" w:rsidRPr="00BF4666" w:rsidRDefault="007514F5" w:rsidP="001768BC">
            <w:pPr>
              <w:rPr>
                <w:rFonts w:ascii="Arial" w:hAnsi="Arial" w:cs="Arial"/>
                <w:noProof/>
                <w:sz w:val="24"/>
                <w:szCs w:val="24"/>
                <w:lang w:eastAsia="fr-FR"/>
              </w:rPr>
            </w:pPr>
          </w:p>
        </w:tc>
        <w:tc>
          <w:tcPr>
            <w:tcW w:w="2126" w:type="dxa"/>
            <w:vMerge/>
            <w:vAlign w:val="center"/>
          </w:tcPr>
          <w:p w:rsidR="007514F5" w:rsidRPr="00BF4666" w:rsidRDefault="007514F5" w:rsidP="001768BC">
            <w:pPr>
              <w:jc w:val="center"/>
              <w:rPr>
                <w:rFonts w:ascii="Arial" w:hAnsi="Arial" w:cs="Arial"/>
                <w:b/>
                <w:sz w:val="28"/>
                <w:szCs w:val="28"/>
              </w:rPr>
            </w:pPr>
          </w:p>
        </w:tc>
        <w:tc>
          <w:tcPr>
            <w:tcW w:w="2666" w:type="dxa"/>
            <w:vMerge/>
          </w:tcPr>
          <w:p w:rsidR="007514F5" w:rsidRPr="00BF4666" w:rsidRDefault="007514F5" w:rsidP="001768BC">
            <w:pPr>
              <w:jc w:val="center"/>
              <w:rPr>
                <w:rFonts w:ascii="Arial" w:hAnsi="Arial" w:cs="Arial"/>
                <w:sz w:val="24"/>
                <w:szCs w:val="24"/>
              </w:rPr>
            </w:pPr>
          </w:p>
        </w:tc>
        <w:tc>
          <w:tcPr>
            <w:tcW w:w="4138" w:type="dxa"/>
          </w:tcPr>
          <w:p w:rsidR="007514F5" w:rsidRPr="00BF4666" w:rsidRDefault="007514F5" w:rsidP="001768BC">
            <w:pPr>
              <w:jc w:val="center"/>
              <w:rPr>
                <w:rFonts w:ascii="Arial" w:hAnsi="Arial" w:cs="Arial"/>
                <w:sz w:val="24"/>
                <w:szCs w:val="24"/>
              </w:rPr>
            </w:pPr>
            <w:r>
              <w:rPr>
                <w:rFonts w:ascii="Arial Narrow" w:hAnsi="Arial Narrow" w:cs="Arial"/>
                <w:sz w:val="20"/>
                <w:szCs w:val="20"/>
              </w:rPr>
              <w:t>Budget of COMESA: Non</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738"/>
        <w:gridCol w:w="1202"/>
        <w:gridCol w:w="1202"/>
        <w:gridCol w:w="630"/>
        <w:gridCol w:w="540"/>
        <w:gridCol w:w="222"/>
        <w:gridCol w:w="1052"/>
        <w:gridCol w:w="785"/>
        <w:gridCol w:w="644"/>
      </w:tblGrid>
      <w:tr w:rsidR="007514F5" w:rsidRPr="007321D4" w:rsidTr="001768BC">
        <w:tc>
          <w:tcPr>
            <w:tcW w:w="5781" w:type="dxa"/>
            <w:gridSpan w:val="9"/>
            <w:tcBorders>
              <w:top w:val="nil"/>
              <w:left w:val="nil"/>
              <w:bottom w:val="single" w:sz="4" w:space="0" w:color="auto"/>
              <w:right w:val="nil"/>
            </w:tcBorders>
          </w:tcPr>
          <w:p w:rsidR="007514F5" w:rsidRPr="007321D4" w:rsidRDefault="007514F5" w:rsidP="001768BC">
            <w:pPr>
              <w:jc w:val="center"/>
              <w:rPr>
                <w:rFonts w:ascii="Arial Narrow" w:hAnsi="Arial Narrow" w:cstheme="minorHAnsi"/>
                <w:sz w:val="16"/>
                <w:szCs w:val="16"/>
              </w:rPr>
            </w:pPr>
            <w:r w:rsidRPr="00BF4666">
              <w:rPr>
                <w:rFonts w:ascii="Arial Narrow" w:hAnsi="Arial Narrow" w:cstheme="minorHAnsi"/>
                <w:sz w:val="24"/>
                <w:szCs w:val="24"/>
              </w:rPr>
              <w:t>General Information</w:t>
            </w:r>
          </w:p>
        </w:tc>
      </w:tr>
      <w:tr w:rsidR="007514F5" w:rsidRPr="007321D4" w:rsidTr="001768BC">
        <w:tc>
          <w:tcPr>
            <w:tcW w:w="3078" w:type="dxa"/>
            <w:gridSpan w:val="5"/>
            <w:tcBorders>
              <w:top w:val="single" w:sz="4" w:space="0" w:color="auto"/>
            </w:tcBorders>
            <w:vAlign w:val="center"/>
          </w:tcPr>
          <w:p w:rsidR="007514F5" w:rsidRPr="00182D11" w:rsidRDefault="007514F5" w:rsidP="001768BC">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Population %</w:t>
            </w:r>
            <w:r w:rsidR="00FE4054">
              <w:rPr>
                <w:rStyle w:val="FootnoteReference"/>
                <w:rFonts w:ascii="Arial Narrow" w:eastAsia="Times New Roman" w:hAnsi="Arial Narrow" w:cstheme="minorHAnsi"/>
                <w:color w:val="000000"/>
                <w:sz w:val="16"/>
                <w:szCs w:val="16"/>
              </w:rPr>
              <w:footnoteReference w:id="1"/>
            </w:r>
          </w:p>
        </w:tc>
        <w:tc>
          <w:tcPr>
            <w:tcW w:w="222" w:type="dxa"/>
            <w:vMerge w:val="restart"/>
            <w:tcBorders>
              <w:top w:val="single" w:sz="4" w:space="0" w:color="auto"/>
            </w:tcBorders>
          </w:tcPr>
          <w:p w:rsidR="007514F5" w:rsidRPr="007321D4" w:rsidRDefault="007514F5" w:rsidP="001768BC">
            <w:pPr>
              <w:jc w:val="center"/>
              <w:rPr>
                <w:rFonts w:ascii="Arial Narrow" w:hAnsi="Arial Narrow" w:cstheme="minorHAnsi"/>
                <w:sz w:val="16"/>
                <w:szCs w:val="16"/>
              </w:rPr>
            </w:pPr>
          </w:p>
        </w:tc>
        <w:tc>
          <w:tcPr>
            <w:tcW w:w="2481" w:type="dxa"/>
            <w:gridSpan w:val="3"/>
            <w:tcBorders>
              <w:top w:val="single" w:sz="4" w:space="0" w:color="auto"/>
            </w:tcBorders>
            <w:vAlign w:val="center"/>
          </w:tcPr>
          <w:p w:rsidR="007514F5" w:rsidRPr="007321D4" w:rsidRDefault="007514F5" w:rsidP="001768BC">
            <w:pPr>
              <w:jc w:val="center"/>
              <w:rPr>
                <w:rFonts w:ascii="Arial Narrow" w:hAnsi="Arial Narrow" w:cstheme="minorHAnsi"/>
                <w:sz w:val="16"/>
                <w:szCs w:val="16"/>
              </w:rPr>
            </w:pPr>
            <w:r w:rsidRPr="007321D4">
              <w:rPr>
                <w:rFonts w:ascii="Arial Narrow" w:hAnsi="Arial Narrow" w:cstheme="minorHAnsi"/>
                <w:sz w:val="16"/>
                <w:szCs w:val="16"/>
              </w:rPr>
              <w:t>Budget</w:t>
            </w:r>
          </w:p>
        </w:tc>
      </w:tr>
      <w:tr w:rsidR="007514F5" w:rsidRPr="00182D11" w:rsidTr="001768BC">
        <w:tc>
          <w:tcPr>
            <w:tcW w:w="738" w:type="dxa"/>
            <w:vMerge w:val="restart"/>
            <w:vAlign w:val="center"/>
          </w:tcPr>
          <w:p w:rsidR="007514F5" w:rsidRPr="00182D11" w:rsidRDefault="007514F5" w:rsidP="001768BC">
            <w:pPr>
              <w:jc w:val="center"/>
              <w:rPr>
                <w:rFonts w:ascii="Arial Narrow" w:hAnsi="Arial Narrow" w:cstheme="minorHAnsi"/>
                <w:sz w:val="24"/>
                <w:szCs w:val="24"/>
              </w:rPr>
            </w:pPr>
            <w:r>
              <w:rPr>
                <w:rFonts w:ascii="Arial Narrow" w:eastAsia="Times New Roman" w:hAnsi="Arial Narrow" w:cstheme="minorHAnsi"/>
                <w:color w:val="000000"/>
                <w:sz w:val="16"/>
                <w:szCs w:val="16"/>
              </w:rPr>
              <w:t>Age</w:t>
            </w:r>
          </w:p>
        </w:tc>
        <w:tc>
          <w:tcPr>
            <w:tcW w:w="1170" w:type="dxa"/>
            <w:gridSpan w:val="2"/>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General Distribution </w:t>
            </w:r>
          </w:p>
        </w:tc>
        <w:tc>
          <w:tcPr>
            <w:tcW w:w="1170" w:type="dxa"/>
            <w:gridSpan w:val="2"/>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r w:rsidRPr="00BF4666">
              <w:rPr>
                <w:rFonts w:ascii="Arial Narrow" w:eastAsia="Times New Roman" w:hAnsi="Arial Narrow" w:cstheme="minorHAnsi"/>
                <w:color w:val="000000"/>
                <w:sz w:val="16"/>
                <w:szCs w:val="16"/>
              </w:rPr>
              <w:t xml:space="preserve">Enrolled </w:t>
            </w:r>
            <w:r>
              <w:rPr>
                <w:rFonts w:ascii="Arial Narrow" w:eastAsia="Times New Roman" w:hAnsi="Arial Narrow" w:cstheme="minorHAnsi"/>
                <w:color w:val="000000"/>
                <w:sz w:val="16"/>
                <w:szCs w:val="16"/>
              </w:rPr>
              <w:t>by</w:t>
            </w:r>
            <w:r w:rsidRPr="00BF4666">
              <w:rPr>
                <w:rFonts w:ascii="Arial Narrow" w:eastAsia="Times New Roman" w:hAnsi="Arial Narrow" w:cstheme="minorHAnsi"/>
                <w:color w:val="000000"/>
                <w:sz w:val="16"/>
                <w:szCs w:val="16"/>
              </w:rPr>
              <w:t xml:space="preserve"> </w:t>
            </w:r>
            <w:r w:rsidRPr="00182D11">
              <w:rPr>
                <w:rFonts w:ascii="Arial Narrow" w:eastAsia="Times New Roman" w:hAnsi="Arial Narrow" w:cstheme="minorHAnsi"/>
                <w:color w:val="000000"/>
                <w:sz w:val="16"/>
                <w:szCs w:val="16"/>
              </w:rPr>
              <w:t>cycle</w:t>
            </w:r>
          </w:p>
        </w:tc>
        <w:tc>
          <w:tcPr>
            <w:tcW w:w="222" w:type="dxa"/>
            <w:vMerge/>
          </w:tcPr>
          <w:p w:rsidR="007514F5" w:rsidRDefault="007514F5" w:rsidP="001768BC">
            <w:pPr>
              <w:jc w:val="center"/>
              <w:rPr>
                <w:rFonts w:ascii="Arial Narrow" w:eastAsia="Times New Roman" w:hAnsi="Arial Narrow" w:cstheme="minorHAnsi"/>
                <w:color w:val="000000"/>
                <w:sz w:val="16"/>
                <w:szCs w:val="16"/>
              </w:rPr>
            </w:pPr>
          </w:p>
        </w:tc>
        <w:tc>
          <w:tcPr>
            <w:tcW w:w="1052" w:type="dxa"/>
            <w:vMerge w:val="restart"/>
            <w:vAlign w:val="center"/>
          </w:tcPr>
          <w:p w:rsidR="007514F5" w:rsidRPr="00182D11" w:rsidRDefault="007514F5" w:rsidP="001768BC">
            <w:pPr>
              <w:jc w:val="center"/>
              <w:rPr>
                <w:rFonts w:ascii="Arial Narrow" w:hAnsi="Arial Narrow" w:cstheme="minorHAnsi"/>
                <w:sz w:val="24"/>
                <w:szCs w:val="24"/>
              </w:rPr>
            </w:pPr>
            <w:r>
              <w:rPr>
                <w:rFonts w:ascii="Arial Narrow" w:eastAsia="Times New Roman" w:hAnsi="Arial Narrow" w:cstheme="minorHAnsi"/>
                <w:color w:val="000000"/>
                <w:sz w:val="16"/>
                <w:szCs w:val="16"/>
              </w:rPr>
              <w:t xml:space="preserve">School </w:t>
            </w:r>
            <w:r w:rsidRPr="00182D11">
              <w:rPr>
                <w:rFonts w:ascii="Arial Narrow" w:eastAsia="Times New Roman" w:hAnsi="Arial Narrow" w:cstheme="minorHAnsi"/>
                <w:color w:val="000000"/>
                <w:sz w:val="16"/>
                <w:szCs w:val="16"/>
              </w:rPr>
              <w:t xml:space="preserve">Cycle </w:t>
            </w:r>
          </w:p>
        </w:tc>
        <w:tc>
          <w:tcPr>
            <w:tcW w:w="1429" w:type="dxa"/>
            <w:gridSpan w:val="2"/>
            <w:vAlign w:val="center"/>
          </w:tcPr>
          <w:p w:rsidR="007514F5" w:rsidRPr="00182D11" w:rsidRDefault="007514F5" w:rsidP="001768BC">
            <w:pPr>
              <w:jc w:val="center"/>
              <w:rPr>
                <w:rFonts w:ascii="Arial Narrow" w:hAnsi="Arial Narrow" w:cstheme="minorHAnsi"/>
                <w:sz w:val="24"/>
                <w:szCs w:val="24"/>
              </w:rPr>
            </w:pPr>
            <w:r w:rsidRPr="00182D11">
              <w:rPr>
                <w:rFonts w:ascii="Arial Narrow" w:eastAsia="Times New Roman" w:hAnsi="Arial Narrow" w:cstheme="minorHAnsi"/>
                <w:color w:val="000000"/>
                <w:sz w:val="16"/>
                <w:szCs w:val="16"/>
              </w:rPr>
              <w:t>%</w:t>
            </w:r>
          </w:p>
        </w:tc>
      </w:tr>
      <w:tr w:rsidR="007514F5" w:rsidRPr="00645788" w:rsidTr="001768BC">
        <w:tc>
          <w:tcPr>
            <w:tcW w:w="738" w:type="dxa"/>
            <w:vMerge/>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b/>
                <w:sz w:val="16"/>
                <w:szCs w:val="16"/>
              </w:rPr>
            </w:pPr>
            <w:r w:rsidRPr="00182D11">
              <w:rPr>
                <w:rFonts w:ascii="Arial Narrow" w:hAnsi="Arial Narrow" w:cstheme="minorHAnsi"/>
                <w:b/>
                <w:sz w:val="16"/>
                <w:szCs w:val="16"/>
              </w:rPr>
              <w:t>M</w:t>
            </w:r>
          </w:p>
        </w:tc>
        <w:tc>
          <w:tcPr>
            <w:tcW w:w="540" w:type="dxa"/>
            <w:vAlign w:val="center"/>
          </w:tcPr>
          <w:p w:rsidR="007514F5" w:rsidRPr="00182D11" w:rsidRDefault="007514F5" w:rsidP="001768BC">
            <w:pPr>
              <w:jc w:val="center"/>
              <w:rPr>
                <w:rFonts w:ascii="Arial Narrow" w:hAnsi="Arial Narrow" w:cstheme="minorHAnsi"/>
                <w:b/>
                <w:sz w:val="16"/>
                <w:szCs w:val="16"/>
              </w:rPr>
            </w:pPr>
            <w:r w:rsidRPr="00182D11">
              <w:rPr>
                <w:rFonts w:ascii="Arial Narrow" w:hAnsi="Arial Narrow" w:cstheme="minorHAnsi"/>
                <w:b/>
                <w:sz w:val="16"/>
                <w:szCs w:val="16"/>
              </w:rPr>
              <w:t>F</w:t>
            </w:r>
          </w:p>
        </w:tc>
        <w:tc>
          <w:tcPr>
            <w:tcW w:w="222" w:type="dxa"/>
            <w:vMerge/>
          </w:tcPr>
          <w:p w:rsidR="007514F5" w:rsidRPr="00182D11" w:rsidRDefault="007514F5" w:rsidP="001768BC">
            <w:pPr>
              <w:jc w:val="center"/>
              <w:rPr>
                <w:rFonts w:ascii="Arial Narrow" w:hAnsi="Arial Narrow" w:cstheme="minorHAnsi"/>
                <w:sz w:val="24"/>
                <w:szCs w:val="24"/>
              </w:rPr>
            </w:pPr>
          </w:p>
        </w:tc>
        <w:tc>
          <w:tcPr>
            <w:tcW w:w="1052" w:type="dxa"/>
            <w:vMerge/>
            <w:vAlign w:val="center"/>
          </w:tcPr>
          <w:p w:rsidR="007514F5" w:rsidRPr="00182D11" w:rsidRDefault="007514F5" w:rsidP="001768BC">
            <w:pPr>
              <w:jc w:val="center"/>
              <w:rPr>
                <w:rFonts w:ascii="Arial Narrow" w:hAnsi="Arial Narrow" w:cstheme="minorHAnsi"/>
                <w:sz w:val="24"/>
                <w:szCs w:val="24"/>
              </w:rPr>
            </w:pPr>
          </w:p>
        </w:tc>
        <w:tc>
          <w:tcPr>
            <w:tcW w:w="785" w:type="dxa"/>
            <w:vAlign w:val="center"/>
          </w:tcPr>
          <w:p w:rsidR="007514F5" w:rsidRPr="00645788" w:rsidRDefault="007514F5" w:rsidP="001768BC">
            <w:pPr>
              <w:jc w:val="center"/>
              <w:rPr>
                <w:rFonts w:ascii="Arial Narrow" w:hAnsi="Arial Narrow" w:cstheme="minorHAnsi"/>
                <w:sz w:val="16"/>
                <w:szCs w:val="16"/>
              </w:rPr>
            </w:pPr>
            <w:r>
              <w:rPr>
                <w:rFonts w:ascii="Arial Narrow" w:hAnsi="Arial Narrow" w:cstheme="minorHAnsi"/>
                <w:sz w:val="16"/>
                <w:szCs w:val="16"/>
              </w:rPr>
              <w:t>REC MS overview</w:t>
            </w:r>
          </w:p>
        </w:tc>
        <w:tc>
          <w:tcPr>
            <w:tcW w:w="644" w:type="dxa"/>
            <w:vAlign w:val="center"/>
          </w:tcPr>
          <w:p w:rsidR="007514F5" w:rsidRPr="00645788" w:rsidRDefault="007514F5" w:rsidP="001768BC">
            <w:pPr>
              <w:jc w:val="center"/>
              <w:rPr>
                <w:rFonts w:ascii="Arial Narrow" w:hAnsi="Arial Narrow" w:cstheme="minorHAnsi"/>
                <w:sz w:val="16"/>
                <w:szCs w:val="16"/>
              </w:rPr>
            </w:pPr>
            <w:r>
              <w:rPr>
                <w:rFonts w:ascii="Arial Narrow" w:hAnsi="Arial Narrow" w:cstheme="minorHAnsi"/>
                <w:sz w:val="16"/>
                <w:szCs w:val="16"/>
              </w:rPr>
              <w:t>REC</w:t>
            </w:r>
          </w:p>
        </w:tc>
      </w:tr>
      <w:tr w:rsidR="007514F5" w:rsidRPr="00645788" w:rsidTr="001768BC">
        <w:tc>
          <w:tcPr>
            <w:tcW w:w="738" w:type="dxa"/>
            <w:vAlign w:val="center"/>
          </w:tcPr>
          <w:p w:rsidR="007514F5" w:rsidRPr="00182D11" w:rsidRDefault="007514F5" w:rsidP="001768BC">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0 – 3</w:t>
            </w:r>
          </w:p>
        </w:tc>
        <w:tc>
          <w:tcPr>
            <w:tcW w:w="540" w:type="dxa"/>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18,299,988</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17,955,543</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sz w:val="24"/>
                <w:szCs w:val="24"/>
              </w:rPr>
            </w:pPr>
          </w:p>
        </w:tc>
        <w:tc>
          <w:tcPr>
            <w:tcW w:w="222" w:type="dxa"/>
            <w:vMerge/>
          </w:tcPr>
          <w:p w:rsidR="007514F5" w:rsidRDefault="007514F5" w:rsidP="001768BC">
            <w:pPr>
              <w:jc w:val="center"/>
              <w:rPr>
                <w:rFonts w:ascii="Arial Narrow" w:eastAsia="Times New Roman" w:hAnsi="Arial Narrow" w:cstheme="minorHAnsi"/>
                <w:color w:val="000000"/>
                <w:sz w:val="16"/>
                <w:szCs w:val="16"/>
              </w:rPr>
            </w:pPr>
          </w:p>
        </w:tc>
        <w:tc>
          <w:tcPr>
            <w:tcW w:w="1052" w:type="dxa"/>
            <w:vAlign w:val="center"/>
          </w:tcPr>
          <w:p w:rsidR="007514F5" w:rsidRPr="00BF4666" w:rsidRDefault="007514F5" w:rsidP="001768BC">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Pre-</w:t>
            </w:r>
            <w:r w:rsidR="00BB553C">
              <w:rPr>
                <w:rFonts w:ascii="Arial Narrow" w:eastAsia="Times New Roman" w:hAnsi="Arial Narrow" w:cstheme="minorHAnsi"/>
                <w:color w:val="000000"/>
                <w:sz w:val="16"/>
                <w:szCs w:val="16"/>
              </w:rPr>
              <w:t>primary</w:t>
            </w:r>
          </w:p>
        </w:tc>
        <w:tc>
          <w:tcPr>
            <w:tcW w:w="785" w:type="dxa"/>
            <w:vAlign w:val="center"/>
          </w:tcPr>
          <w:p w:rsidR="007514F5" w:rsidRPr="00645788" w:rsidRDefault="007514F5" w:rsidP="001768BC">
            <w:pPr>
              <w:jc w:val="center"/>
              <w:rPr>
                <w:rFonts w:ascii="Arial Narrow" w:hAnsi="Arial Narrow" w:cstheme="minorHAnsi"/>
                <w:sz w:val="16"/>
                <w:szCs w:val="16"/>
              </w:rPr>
            </w:pPr>
          </w:p>
        </w:tc>
        <w:tc>
          <w:tcPr>
            <w:tcW w:w="644" w:type="dxa"/>
            <w:vAlign w:val="center"/>
          </w:tcPr>
          <w:p w:rsidR="007514F5" w:rsidRPr="00645788" w:rsidRDefault="007514F5" w:rsidP="001768BC">
            <w:pPr>
              <w:jc w:val="center"/>
              <w:rPr>
                <w:rFonts w:ascii="Arial Narrow" w:hAnsi="Arial Narrow" w:cstheme="minorHAnsi"/>
                <w:sz w:val="16"/>
                <w:szCs w:val="16"/>
              </w:rPr>
            </w:pPr>
          </w:p>
        </w:tc>
      </w:tr>
      <w:tr w:rsidR="007514F5" w:rsidRPr="00645788" w:rsidTr="001768BC">
        <w:tc>
          <w:tcPr>
            <w:tcW w:w="738" w:type="dxa"/>
            <w:vAlign w:val="center"/>
          </w:tcPr>
          <w:p w:rsidR="007514F5" w:rsidRPr="00182D11" w:rsidRDefault="007514F5" w:rsidP="001768BC">
            <w:pPr>
              <w:jc w:val="center"/>
              <w:rPr>
                <w:rFonts w:ascii="Arial Narrow" w:eastAsia="Times New Roman" w:hAnsi="Arial Narrow" w:cstheme="minorHAnsi"/>
                <w:color w:val="000000"/>
                <w:sz w:val="16"/>
                <w:szCs w:val="16"/>
              </w:rPr>
            </w:pPr>
            <w:r>
              <w:rPr>
                <w:rFonts w:ascii="Arial Narrow" w:eastAsia="Times New Roman" w:hAnsi="Arial Narrow" w:cstheme="minorHAnsi"/>
                <w:color w:val="000000"/>
                <w:sz w:val="16"/>
                <w:szCs w:val="16"/>
              </w:rPr>
              <w:t>3 - 6</w:t>
            </w:r>
          </w:p>
        </w:tc>
        <w:tc>
          <w:tcPr>
            <w:tcW w:w="540" w:type="dxa"/>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14,254,201</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13,823,182</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sz w:val="24"/>
                <w:szCs w:val="24"/>
              </w:rPr>
            </w:pPr>
          </w:p>
        </w:tc>
        <w:tc>
          <w:tcPr>
            <w:tcW w:w="222" w:type="dxa"/>
            <w:vMerge/>
          </w:tcPr>
          <w:p w:rsidR="007514F5" w:rsidRPr="00BF4666" w:rsidRDefault="007514F5" w:rsidP="001768BC">
            <w:pPr>
              <w:jc w:val="center"/>
              <w:rPr>
                <w:rFonts w:ascii="Arial Narrow" w:eastAsia="Times New Roman" w:hAnsi="Arial Narrow" w:cstheme="minorHAnsi"/>
                <w:color w:val="000000"/>
                <w:sz w:val="16"/>
                <w:szCs w:val="16"/>
              </w:rPr>
            </w:pPr>
          </w:p>
        </w:tc>
        <w:tc>
          <w:tcPr>
            <w:tcW w:w="1052" w:type="dxa"/>
            <w:vAlign w:val="center"/>
          </w:tcPr>
          <w:p w:rsidR="007514F5" w:rsidRPr="00BF4666" w:rsidRDefault="007514F5" w:rsidP="001768BC">
            <w:pPr>
              <w:jc w:val="center"/>
              <w:rPr>
                <w:rFonts w:ascii="Arial Narrow" w:eastAsia="Times New Roman" w:hAnsi="Arial Narrow" w:cstheme="minorHAnsi"/>
                <w:color w:val="000000"/>
                <w:sz w:val="16"/>
                <w:szCs w:val="16"/>
              </w:rPr>
            </w:pPr>
            <w:r w:rsidRPr="00BF4666">
              <w:rPr>
                <w:rFonts w:ascii="Arial Narrow" w:eastAsia="Times New Roman" w:hAnsi="Arial Narrow" w:cstheme="minorHAnsi"/>
                <w:color w:val="000000"/>
                <w:sz w:val="16"/>
                <w:szCs w:val="16"/>
              </w:rPr>
              <w:t>Primary</w:t>
            </w:r>
          </w:p>
        </w:tc>
        <w:tc>
          <w:tcPr>
            <w:tcW w:w="785" w:type="dxa"/>
            <w:vAlign w:val="center"/>
          </w:tcPr>
          <w:p w:rsidR="007514F5" w:rsidRPr="00645788" w:rsidRDefault="007514F5" w:rsidP="001768BC">
            <w:pPr>
              <w:jc w:val="center"/>
              <w:rPr>
                <w:rFonts w:ascii="Arial Narrow" w:hAnsi="Arial Narrow" w:cstheme="minorHAnsi"/>
                <w:sz w:val="16"/>
                <w:szCs w:val="16"/>
              </w:rPr>
            </w:pPr>
          </w:p>
        </w:tc>
        <w:tc>
          <w:tcPr>
            <w:tcW w:w="644" w:type="dxa"/>
            <w:vAlign w:val="center"/>
          </w:tcPr>
          <w:p w:rsidR="007514F5" w:rsidRPr="00645788" w:rsidRDefault="007514F5" w:rsidP="001768BC">
            <w:pPr>
              <w:jc w:val="center"/>
              <w:rPr>
                <w:rFonts w:ascii="Arial Narrow" w:hAnsi="Arial Narrow" w:cstheme="minorHAnsi"/>
                <w:sz w:val="16"/>
                <w:szCs w:val="16"/>
              </w:rPr>
            </w:pPr>
          </w:p>
        </w:tc>
      </w:tr>
      <w:tr w:rsidR="007514F5" w:rsidRPr="00645788" w:rsidTr="001768BC">
        <w:tc>
          <w:tcPr>
            <w:tcW w:w="738" w:type="dxa"/>
            <w:vAlign w:val="center"/>
          </w:tcPr>
          <w:p w:rsidR="007514F5" w:rsidRPr="00182D11" w:rsidRDefault="007514F5" w:rsidP="001768BC">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6 - 12</w:t>
            </w:r>
          </w:p>
        </w:tc>
        <w:tc>
          <w:tcPr>
            <w:tcW w:w="540" w:type="dxa"/>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25,068,987</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24,177,250</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sz w:val="24"/>
                <w:szCs w:val="24"/>
              </w:rPr>
            </w:pPr>
          </w:p>
        </w:tc>
        <w:tc>
          <w:tcPr>
            <w:tcW w:w="222" w:type="dxa"/>
            <w:vMerge/>
          </w:tcPr>
          <w:p w:rsidR="007514F5" w:rsidRPr="00BF4666" w:rsidRDefault="007514F5" w:rsidP="001768BC">
            <w:pPr>
              <w:jc w:val="center"/>
              <w:rPr>
                <w:rFonts w:ascii="Arial Narrow" w:eastAsia="Times New Roman" w:hAnsi="Arial Narrow" w:cstheme="minorHAnsi"/>
                <w:color w:val="000000"/>
                <w:sz w:val="16"/>
                <w:szCs w:val="16"/>
              </w:rPr>
            </w:pPr>
          </w:p>
        </w:tc>
        <w:tc>
          <w:tcPr>
            <w:tcW w:w="1052" w:type="dxa"/>
            <w:vAlign w:val="center"/>
          </w:tcPr>
          <w:p w:rsidR="007514F5" w:rsidRPr="00BF4666" w:rsidRDefault="007514F5" w:rsidP="001768BC">
            <w:pPr>
              <w:jc w:val="center"/>
              <w:rPr>
                <w:rFonts w:ascii="Arial Narrow" w:eastAsia="Times New Roman" w:hAnsi="Arial Narrow" w:cstheme="minorHAnsi"/>
                <w:color w:val="000000"/>
                <w:sz w:val="16"/>
                <w:szCs w:val="16"/>
              </w:rPr>
            </w:pPr>
            <w:r w:rsidRPr="00BF4666">
              <w:rPr>
                <w:rFonts w:ascii="Arial Narrow" w:eastAsia="Times New Roman" w:hAnsi="Arial Narrow" w:cstheme="minorHAnsi"/>
                <w:color w:val="000000"/>
                <w:sz w:val="16"/>
                <w:szCs w:val="16"/>
              </w:rPr>
              <w:t>Secondary</w:t>
            </w:r>
          </w:p>
        </w:tc>
        <w:tc>
          <w:tcPr>
            <w:tcW w:w="785" w:type="dxa"/>
            <w:vAlign w:val="center"/>
          </w:tcPr>
          <w:p w:rsidR="007514F5" w:rsidRPr="00645788" w:rsidRDefault="007514F5" w:rsidP="001768BC">
            <w:pPr>
              <w:jc w:val="center"/>
              <w:rPr>
                <w:rFonts w:ascii="Arial Narrow" w:hAnsi="Arial Narrow" w:cstheme="minorHAnsi"/>
                <w:sz w:val="16"/>
                <w:szCs w:val="16"/>
              </w:rPr>
            </w:pPr>
          </w:p>
        </w:tc>
        <w:tc>
          <w:tcPr>
            <w:tcW w:w="644" w:type="dxa"/>
            <w:vAlign w:val="center"/>
          </w:tcPr>
          <w:p w:rsidR="007514F5" w:rsidRPr="00645788" w:rsidRDefault="007514F5" w:rsidP="001768BC">
            <w:pPr>
              <w:jc w:val="center"/>
              <w:rPr>
                <w:rFonts w:ascii="Arial Narrow" w:hAnsi="Arial Narrow" w:cstheme="minorHAnsi"/>
                <w:sz w:val="16"/>
                <w:szCs w:val="16"/>
              </w:rPr>
            </w:pPr>
          </w:p>
        </w:tc>
      </w:tr>
      <w:tr w:rsidR="007514F5" w:rsidRPr="00645788" w:rsidTr="001768BC">
        <w:tc>
          <w:tcPr>
            <w:tcW w:w="738" w:type="dxa"/>
            <w:vAlign w:val="center"/>
          </w:tcPr>
          <w:p w:rsidR="007514F5" w:rsidRPr="00182D11" w:rsidRDefault="007514F5" w:rsidP="001768BC">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12 - 18</w:t>
            </w:r>
          </w:p>
        </w:tc>
        <w:tc>
          <w:tcPr>
            <w:tcW w:w="540" w:type="dxa"/>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22,083,053</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21,380,052</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sz w:val="24"/>
                <w:szCs w:val="24"/>
              </w:rPr>
            </w:pPr>
          </w:p>
        </w:tc>
        <w:tc>
          <w:tcPr>
            <w:tcW w:w="222" w:type="dxa"/>
            <w:vMerge/>
          </w:tcPr>
          <w:p w:rsidR="007514F5" w:rsidRPr="00BF4666" w:rsidRDefault="007514F5" w:rsidP="001768BC">
            <w:pPr>
              <w:jc w:val="center"/>
              <w:rPr>
                <w:rFonts w:ascii="Arial Narrow" w:eastAsia="Times New Roman" w:hAnsi="Arial Narrow" w:cstheme="minorHAnsi"/>
                <w:color w:val="000000"/>
                <w:sz w:val="16"/>
                <w:szCs w:val="16"/>
              </w:rPr>
            </w:pPr>
          </w:p>
        </w:tc>
        <w:tc>
          <w:tcPr>
            <w:tcW w:w="1052" w:type="dxa"/>
            <w:vAlign w:val="center"/>
          </w:tcPr>
          <w:p w:rsidR="007514F5" w:rsidRPr="00BF4666" w:rsidRDefault="007514F5" w:rsidP="001768BC">
            <w:pPr>
              <w:jc w:val="center"/>
              <w:rPr>
                <w:rFonts w:ascii="Arial Narrow" w:eastAsia="Times New Roman" w:hAnsi="Arial Narrow" w:cstheme="minorHAnsi"/>
                <w:color w:val="000000"/>
                <w:sz w:val="16"/>
                <w:szCs w:val="16"/>
              </w:rPr>
            </w:pPr>
            <w:r w:rsidRPr="00BF4666">
              <w:rPr>
                <w:rFonts w:ascii="Arial Narrow" w:eastAsia="Times New Roman" w:hAnsi="Arial Narrow" w:cstheme="minorHAnsi"/>
                <w:color w:val="000000"/>
                <w:sz w:val="16"/>
                <w:szCs w:val="16"/>
              </w:rPr>
              <w:t>Higher</w:t>
            </w:r>
          </w:p>
        </w:tc>
        <w:tc>
          <w:tcPr>
            <w:tcW w:w="785" w:type="dxa"/>
            <w:vAlign w:val="center"/>
          </w:tcPr>
          <w:p w:rsidR="007514F5" w:rsidRPr="00645788" w:rsidRDefault="007514F5" w:rsidP="001768BC">
            <w:pPr>
              <w:jc w:val="center"/>
              <w:rPr>
                <w:rFonts w:ascii="Arial Narrow" w:hAnsi="Arial Narrow" w:cstheme="minorHAnsi"/>
                <w:sz w:val="16"/>
                <w:szCs w:val="16"/>
              </w:rPr>
            </w:pPr>
          </w:p>
        </w:tc>
        <w:tc>
          <w:tcPr>
            <w:tcW w:w="644" w:type="dxa"/>
            <w:vAlign w:val="center"/>
          </w:tcPr>
          <w:p w:rsidR="007514F5" w:rsidRPr="00645788" w:rsidRDefault="007514F5" w:rsidP="001768BC">
            <w:pPr>
              <w:jc w:val="center"/>
              <w:rPr>
                <w:rFonts w:ascii="Arial Narrow" w:hAnsi="Arial Narrow" w:cstheme="minorHAnsi"/>
                <w:sz w:val="16"/>
                <w:szCs w:val="16"/>
              </w:rPr>
            </w:pPr>
          </w:p>
        </w:tc>
      </w:tr>
      <w:tr w:rsidR="007514F5" w:rsidRPr="00645788" w:rsidTr="001768BC">
        <w:trPr>
          <w:trHeight w:val="88"/>
        </w:trPr>
        <w:tc>
          <w:tcPr>
            <w:tcW w:w="738" w:type="dxa"/>
            <w:vAlign w:val="center"/>
          </w:tcPr>
          <w:p w:rsidR="007514F5" w:rsidRPr="00182D11" w:rsidRDefault="007514F5" w:rsidP="001768BC">
            <w:pPr>
              <w:jc w:val="center"/>
              <w:rPr>
                <w:rFonts w:ascii="Arial Narrow" w:eastAsia="Times New Roman" w:hAnsi="Arial Narrow" w:cstheme="minorHAnsi"/>
                <w:color w:val="000000"/>
                <w:sz w:val="16"/>
                <w:szCs w:val="16"/>
              </w:rPr>
            </w:pPr>
            <w:r w:rsidRPr="00182D11">
              <w:rPr>
                <w:rFonts w:ascii="Arial Narrow" w:eastAsia="Times New Roman" w:hAnsi="Arial Narrow" w:cstheme="minorHAnsi"/>
                <w:color w:val="000000"/>
                <w:sz w:val="16"/>
                <w:szCs w:val="16"/>
              </w:rPr>
              <w:t>18 - 25</w:t>
            </w:r>
          </w:p>
        </w:tc>
        <w:tc>
          <w:tcPr>
            <w:tcW w:w="540" w:type="dxa"/>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20,857,488</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22,417,968</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sz w:val="24"/>
                <w:szCs w:val="24"/>
              </w:rPr>
            </w:pPr>
          </w:p>
        </w:tc>
        <w:tc>
          <w:tcPr>
            <w:tcW w:w="222" w:type="dxa"/>
            <w:vMerge/>
          </w:tcPr>
          <w:p w:rsidR="007514F5" w:rsidRPr="00BF4666" w:rsidRDefault="007514F5" w:rsidP="001768BC">
            <w:pPr>
              <w:jc w:val="center"/>
              <w:rPr>
                <w:rFonts w:ascii="Arial Narrow" w:eastAsia="Times New Roman" w:hAnsi="Arial Narrow" w:cstheme="minorHAnsi"/>
                <w:color w:val="000000"/>
                <w:sz w:val="16"/>
                <w:szCs w:val="16"/>
              </w:rPr>
            </w:pPr>
          </w:p>
        </w:tc>
        <w:tc>
          <w:tcPr>
            <w:tcW w:w="1052" w:type="dxa"/>
            <w:vAlign w:val="center"/>
          </w:tcPr>
          <w:p w:rsidR="007514F5" w:rsidRPr="00BF4666" w:rsidRDefault="007514F5" w:rsidP="001768BC">
            <w:pPr>
              <w:jc w:val="center"/>
              <w:rPr>
                <w:rFonts w:ascii="Arial Narrow" w:eastAsia="Times New Roman" w:hAnsi="Arial Narrow" w:cstheme="minorHAnsi"/>
                <w:color w:val="000000"/>
                <w:sz w:val="16"/>
                <w:szCs w:val="16"/>
              </w:rPr>
            </w:pPr>
            <w:r w:rsidRPr="00BF4666">
              <w:rPr>
                <w:rFonts w:ascii="Arial Narrow" w:eastAsia="Times New Roman" w:hAnsi="Arial Narrow" w:cstheme="minorHAnsi"/>
                <w:color w:val="000000"/>
                <w:sz w:val="16"/>
                <w:szCs w:val="16"/>
              </w:rPr>
              <w:t>TVET</w:t>
            </w:r>
          </w:p>
        </w:tc>
        <w:tc>
          <w:tcPr>
            <w:tcW w:w="785" w:type="dxa"/>
            <w:vAlign w:val="center"/>
          </w:tcPr>
          <w:p w:rsidR="007514F5" w:rsidRPr="00645788" w:rsidRDefault="007514F5" w:rsidP="001768BC">
            <w:pPr>
              <w:jc w:val="center"/>
              <w:rPr>
                <w:rFonts w:ascii="Arial Narrow" w:hAnsi="Arial Narrow" w:cstheme="minorHAnsi"/>
                <w:sz w:val="16"/>
                <w:szCs w:val="16"/>
              </w:rPr>
            </w:pPr>
          </w:p>
        </w:tc>
        <w:tc>
          <w:tcPr>
            <w:tcW w:w="644" w:type="dxa"/>
            <w:vAlign w:val="center"/>
          </w:tcPr>
          <w:p w:rsidR="007514F5" w:rsidRPr="00645788" w:rsidRDefault="007514F5" w:rsidP="001768BC">
            <w:pPr>
              <w:jc w:val="center"/>
              <w:rPr>
                <w:rFonts w:ascii="Arial Narrow" w:hAnsi="Arial Narrow" w:cstheme="minorHAnsi"/>
                <w:sz w:val="16"/>
                <w:szCs w:val="16"/>
              </w:rPr>
            </w:pPr>
          </w:p>
        </w:tc>
      </w:tr>
      <w:tr w:rsidR="007514F5" w:rsidRPr="00645788" w:rsidTr="001768BC">
        <w:tc>
          <w:tcPr>
            <w:tcW w:w="738" w:type="dxa"/>
            <w:vAlign w:val="center"/>
          </w:tcPr>
          <w:p w:rsidR="007514F5" w:rsidRPr="00182D11" w:rsidRDefault="007514F5" w:rsidP="001768BC">
            <w:pPr>
              <w:jc w:val="center"/>
              <w:rPr>
                <w:rFonts w:ascii="Arial Narrow" w:hAnsi="Arial Narrow" w:cstheme="minorHAnsi"/>
                <w:sz w:val="16"/>
                <w:szCs w:val="16"/>
              </w:rPr>
            </w:pPr>
            <w:r w:rsidRPr="00182D11">
              <w:rPr>
                <w:rFonts w:ascii="Arial Narrow" w:hAnsi="Arial Narrow" w:cstheme="minorHAnsi"/>
                <w:sz w:val="16"/>
                <w:szCs w:val="16"/>
              </w:rPr>
              <w:t>25 - 35</w:t>
            </w:r>
          </w:p>
        </w:tc>
        <w:tc>
          <w:tcPr>
            <w:tcW w:w="540" w:type="dxa"/>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21,295,179</w:t>
            </w:r>
          </w:p>
        </w:tc>
        <w:tc>
          <w:tcPr>
            <w:tcW w:w="630" w:type="dxa"/>
            <w:tcBorders>
              <w:right w:val="single" w:sz="18" w:space="0" w:color="auto"/>
            </w:tcBorders>
            <w:vAlign w:val="center"/>
          </w:tcPr>
          <w:p w:rsidR="007514F5" w:rsidRPr="00182D11" w:rsidRDefault="007514F5" w:rsidP="001768BC">
            <w:pPr>
              <w:jc w:val="center"/>
              <w:rPr>
                <w:rFonts w:ascii="Arial Narrow" w:hAnsi="Arial Narrow" w:cstheme="minorHAnsi"/>
                <w:sz w:val="24"/>
                <w:szCs w:val="24"/>
              </w:rPr>
            </w:pPr>
            <w:r>
              <w:rPr>
                <w:rFonts w:ascii="Arial Narrow" w:hAnsi="Arial Narrow" w:cstheme="minorHAnsi"/>
                <w:sz w:val="24"/>
                <w:szCs w:val="24"/>
              </w:rPr>
              <w:t>21,923,212</w:t>
            </w:r>
          </w:p>
        </w:tc>
        <w:tc>
          <w:tcPr>
            <w:tcW w:w="630" w:type="dxa"/>
            <w:tcBorders>
              <w:left w:val="single" w:sz="18" w:space="0" w:color="auto"/>
            </w:tcBorders>
            <w:vAlign w:val="center"/>
          </w:tcPr>
          <w:p w:rsidR="007514F5" w:rsidRPr="00182D11" w:rsidRDefault="007514F5" w:rsidP="001768BC">
            <w:pPr>
              <w:jc w:val="center"/>
              <w:rPr>
                <w:rFonts w:ascii="Arial Narrow" w:hAnsi="Arial Narrow" w:cstheme="minorHAnsi"/>
                <w:sz w:val="24"/>
                <w:szCs w:val="24"/>
              </w:rPr>
            </w:pPr>
          </w:p>
        </w:tc>
        <w:tc>
          <w:tcPr>
            <w:tcW w:w="540" w:type="dxa"/>
            <w:vAlign w:val="center"/>
          </w:tcPr>
          <w:p w:rsidR="007514F5" w:rsidRPr="00182D11" w:rsidRDefault="007514F5" w:rsidP="001768BC">
            <w:pPr>
              <w:jc w:val="center"/>
              <w:rPr>
                <w:rFonts w:ascii="Arial Narrow" w:hAnsi="Arial Narrow" w:cstheme="minorHAnsi"/>
                <w:sz w:val="24"/>
                <w:szCs w:val="24"/>
              </w:rPr>
            </w:pPr>
          </w:p>
        </w:tc>
        <w:tc>
          <w:tcPr>
            <w:tcW w:w="222" w:type="dxa"/>
            <w:vMerge/>
          </w:tcPr>
          <w:p w:rsidR="007514F5" w:rsidRPr="00BF4666" w:rsidRDefault="007514F5" w:rsidP="001768BC">
            <w:pPr>
              <w:jc w:val="center"/>
              <w:rPr>
                <w:rFonts w:ascii="Arial Narrow" w:eastAsia="Times New Roman" w:hAnsi="Arial Narrow" w:cstheme="minorHAnsi"/>
                <w:color w:val="000000"/>
                <w:sz w:val="16"/>
                <w:szCs w:val="16"/>
              </w:rPr>
            </w:pPr>
          </w:p>
        </w:tc>
        <w:tc>
          <w:tcPr>
            <w:tcW w:w="1052" w:type="dxa"/>
            <w:vAlign w:val="center"/>
          </w:tcPr>
          <w:p w:rsidR="007514F5" w:rsidRPr="00BF4666" w:rsidRDefault="007514F5" w:rsidP="001768BC">
            <w:pPr>
              <w:jc w:val="center"/>
              <w:rPr>
                <w:rFonts w:ascii="Arial Narrow" w:eastAsia="Times New Roman" w:hAnsi="Arial Narrow" w:cstheme="minorHAnsi"/>
                <w:color w:val="000000"/>
                <w:sz w:val="16"/>
                <w:szCs w:val="16"/>
              </w:rPr>
            </w:pPr>
            <w:r w:rsidRPr="00BF4666">
              <w:rPr>
                <w:rFonts w:ascii="Arial Narrow" w:eastAsia="Times New Roman" w:hAnsi="Arial Narrow" w:cstheme="minorHAnsi"/>
                <w:color w:val="000000"/>
                <w:sz w:val="16"/>
                <w:szCs w:val="16"/>
              </w:rPr>
              <w:t>STI</w:t>
            </w:r>
          </w:p>
        </w:tc>
        <w:tc>
          <w:tcPr>
            <w:tcW w:w="785" w:type="dxa"/>
            <w:vAlign w:val="center"/>
          </w:tcPr>
          <w:p w:rsidR="007514F5" w:rsidRPr="00645788" w:rsidRDefault="007514F5" w:rsidP="001768BC">
            <w:pPr>
              <w:jc w:val="center"/>
              <w:rPr>
                <w:rFonts w:ascii="Arial Narrow" w:hAnsi="Arial Narrow" w:cstheme="minorHAnsi"/>
                <w:sz w:val="16"/>
                <w:szCs w:val="16"/>
              </w:rPr>
            </w:pPr>
          </w:p>
        </w:tc>
        <w:tc>
          <w:tcPr>
            <w:tcW w:w="644" w:type="dxa"/>
            <w:vAlign w:val="center"/>
          </w:tcPr>
          <w:p w:rsidR="007514F5" w:rsidRPr="00645788" w:rsidRDefault="007514F5" w:rsidP="001768BC">
            <w:pPr>
              <w:jc w:val="center"/>
              <w:rPr>
                <w:rFonts w:ascii="Arial Narrow" w:hAnsi="Arial Narrow" w:cstheme="minorHAnsi"/>
                <w:sz w:val="16"/>
                <w:szCs w:val="16"/>
              </w:rPr>
            </w:pPr>
          </w:p>
        </w:tc>
      </w:tr>
    </w:tbl>
    <w:p w:rsidR="007514F5" w:rsidRDefault="007514F5" w:rsidP="00FE4054">
      <w:pPr>
        <w:rPr>
          <w:lang w:val="en-GB"/>
        </w:rPr>
      </w:pPr>
    </w:p>
    <w:p w:rsidR="007514F5" w:rsidRPr="00FE4054" w:rsidRDefault="007514F5" w:rsidP="00FE4054">
      <w:pPr>
        <w:rPr>
          <w:lang w:val="en-GB"/>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7514F5" w:rsidRDefault="007514F5" w:rsidP="00D03F5D">
      <w:pPr>
        <w:pStyle w:val="Heading3"/>
        <w:rPr>
          <w:rFonts w:ascii="Arial" w:hAnsi="Arial"/>
          <w:sz w:val="24"/>
        </w:rPr>
      </w:pPr>
    </w:p>
    <w:p w:rsidR="005930EE" w:rsidRDefault="005930EE" w:rsidP="00D03F5D">
      <w:pPr>
        <w:pStyle w:val="Heading3"/>
        <w:rPr>
          <w:rFonts w:ascii="Arial" w:hAnsi="Arial"/>
          <w:sz w:val="24"/>
        </w:rPr>
      </w:pPr>
      <w:r w:rsidRPr="002A0DD7">
        <w:rPr>
          <w:rFonts w:ascii="Arial" w:hAnsi="Arial"/>
          <w:sz w:val="24"/>
        </w:rPr>
        <w:t xml:space="preserve">Background of </w:t>
      </w:r>
      <w:bookmarkEnd w:id="0"/>
      <w:r w:rsidRPr="002A0DD7">
        <w:rPr>
          <w:rFonts w:ascii="Arial" w:hAnsi="Arial"/>
          <w:sz w:val="24"/>
        </w:rPr>
        <w:t>the Common Market for Eastern and Southern Africa (COMESA)</w:t>
      </w:r>
    </w:p>
    <w:p w:rsidR="00D03F5D" w:rsidRDefault="00D03F5D" w:rsidP="005930EE">
      <w:pPr>
        <w:spacing w:after="0" w:line="240" w:lineRule="auto"/>
        <w:jc w:val="both"/>
        <w:rPr>
          <w:rFonts w:ascii="Arial" w:hAnsi="Arial" w:cs="Arial"/>
          <w:sz w:val="24"/>
          <w:szCs w:val="24"/>
        </w:rPr>
      </w:pPr>
    </w:p>
    <w:p w:rsidR="005930EE" w:rsidRPr="00F67E82" w:rsidRDefault="005930EE" w:rsidP="00F67E82">
      <w:pPr>
        <w:pStyle w:val="ListParagraph"/>
        <w:numPr>
          <w:ilvl w:val="0"/>
          <w:numId w:val="49"/>
        </w:numPr>
        <w:spacing w:after="0" w:line="240" w:lineRule="auto"/>
        <w:ind w:left="0" w:firstLine="0"/>
        <w:jc w:val="both"/>
        <w:rPr>
          <w:rFonts w:ascii="Arial" w:hAnsi="Arial" w:cs="Arial"/>
          <w:sz w:val="24"/>
          <w:szCs w:val="24"/>
        </w:rPr>
      </w:pPr>
      <w:r w:rsidRPr="00F67E82">
        <w:rPr>
          <w:rFonts w:ascii="Arial" w:hAnsi="Arial" w:cs="Arial"/>
          <w:sz w:val="24"/>
          <w:szCs w:val="24"/>
        </w:rPr>
        <w:t>The Common Market for Eastern and Souther</w:t>
      </w:r>
      <w:r w:rsidR="00634F0E" w:rsidRPr="00F67E82">
        <w:rPr>
          <w:rFonts w:ascii="Arial" w:hAnsi="Arial" w:cs="Arial"/>
          <w:sz w:val="24"/>
          <w:szCs w:val="24"/>
        </w:rPr>
        <w:t>n Africa (COMESA) is a</w:t>
      </w:r>
      <w:r w:rsidRPr="00F67E82">
        <w:rPr>
          <w:rFonts w:ascii="Arial" w:hAnsi="Arial" w:cs="Arial"/>
          <w:sz w:val="24"/>
          <w:szCs w:val="24"/>
        </w:rPr>
        <w:t xml:space="preserve"> Regional Economic Community comprising 19 </w:t>
      </w:r>
      <w:r w:rsidR="00D03F5D" w:rsidRPr="00F67E82">
        <w:rPr>
          <w:rFonts w:ascii="Arial" w:hAnsi="Arial" w:cs="Arial"/>
          <w:sz w:val="24"/>
          <w:szCs w:val="24"/>
        </w:rPr>
        <w:t>m</w:t>
      </w:r>
      <w:r w:rsidRPr="00F67E82">
        <w:rPr>
          <w:rFonts w:ascii="Arial" w:hAnsi="Arial" w:cs="Arial"/>
          <w:sz w:val="24"/>
          <w:szCs w:val="24"/>
        </w:rPr>
        <w:t>ember States. COMESA was established as a Preferential Trade Area (PTA) under the Framework of the Organization of African Union (OUA) Lagos Plan of Action (LPA)</w:t>
      </w:r>
      <w:r w:rsidR="00D03F5D" w:rsidRPr="00F67E82">
        <w:rPr>
          <w:rFonts w:ascii="Arial" w:hAnsi="Arial" w:cs="Arial"/>
          <w:sz w:val="24"/>
          <w:szCs w:val="24"/>
        </w:rPr>
        <w:t>. COMESA</w:t>
      </w:r>
      <w:r w:rsidRPr="00F67E82">
        <w:rPr>
          <w:rFonts w:ascii="Arial" w:hAnsi="Arial" w:cs="Arial"/>
          <w:sz w:val="24"/>
          <w:szCs w:val="24"/>
        </w:rPr>
        <w:t xml:space="preserve"> is coordinated by a Secretariat which facilitates the development and implementation of policies and </w:t>
      </w:r>
      <w:proofErr w:type="spellStart"/>
      <w:r w:rsidRPr="00F67E82">
        <w:rPr>
          <w:rFonts w:ascii="Arial" w:hAnsi="Arial" w:cs="Arial"/>
          <w:sz w:val="24"/>
          <w:szCs w:val="24"/>
        </w:rPr>
        <w:t>programmes</w:t>
      </w:r>
      <w:proofErr w:type="spellEnd"/>
      <w:r w:rsidRPr="00F67E82">
        <w:rPr>
          <w:rFonts w:ascii="Arial" w:hAnsi="Arial" w:cs="Arial"/>
          <w:sz w:val="24"/>
          <w:szCs w:val="24"/>
        </w:rPr>
        <w:t xml:space="preserve"> by Member States. The </w:t>
      </w:r>
      <w:r w:rsidR="00D03F5D" w:rsidRPr="00F67E82">
        <w:rPr>
          <w:rFonts w:ascii="Arial" w:hAnsi="Arial" w:cs="Arial"/>
          <w:sz w:val="24"/>
          <w:szCs w:val="24"/>
        </w:rPr>
        <w:t xml:space="preserve">work of </w:t>
      </w:r>
      <w:r w:rsidRPr="00F67E82">
        <w:rPr>
          <w:rFonts w:ascii="Arial" w:hAnsi="Arial" w:cs="Arial"/>
          <w:sz w:val="24"/>
          <w:szCs w:val="24"/>
        </w:rPr>
        <w:t>COMESA</w:t>
      </w:r>
      <w:r w:rsidR="00B858C7" w:rsidRPr="00F67E82">
        <w:rPr>
          <w:rFonts w:ascii="Arial" w:hAnsi="Arial" w:cs="Arial"/>
          <w:sz w:val="24"/>
          <w:szCs w:val="24"/>
        </w:rPr>
        <w:t xml:space="preserve"> is guided by the COMESA Treaty</w:t>
      </w:r>
      <w:r w:rsidR="00634F0E" w:rsidRPr="00F67E82">
        <w:rPr>
          <w:rFonts w:ascii="Arial" w:hAnsi="Arial" w:cs="Arial"/>
          <w:sz w:val="24"/>
          <w:szCs w:val="24"/>
        </w:rPr>
        <w:t xml:space="preserve"> signed by the 19 COMESA member States</w:t>
      </w:r>
      <w:r w:rsidR="00B858C7" w:rsidRPr="00F67E82">
        <w:rPr>
          <w:rFonts w:ascii="Arial" w:hAnsi="Arial" w:cs="Arial"/>
          <w:sz w:val="24"/>
          <w:szCs w:val="24"/>
        </w:rPr>
        <w:t>.</w:t>
      </w:r>
    </w:p>
    <w:p w:rsidR="00B858C7" w:rsidRPr="002A0DD7" w:rsidRDefault="00B858C7" w:rsidP="005930EE">
      <w:pPr>
        <w:spacing w:after="0" w:line="240" w:lineRule="auto"/>
        <w:jc w:val="both"/>
        <w:rPr>
          <w:rFonts w:ascii="Arial" w:hAnsi="Arial" w:cs="Arial"/>
          <w:sz w:val="24"/>
          <w:szCs w:val="24"/>
        </w:rPr>
      </w:pPr>
    </w:p>
    <w:p w:rsidR="00634F0E" w:rsidRPr="002A0DD7" w:rsidRDefault="005930EE" w:rsidP="00F67E82">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The overall goal of COMESA is to promote </w:t>
      </w:r>
      <w:r w:rsidRPr="002A0DD7">
        <w:rPr>
          <w:rFonts w:ascii="Arial" w:hAnsi="Arial" w:cs="Arial"/>
          <w:sz w:val="24"/>
          <w:szCs w:val="24"/>
          <w:lang w:eastAsia="en-GB"/>
        </w:rPr>
        <w:t>sustainable economic and social development through</w:t>
      </w:r>
      <w:r w:rsidR="00B858C7" w:rsidRPr="002A0DD7">
        <w:rPr>
          <w:rFonts w:ascii="Arial" w:hAnsi="Arial" w:cs="Arial"/>
          <w:sz w:val="24"/>
          <w:szCs w:val="24"/>
        </w:rPr>
        <w:t xml:space="preserve"> regional economic integration</w:t>
      </w:r>
      <w:r w:rsidRPr="002A0DD7">
        <w:rPr>
          <w:rFonts w:ascii="Arial" w:hAnsi="Arial" w:cs="Arial"/>
          <w:sz w:val="24"/>
          <w:szCs w:val="24"/>
        </w:rPr>
        <w:t xml:space="preserve"> </w:t>
      </w:r>
      <w:r w:rsidR="00B858C7" w:rsidRPr="002A0DD7">
        <w:rPr>
          <w:rFonts w:ascii="Arial" w:hAnsi="Arial" w:cs="Arial"/>
          <w:sz w:val="24"/>
          <w:szCs w:val="24"/>
        </w:rPr>
        <w:t>(</w:t>
      </w:r>
      <w:r w:rsidRPr="002A0DD7">
        <w:rPr>
          <w:rFonts w:ascii="Arial" w:hAnsi="Arial" w:cs="Arial"/>
          <w:sz w:val="24"/>
          <w:szCs w:val="24"/>
        </w:rPr>
        <w:t>Article 3 of the COMESA Treaty</w:t>
      </w:r>
      <w:r w:rsidR="00B858C7" w:rsidRPr="002A0DD7">
        <w:rPr>
          <w:rFonts w:ascii="Arial" w:hAnsi="Arial" w:cs="Arial"/>
          <w:sz w:val="24"/>
          <w:szCs w:val="24"/>
        </w:rPr>
        <w:t>)</w:t>
      </w:r>
      <w:r w:rsidR="00634F0E" w:rsidRPr="002A0DD7">
        <w:rPr>
          <w:rFonts w:ascii="Arial" w:hAnsi="Arial" w:cs="Arial"/>
          <w:sz w:val="24"/>
          <w:szCs w:val="24"/>
        </w:rPr>
        <w:t>.</w:t>
      </w:r>
    </w:p>
    <w:p w:rsidR="00634F0E" w:rsidRPr="002A0DD7" w:rsidRDefault="00634F0E" w:rsidP="005930EE">
      <w:pPr>
        <w:spacing w:after="0" w:line="240" w:lineRule="auto"/>
        <w:jc w:val="both"/>
        <w:rPr>
          <w:rFonts w:ascii="Arial" w:hAnsi="Arial" w:cs="Arial"/>
          <w:sz w:val="24"/>
          <w:szCs w:val="24"/>
        </w:rPr>
      </w:pPr>
    </w:p>
    <w:p w:rsidR="005930EE" w:rsidRPr="002A0DD7" w:rsidRDefault="00634F0E" w:rsidP="00F67E82">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The COMESA</w:t>
      </w:r>
      <w:r w:rsidR="00B858C7" w:rsidRPr="002A0DD7">
        <w:rPr>
          <w:rFonts w:ascii="Arial" w:hAnsi="Arial" w:cs="Arial"/>
          <w:sz w:val="24"/>
          <w:szCs w:val="24"/>
        </w:rPr>
        <w:t xml:space="preserve"> </w:t>
      </w:r>
      <w:r w:rsidR="005930EE" w:rsidRPr="002A0DD7">
        <w:rPr>
          <w:rFonts w:ascii="Arial" w:hAnsi="Arial" w:cs="Arial"/>
          <w:sz w:val="24"/>
          <w:szCs w:val="24"/>
        </w:rPr>
        <w:t>Vision is</w:t>
      </w:r>
      <w:r w:rsidR="00D03F5D">
        <w:rPr>
          <w:rFonts w:ascii="Arial" w:hAnsi="Arial" w:cs="Arial"/>
          <w:sz w:val="24"/>
          <w:szCs w:val="24"/>
        </w:rPr>
        <w:t xml:space="preserve"> </w:t>
      </w:r>
      <w:r w:rsidR="00D03F5D">
        <w:rPr>
          <w:rFonts w:ascii="Arial" w:hAnsi="Arial" w:cs="Arial"/>
          <w:sz w:val="24"/>
          <w:szCs w:val="24"/>
          <w:lang w:eastAsia="en-GB"/>
        </w:rPr>
        <w:t>t</w:t>
      </w:r>
      <w:r w:rsidR="005930EE" w:rsidRPr="002A0DD7">
        <w:rPr>
          <w:rFonts w:ascii="Arial" w:hAnsi="Arial" w:cs="Arial"/>
          <w:sz w:val="24"/>
          <w:szCs w:val="24"/>
          <w:lang w:eastAsia="en-GB"/>
        </w:rPr>
        <w:t xml:space="preserve">o have a fully integrated internationally competitive </w:t>
      </w:r>
      <w:proofErr w:type="gramStart"/>
      <w:r w:rsidR="005930EE" w:rsidRPr="002A0DD7">
        <w:rPr>
          <w:rFonts w:ascii="Arial" w:hAnsi="Arial" w:cs="Arial"/>
          <w:sz w:val="24"/>
          <w:szCs w:val="24"/>
          <w:lang w:eastAsia="en-GB"/>
        </w:rPr>
        <w:t>regional</w:t>
      </w:r>
      <w:proofErr w:type="gramEnd"/>
      <w:r w:rsidR="005930EE" w:rsidRPr="002A0DD7">
        <w:rPr>
          <w:rFonts w:ascii="Arial" w:hAnsi="Arial" w:cs="Arial"/>
          <w:sz w:val="24"/>
          <w:szCs w:val="24"/>
          <w:lang w:eastAsia="en-GB"/>
        </w:rPr>
        <w:t xml:space="preserve"> economic community within which there is economic prosperity and peace as evidenced by political and social stability and high standards of living for its people.</w:t>
      </w:r>
    </w:p>
    <w:p w:rsidR="002A0DD7" w:rsidRDefault="002A0DD7" w:rsidP="005930EE">
      <w:pPr>
        <w:spacing w:after="0" w:line="240" w:lineRule="auto"/>
        <w:jc w:val="both"/>
        <w:rPr>
          <w:rFonts w:ascii="Arial" w:hAnsi="Arial" w:cs="Arial"/>
          <w:sz w:val="24"/>
          <w:szCs w:val="24"/>
        </w:rPr>
      </w:pPr>
    </w:p>
    <w:p w:rsidR="005930EE" w:rsidRPr="002A0DD7" w:rsidRDefault="005930EE" w:rsidP="00F67E82">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The COMESA Mission is </w:t>
      </w:r>
      <w:r w:rsidR="00D03F5D">
        <w:rPr>
          <w:rFonts w:ascii="Arial" w:hAnsi="Arial" w:cs="Arial"/>
          <w:sz w:val="24"/>
          <w:szCs w:val="24"/>
          <w:lang w:eastAsia="en-GB"/>
        </w:rPr>
        <w:t>t</w:t>
      </w:r>
      <w:r w:rsidRPr="002A0DD7">
        <w:rPr>
          <w:rFonts w:ascii="Arial" w:hAnsi="Arial" w:cs="Arial"/>
          <w:sz w:val="24"/>
          <w:szCs w:val="24"/>
          <w:lang w:eastAsia="en-GB"/>
        </w:rPr>
        <w:t xml:space="preserve">o </w:t>
      </w:r>
      <w:proofErr w:type="spellStart"/>
      <w:r w:rsidRPr="002A0DD7">
        <w:rPr>
          <w:rFonts w:ascii="Arial" w:hAnsi="Arial" w:cs="Arial"/>
          <w:sz w:val="24"/>
          <w:szCs w:val="24"/>
          <w:lang w:eastAsia="en-GB"/>
        </w:rPr>
        <w:t>endeavour</w:t>
      </w:r>
      <w:proofErr w:type="spellEnd"/>
      <w:r w:rsidRPr="002A0DD7">
        <w:rPr>
          <w:rFonts w:ascii="Arial" w:hAnsi="Arial" w:cs="Arial"/>
          <w:sz w:val="24"/>
          <w:szCs w:val="24"/>
          <w:lang w:eastAsia="en-GB"/>
        </w:rPr>
        <w:t xml:space="preserve"> to achieve sustainable economic and social progress in all </w:t>
      </w:r>
      <w:r w:rsidR="00DD2D7E">
        <w:rPr>
          <w:rFonts w:ascii="Arial" w:hAnsi="Arial" w:cs="Arial"/>
          <w:sz w:val="24"/>
          <w:szCs w:val="24"/>
          <w:lang w:eastAsia="en-GB"/>
        </w:rPr>
        <w:t>m</w:t>
      </w:r>
      <w:r w:rsidRPr="002A0DD7">
        <w:rPr>
          <w:rFonts w:ascii="Arial" w:hAnsi="Arial" w:cs="Arial"/>
          <w:sz w:val="24"/>
          <w:szCs w:val="24"/>
          <w:lang w:eastAsia="en-GB"/>
        </w:rPr>
        <w:t>ember States through increased co-operation and integration in all fields of development particularly in trade, customs and monetary affairs, transport, communication and information, technology, industry and energy, gender</w:t>
      </w:r>
      <w:r w:rsidR="00B73FA3" w:rsidRPr="002A0DD7">
        <w:rPr>
          <w:rFonts w:ascii="Arial" w:hAnsi="Arial" w:cs="Arial"/>
          <w:sz w:val="24"/>
          <w:szCs w:val="24"/>
          <w:lang w:eastAsia="en-GB"/>
        </w:rPr>
        <w:t xml:space="preserve"> and </w:t>
      </w:r>
      <w:r w:rsidR="00DD2D7E">
        <w:rPr>
          <w:rFonts w:ascii="Arial" w:hAnsi="Arial" w:cs="Arial"/>
          <w:sz w:val="24"/>
          <w:szCs w:val="24"/>
          <w:lang w:eastAsia="en-GB"/>
        </w:rPr>
        <w:t>s</w:t>
      </w:r>
      <w:r w:rsidR="00B73FA3" w:rsidRPr="002A0DD7">
        <w:rPr>
          <w:rFonts w:ascii="Arial" w:hAnsi="Arial" w:cs="Arial"/>
          <w:sz w:val="24"/>
          <w:szCs w:val="24"/>
          <w:lang w:eastAsia="en-GB"/>
        </w:rPr>
        <w:t xml:space="preserve">ocial </w:t>
      </w:r>
      <w:r w:rsidR="00DD2D7E">
        <w:rPr>
          <w:rFonts w:ascii="Arial" w:hAnsi="Arial" w:cs="Arial"/>
          <w:sz w:val="24"/>
          <w:szCs w:val="24"/>
          <w:lang w:eastAsia="en-GB"/>
        </w:rPr>
        <w:t>d</w:t>
      </w:r>
      <w:r w:rsidR="00B73FA3" w:rsidRPr="002A0DD7">
        <w:rPr>
          <w:rFonts w:ascii="Arial" w:hAnsi="Arial" w:cs="Arial"/>
          <w:sz w:val="24"/>
          <w:szCs w:val="24"/>
          <w:lang w:eastAsia="en-GB"/>
        </w:rPr>
        <w:t>evelopment</w:t>
      </w:r>
      <w:r w:rsidRPr="002A0DD7">
        <w:rPr>
          <w:rFonts w:ascii="Arial" w:hAnsi="Arial" w:cs="Arial"/>
          <w:sz w:val="24"/>
          <w:szCs w:val="24"/>
          <w:lang w:eastAsia="en-GB"/>
        </w:rPr>
        <w:t>, agriculture, environment and natural resources.</w:t>
      </w:r>
    </w:p>
    <w:p w:rsidR="002A0DD7" w:rsidRDefault="002A0DD7" w:rsidP="005930EE">
      <w:pPr>
        <w:spacing w:after="0" w:line="240" w:lineRule="auto"/>
        <w:jc w:val="both"/>
        <w:rPr>
          <w:rFonts w:ascii="Arial" w:hAnsi="Arial" w:cs="Arial"/>
          <w:sz w:val="24"/>
          <w:szCs w:val="24"/>
          <w:lang w:eastAsia="en-GB"/>
        </w:rPr>
      </w:pPr>
    </w:p>
    <w:p w:rsidR="005930EE" w:rsidRPr="002A0DD7" w:rsidRDefault="005930EE"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The chosen path towards </w:t>
      </w:r>
      <w:r w:rsidR="00B858C7" w:rsidRPr="002A0DD7">
        <w:rPr>
          <w:rFonts w:ascii="Arial" w:hAnsi="Arial" w:cs="Arial"/>
          <w:sz w:val="24"/>
          <w:szCs w:val="24"/>
        </w:rPr>
        <w:t>fulfillment</w:t>
      </w:r>
      <w:r w:rsidRPr="002A0DD7">
        <w:rPr>
          <w:rFonts w:ascii="Arial" w:hAnsi="Arial" w:cs="Arial"/>
          <w:sz w:val="24"/>
          <w:szCs w:val="24"/>
        </w:rPr>
        <w:t xml:space="preserve"> of the above Vision and Mission is development integration – involving a combination of trade development and liberalization, </w:t>
      </w:r>
      <w:r w:rsidR="00DD2D7E">
        <w:rPr>
          <w:rFonts w:ascii="Arial" w:hAnsi="Arial" w:cs="Arial"/>
          <w:sz w:val="24"/>
          <w:szCs w:val="24"/>
        </w:rPr>
        <w:t xml:space="preserve">industrialization, </w:t>
      </w:r>
      <w:r w:rsidRPr="002A0DD7">
        <w:rPr>
          <w:rFonts w:ascii="Arial" w:hAnsi="Arial" w:cs="Arial"/>
          <w:sz w:val="24"/>
          <w:szCs w:val="24"/>
        </w:rPr>
        <w:t>infrastructure development</w:t>
      </w:r>
      <w:r w:rsidR="00DD2D7E">
        <w:rPr>
          <w:rFonts w:ascii="Arial" w:hAnsi="Arial" w:cs="Arial"/>
          <w:sz w:val="24"/>
          <w:szCs w:val="24"/>
        </w:rPr>
        <w:t>,</w:t>
      </w:r>
      <w:r w:rsidRPr="002A0DD7">
        <w:rPr>
          <w:rFonts w:ascii="Arial" w:hAnsi="Arial" w:cs="Arial"/>
          <w:sz w:val="24"/>
          <w:szCs w:val="24"/>
        </w:rPr>
        <w:t xml:space="preserve"> investment promotion</w:t>
      </w:r>
      <w:r w:rsidR="00DD2D7E">
        <w:rPr>
          <w:rFonts w:ascii="Arial" w:hAnsi="Arial" w:cs="Arial"/>
          <w:sz w:val="24"/>
          <w:szCs w:val="24"/>
        </w:rPr>
        <w:t>,</w:t>
      </w:r>
      <w:r w:rsidRPr="002A0DD7">
        <w:rPr>
          <w:rFonts w:ascii="Arial" w:hAnsi="Arial" w:cs="Arial"/>
          <w:sz w:val="24"/>
          <w:szCs w:val="24"/>
        </w:rPr>
        <w:t xml:space="preserve"> </w:t>
      </w:r>
      <w:r w:rsidR="00DD2D7E">
        <w:rPr>
          <w:rFonts w:ascii="Arial" w:hAnsi="Arial" w:cs="Arial"/>
          <w:sz w:val="24"/>
          <w:szCs w:val="24"/>
        </w:rPr>
        <w:t>and</w:t>
      </w:r>
      <w:r w:rsidRPr="002A0DD7">
        <w:rPr>
          <w:rFonts w:ascii="Arial" w:hAnsi="Arial" w:cs="Arial"/>
          <w:sz w:val="24"/>
          <w:szCs w:val="24"/>
        </w:rPr>
        <w:t xml:space="preserve"> </w:t>
      </w:r>
      <w:r w:rsidRPr="002A0DD7">
        <w:rPr>
          <w:rFonts w:ascii="Arial" w:hAnsi="Arial" w:cs="Arial"/>
          <w:sz w:val="24"/>
          <w:szCs w:val="24"/>
        </w:rPr>
        <w:lastRenderedPageBreak/>
        <w:t xml:space="preserve">promotion of science and technology </w:t>
      </w:r>
      <w:r w:rsidR="00DD2D7E">
        <w:rPr>
          <w:rFonts w:ascii="Arial" w:hAnsi="Arial" w:cs="Arial"/>
          <w:sz w:val="24"/>
          <w:szCs w:val="24"/>
        </w:rPr>
        <w:t xml:space="preserve">and </w:t>
      </w:r>
      <w:proofErr w:type="gramStart"/>
      <w:r w:rsidR="00DD2D7E">
        <w:rPr>
          <w:rFonts w:ascii="Arial" w:hAnsi="Arial" w:cs="Arial"/>
          <w:sz w:val="24"/>
          <w:szCs w:val="24"/>
        </w:rPr>
        <w:t xml:space="preserve">coordination </w:t>
      </w:r>
      <w:r w:rsidRPr="002A0DD7">
        <w:rPr>
          <w:rFonts w:ascii="Arial" w:hAnsi="Arial" w:cs="Arial"/>
          <w:sz w:val="24"/>
          <w:szCs w:val="24"/>
        </w:rPr>
        <w:t xml:space="preserve"> to</w:t>
      </w:r>
      <w:proofErr w:type="gramEnd"/>
      <w:r w:rsidRPr="002A0DD7">
        <w:rPr>
          <w:rFonts w:ascii="Arial" w:hAnsi="Arial" w:cs="Arial"/>
          <w:sz w:val="24"/>
          <w:szCs w:val="24"/>
        </w:rPr>
        <w:t xml:space="preserve"> deepen the regional integration process and sustainable economic growth.</w:t>
      </w:r>
    </w:p>
    <w:p w:rsidR="002A0DD7" w:rsidRDefault="002A0DD7" w:rsidP="005930EE">
      <w:pPr>
        <w:spacing w:after="0" w:line="240" w:lineRule="auto"/>
        <w:jc w:val="both"/>
        <w:rPr>
          <w:rFonts w:ascii="Arial" w:hAnsi="Arial" w:cs="Arial"/>
          <w:sz w:val="24"/>
          <w:szCs w:val="24"/>
          <w:lang w:eastAsia="en-GB"/>
        </w:rPr>
      </w:pPr>
    </w:p>
    <w:p w:rsidR="005930EE" w:rsidRDefault="005930EE"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To support the Member States in these </w:t>
      </w:r>
      <w:proofErr w:type="spellStart"/>
      <w:r w:rsidRPr="002A0DD7">
        <w:rPr>
          <w:rFonts w:ascii="Arial" w:hAnsi="Arial" w:cs="Arial"/>
          <w:sz w:val="24"/>
          <w:szCs w:val="24"/>
        </w:rPr>
        <w:t>endeavours</w:t>
      </w:r>
      <w:proofErr w:type="spellEnd"/>
      <w:r w:rsidRPr="002A0DD7">
        <w:rPr>
          <w:rFonts w:ascii="Arial" w:hAnsi="Arial" w:cs="Arial"/>
          <w:sz w:val="24"/>
          <w:szCs w:val="24"/>
        </w:rPr>
        <w:t>, COMESA Secretariat has set up eight Programme Divisions which provide technical assistance on different aspects of regio</w:t>
      </w:r>
      <w:r w:rsidR="00B858C7" w:rsidRPr="002A0DD7">
        <w:rPr>
          <w:rFonts w:ascii="Arial" w:hAnsi="Arial" w:cs="Arial"/>
          <w:sz w:val="24"/>
          <w:szCs w:val="24"/>
        </w:rPr>
        <w:t>nal integration and development. These Divisions include the following:</w:t>
      </w:r>
    </w:p>
    <w:p w:rsidR="002A0DD7" w:rsidRPr="002A0DD7" w:rsidRDefault="002A0DD7" w:rsidP="002A0DD7">
      <w:pPr>
        <w:spacing w:after="0" w:line="240" w:lineRule="auto"/>
        <w:jc w:val="both"/>
        <w:rPr>
          <w:rFonts w:ascii="Arial" w:hAnsi="Arial" w:cs="Arial"/>
          <w:sz w:val="24"/>
          <w:szCs w:val="24"/>
        </w:rPr>
      </w:pPr>
    </w:p>
    <w:p w:rsidR="005930EE" w:rsidRPr="002A0DD7"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lang w:eastAsia="en-GB"/>
        </w:rPr>
      </w:pPr>
      <w:r w:rsidRPr="002A0DD7">
        <w:rPr>
          <w:rFonts w:ascii="Arial" w:hAnsi="Arial" w:cs="Arial"/>
          <w:sz w:val="24"/>
          <w:szCs w:val="24"/>
        </w:rPr>
        <w:t>Trade, Customs and Monetary Affairs Division;</w:t>
      </w:r>
    </w:p>
    <w:p w:rsidR="005930EE" w:rsidRPr="002A0DD7"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sidRPr="002A0DD7">
        <w:rPr>
          <w:rFonts w:ascii="Arial" w:hAnsi="Arial" w:cs="Arial"/>
          <w:sz w:val="24"/>
          <w:szCs w:val="24"/>
        </w:rPr>
        <w:t>Infrastructure Development Division;</w:t>
      </w:r>
    </w:p>
    <w:p w:rsidR="005930EE" w:rsidRPr="002A0DD7" w:rsidRDefault="00DD2D7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Pr>
          <w:rFonts w:ascii="Arial" w:hAnsi="Arial" w:cs="Arial"/>
          <w:sz w:val="24"/>
          <w:szCs w:val="24"/>
        </w:rPr>
        <w:t xml:space="preserve">Agriculture, Industry </w:t>
      </w:r>
      <w:r w:rsidR="005930EE" w:rsidRPr="002A0DD7">
        <w:rPr>
          <w:rFonts w:ascii="Arial" w:hAnsi="Arial" w:cs="Arial"/>
          <w:sz w:val="24"/>
          <w:szCs w:val="24"/>
        </w:rPr>
        <w:t xml:space="preserve"> and Private Sector Development Division; </w:t>
      </w:r>
    </w:p>
    <w:p w:rsidR="005930EE" w:rsidRPr="002A0DD7"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sidRPr="002A0DD7">
        <w:rPr>
          <w:rFonts w:ascii="Arial" w:hAnsi="Arial" w:cs="Arial"/>
          <w:sz w:val="24"/>
          <w:szCs w:val="24"/>
        </w:rPr>
        <w:t>Gender and Social Affairs Division;</w:t>
      </w:r>
    </w:p>
    <w:p w:rsidR="005930EE" w:rsidRPr="002A0DD7"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sidRPr="002A0DD7">
        <w:rPr>
          <w:rFonts w:ascii="Arial" w:hAnsi="Arial" w:cs="Arial"/>
          <w:sz w:val="24"/>
          <w:szCs w:val="24"/>
        </w:rPr>
        <w:t>Division of Administration</w:t>
      </w:r>
      <w:r w:rsidR="00B73FA3" w:rsidRPr="002A0DD7">
        <w:rPr>
          <w:rFonts w:ascii="Arial" w:hAnsi="Arial" w:cs="Arial"/>
          <w:sz w:val="24"/>
          <w:szCs w:val="24"/>
        </w:rPr>
        <w:t xml:space="preserve"> and Human Resources</w:t>
      </w:r>
      <w:r w:rsidRPr="002A0DD7">
        <w:rPr>
          <w:rFonts w:ascii="Arial" w:hAnsi="Arial" w:cs="Arial"/>
          <w:sz w:val="24"/>
          <w:szCs w:val="24"/>
        </w:rPr>
        <w:t>;</w:t>
      </w:r>
    </w:p>
    <w:p w:rsidR="005930EE" w:rsidRPr="002A0DD7"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sidRPr="002A0DD7">
        <w:rPr>
          <w:rFonts w:ascii="Arial" w:hAnsi="Arial" w:cs="Arial"/>
          <w:sz w:val="24"/>
          <w:szCs w:val="24"/>
        </w:rPr>
        <w:t>Division of Budget and Finance;</w:t>
      </w:r>
    </w:p>
    <w:p w:rsidR="005930EE" w:rsidRPr="002A0DD7"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sidRPr="002A0DD7">
        <w:rPr>
          <w:rFonts w:ascii="Arial" w:hAnsi="Arial" w:cs="Arial"/>
          <w:sz w:val="24"/>
          <w:szCs w:val="24"/>
        </w:rPr>
        <w:t>Division of Information and Networking;</w:t>
      </w:r>
    </w:p>
    <w:p w:rsidR="005930EE" w:rsidRDefault="005930EE" w:rsidP="005930EE">
      <w:pPr>
        <w:numPr>
          <w:ilvl w:val="0"/>
          <w:numId w:val="9"/>
        </w:numPr>
        <w:autoSpaceDE w:val="0"/>
        <w:autoSpaceDN w:val="0"/>
        <w:adjustRightInd w:val="0"/>
        <w:spacing w:after="0" w:line="240" w:lineRule="auto"/>
        <w:ind w:left="1440" w:hanging="720"/>
        <w:jc w:val="both"/>
        <w:rPr>
          <w:rFonts w:ascii="Arial" w:hAnsi="Arial" w:cs="Arial"/>
          <w:sz w:val="24"/>
          <w:szCs w:val="24"/>
        </w:rPr>
      </w:pPr>
      <w:r w:rsidRPr="002A0DD7">
        <w:rPr>
          <w:rFonts w:ascii="Arial" w:hAnsi="Arial" w:cs="Arial"/>
          <w:sz w:val="24"/>
          <w:szCs w:val="24"/>
        </w:rPr>
        <w:t>Division of Legal and Institutional Affairs.</w:t>
      </w:r>
    </w:p>
    <w:p w:rsidR="00056329" w:rsidRPr="002A0DD7" w:rsidRDefault="00056329" w:rsidP="00056329">
      <w:pPr>
        <w:autoSpaceDE w:val="0"/>
        <w:autoSpaceDN w:val="0"/>
        <w:adjustRightInd w:val="0"/>
        <w:spacing w:after="0" w:line="240" w:lineRule="auto"/>
        <w:ind w:left="1440"/>
        <w:jc w:val="both"/>
        <w:rPr>
          <w:rFonts w:ascii="Arial" w:hAnsi="Arial" w:cs="Arial"/>
          <w:sz w:val="24"/>
          <w:szCs w:val="24"/>
        </w:rPr>
      </w:pPr>
    </w:p>
    <w:p w:rsidR="005930EE" w:rsidRPr="002A0DD7" w:rsidRDefault="00DD2D7E" w:rsidP="00056329">
      <w:pPr>
        <w:pStyle w:val="ListParagraph"/>
        <w:numPr>
          <w:ilvl w:val="0"/>
          <w:numId w:val="49"/>
        </w:numPr>
        <w:spacing w:after="0" w:line="240" w:lineRule="auto"/>
        <w:ind w:left="0" w:firstLine="0"/>
        <w:jc w:val="both"/>
        <w:rPr>
          <w:rFonts w:ascii="Arial" w:hAnsi="Arial" w:cs="Arial"/>
          <w:sz w:val="24"/>
          <w:szCs w:val="24"/>
        </w:rPr>
      </w:pPr>
      <w:r>
        <w:rPr>
          <w:rFonts w:ascii="Arial" w:hAnsi="Arial" w:cs="Arial"/>
          <w:sz w:val="24"/>
          <w:szCs w:val="24"/>
        </w:rPr>
        <w:t>In addition, s</w:t>
      </w:r>
      <w:r w:rsidR="005930EE" w:rsidRPr="002A0DD7">
        <w:rPr>
          <w:rFonts w:ascii="Arial" w:hAnsi="Arial" w:cs="Arial"/>
          <w:sz w:val="24"/>
          <w:szCs w:val="24"/>
        </w:rPr>
        <w:t xml:space="preserve">everal </w:t>
      </w:r>
      <w:r w:rsidR="00B858C7" w:rsidRPr="002A0DD7">
        <w:rPr>
          <w:rFonts w:ascii="Arial" w:hAnsi="Arial" w:cs="Arial"/>
          <w:sz w:val="24"/>
          <w:szCs w:val="24"/>
        </w:rPr>
        <w:t xml:space="preserve">Units </w:t>
      </w:r>
      <w:r>
        <w:rPr>
          <w:rFonts w:ascii="Arial" w:hAnsi="Arial" w:cs="Arial"/>
          <w:sz w:val="24"/>
          <w:szCs w:val="24"/>
        </w:rPr>
        <w:t xml:space="preserve">have been established </w:t>
      </w:r>
      <w:r w:rsidR="005930EE" w:rsidRPr="002A0DD7">
        <w:rPr>
          <w:rFonts w:ascii="Arial" w:hAnsi="Arial" w:cs="Arial"/>
          <w:sz w:val="24"/>
          <w:szCs w:val="24"/>
        </w:rPr>
        <w:t>to complement the work of the Divisions in specific areas includ</w:t>
      </w:r>
      <w:r>
        <w:rPr>
          <w:rFonts w:ascii="Arial" w:hAnsi="Arial" w:cs="Arial"/>
          <w:sz w:val="24"/>
          <w:szCs w:val="24"/>
        </w:rPr>
        <w:t>ing</w:t>
      </w:r>
      <w:r w:rsidR="005930EE" w:rsidRPr="002A0DD7">
        <w:rPr>
          <w:rFonts w:ascii="Arial" w:hAnsi="Arial" w:cs="Arial"/>
          <w:sz w:val="24"/>
          <w:szCs w:val="24"/>
        </w:rPr>
        <w:t xml:space="preserve"> Agriculture, Climate Change, </w:t>
      </w:r>
      <w:r w:rsidR="00E1447B">
        <w:rPr>
          <w:rFonts w:ascii="Arial" w:hAnsi="Arial" w:cs="Arial"/>
          <w:sz w:val="24"/>
          <w:szCs w:val="24"/>
        </w:rPr>
        <w:t>Insurance (</w:t>
      </w:r>
      <w:r w:rsidR="005930EE" w:rsidRPr="002A0DD7">
        <w:rPr>
          <w:rFonts w:ascii="Arial" w:hAnsi="Arial" w:cs="Arial"/>
          <w:sz w:val="24"/>
          <w:szCs w:val="24"/>
        </w:rPr>
        <w:t>Yellow Card</w:t>
      </w:r>
      <w:r w:rsidR="00E1447B">
        <w:rPr>
          <w:rFonts w:ascii="Arial" w:hAnsi="Arial" w:cs="Arial"/>
          <w:sz w:val="24"/>
          <w:szCs w:val="24"/>
        </w:rPr>
        <w:t>)</w:t>
      </w:r>
      <w:r w:rsidR="005930EE" w:rsidRPr="002A0DD7">
        <w:rPr>
          <w:rFonts w:ascii="Arial" w:hAnsi="Arial" w:cs="Arial"/>
          <w:sz w:val="24"/>
          <w:szCs w:val="24"/>
        </w:rPr>
        <w:t xml:space="preserve">, </w:t>
      </w:r>
      <w:r w:rsidR="00E1447B">
        <w:rPr>
          <w:rFonts w:ascii="Arial" w:hAnsi="Arial" w:cs="Arial"/>
          <w:sz w:val="24"/>
          <w:szCs w:val="24"/>
        </w:rPr>
        <w:t>Aid for Trade (</w:t>
      </w:r>
      <w:proofErr w:type="spellStart"/>
      <w:r w:rsidR="005930EE" w:rsidRPr="002A0DD7">
        <w:rPr>
          <w:rFonts w:ascii="Arial" w:hAnsi="Arial" w:cs="Arial"/>
          <w:sz w:val="24"/>
          <w:szCs w:val="24"/>
        </w:rPr>
        <w:t>ComAid</w:t>
      </w:r>
      <w:proofErr w:type="spellEnd"/>
      <w:r w:rsidR="00E1447B">
        <w:rPr>
          <w:rFonts w:ascii="Arial" w:hAnsi="Arial" w:cs="Arial"/>
          <w:sz w:val="24"/>
          <w:szCs w:val="24"/>
        </w:rPr>
        <w:t>)</w:t>
      </w:r>
      <w:r w:rsidR="005930EE" w:rsidRPr="002A0DD7">
        <w:rPr>
          <w:rFonts w:ascii="Arial" w:hAnsi="Arial" w:cs="Arial"/>
          <w:sz w:val="24"/>
          <w:szCs w:val="24"/>
        </w:rPr>
        <w:t xml:space="preserve">, Standards and Accreditation, </w:t>
      </w:r>
      <w:r w:rsidR="00B73FA3" w:rsidRPr="002A0DD7">
        <w:rPr>
          <w:rFonts w:ascii="Arial" w:hAnsi="Arial" w:cs="Arial"/>
          <w:sz w:val="24"/>
          <w:szCs w:val="24"/>
        </w:rPr>
        <w:t xml:space="preserve">Governance, </w:t>
      </w:r>
      <w:r w:rsidR="005930EE" w:rsidRPr="002A0DD7">
        <w:rPr>
          <w:rFonts w:ascii="Arial" w:hAnsi="Arial" w:cs="Arial"/>
          <w:sz w:val="24"/>
          <w:szCs w:val="24"/>
        </w:rPr>
        <w:t>Peace and Security, Information Resources, and Science, Technology and Innovation.</w:t>
      </w:r>
    </w:p>
    <w:p w:rsidR="002A0DD7" w:rsidRDefault="002A0DD7" w:rsidP="00B858C7">
      <w:pPr>
        <w:spacing w:after="0" w:line="240" w:lineRule="auto"/>
        <w:jc w:val="both"/>
        <w:rPr>
          <w:rFonts w:ascii="Arial" w:hAnsi="Arial" w:cs="Arial"/>
          <w:sz w:val="24"/>
          <w:szCs w:val="24"/>
        </w:rPr>
      </w:pPr>
    </w:p>
    <w:p w:rsidR="00B858C7" w:rsidRPr="002A0DD7" w:rsidRDefault="005930EE" w:rsidP="00056329">
      <w:pPr>
        <w:pStyle w:val="ListParagraph"/>
        <w:numPr>
          <w:ilvl w:val="0"/>
          <w:numId w:val="49"/>
        </w:numPr>
        <w:spacing w:after="0" w:line="240" w:lineRule="auto"/>
        <w:ind w:left="0" w:firstLine="0"/>
        <w:jc w:val="both"/>
        <w:rPr>
          <w:rFonts w:ascii="Arial" w:hAnsi="Arial" w:cs="Arial"/>
          <w:sz w:val="24"/>
          <w:szCs w:val="24"/>
          <w:lang w:eastAsia="en-GB"/>
        </w:rPr>
      </w:pPr>
      <w:r w:rsidRPr="002A0DD7">
        <w:rPr>
          <w:rFonts w:ascii="Arial" w:hAnsi="Arial" w:cs="Arial"/>
          <w:sz w:val="24"/>
          <w:szCs w:val="24"/>
          <w:lang w:eastAsia="en-GB"/>
        </w:rPr>
        <w:t>COMESA’s Medium Term Strategic Plans</w:t>
      </w:r>
      <w:r w:rsidR="00B858C7" w:rsidRPr="002A0DD7">
        <w:rPr>
          <w:rFonts w:ascii="Arial" w:hAnsi="Arial" w:cs="Arial"/>
          <w:sz w:val="24"/>
          <w:szCs w:val="24"/>
          <w:lang w:eastAsia="en-GB"/>
        </w:rPr>
        <w:t xml:space="preserve"> (MTSP)</w:t>
      </w:r>
      <w:r w:rsidRPr="002A0DD7">
        <w:rPr>
          <w:rFonts w:ascii="Arial" w:hAnsi="Arial" w:cs="Arial"/>
          <w:sz w:val="24"/>
          <w:szCs w:val="24"/>
          <w:lang w:eastAsia="en-GB"/>
        </w:rPr>
        <w:t xml:space="preserve"> </w:t>
      </w:r>
      <w:r w:rsidR="00B858C7" w:rsidRPr="002A0DD7">
        <w:rPr>
          <w:rFonts w:ascii="Arial" w:hAnsi="Arial" w:cs="Arial"/>
          <w:sz w:val="24"/>
          <w:szCs w:val="24"/>
          <w:lang w:eastAsia="en-GB"/>
        </w:rPr>
        <w:t>functions</w:t>
      </w:r>
      <w:r w:rsidRPr="002A0DD7">
        <w:rPr>
          <w:rFonts w:ascii="Arial" w:hAnsi="Arial" w:cs="Arial"/>
          <w:sz w:val="24"/>
          <w:szCs w:val="24"/>
          <w:lang w:eastAsia="en-GB"/>
        </w:rPr>
        <w:t xml:space="preserve"> </w:t>
      </w:r>
      <w:r w:rsidR="00E161FA" w:rsidRPr="002A0DD7">
        <w:rPr>
          <w:rFonts w:ascii="Arial" w:hAnsi="Arial" w:cs="Arial"/>
          <w:sz w:val="24"/>
          <w:szCs w:val="24"/>
          <w:lang w:eastAsia="en-GB"/>
        </w:rPr>
        <w:t>as</w:t>
      </w:r>
      <w:r w:rsidR="00B73FA3" w:rsidRPr="002A0DD7">
        <w:rPr>
          <w:rFonts w:ascii="Arial" w:hAnsi="Arial" w:cs="Arial"/>
          <w:sz w:val="24"/>
          <w:szCs w:val="24"/>
          <w:lang w:eastAsia="en-GB"/>
        </w:rPr>
        <w:t xml:space="preserve"> </w:t>
      </w:r>
      <w:r w:rsidRPr="002A0DD7">
        <w:rPr>
          <w:rFonts w:ascii="Arial" w:hAnsi="Arial" w:cs="Arial"/>
          <w:sz w:val="24"/>
          <w:szCs w:val="24"/>
        </w:rPr>
        <w:t xml:space="preserve">road maps for the achievement of the goals of regional integration. </w:t>
      </w:r>
    </w:p>
    <w:p w:rsidR="00B858C7" w:rsidRPr="002A0DD7" w:rsidRDefault="00B858C7" w:rsidP="00B858C7">
      <w:pPr>
        <w:spacing w:after="0" w:line="240" w:lineRule="auto"/>
        <w:jc w:val="both"/>
        <w:rPr>
          <w:rFonts w:ascii="Arial" w:hAnsi="Arial" w:cs="Arial"/>
          <w:sz w:val="24"/>
          <w:szCs w:val="24"/>
        </w:rPr>
      </w:pPr>
    </w:p>
    <w:p w:rsidR="000B6008" w:rsidRPr="002A0DD7" w:rsidRDefault="003B1CAE" w:rsidP="00056329">
      <w:pPr>
        <w:pStyle w:val="ListParagraph"/>
        <w:numPr>
          <w:ilvl w:val="0"/>
          <w:numId w:val="49"/>
        </w:numPr>
        <w:spacing w:after="0" w:line="240" w:lineRule="auto"/>
        <w:ind w:left="0" w:firstLine="0"/>
        <w:jc w:val="both"/>
        <w:rPr>
          <w:rFonts w:ascii="Arial" w:hAnsi="Arial" w:cs="Arial"/>
          <w:sz w:val="24"/>
          <w:szCs w:val="24"/>
        </w:rPr>
      </w:pPr>
      <w:r>
        <w:rPr>
          <w:rFonts w:ascii="Arial" w:hAnsi="Arial" w:cs="Arial"/>
          <w:sz w:val="24"/>
          <w:szCs w:val="24"/>
          <w:lang w:eastAsia="en-GB"/>
        </w:rPr>
        <w:t>T</w:t>
      </w:r>
      <w:r w:rsidR="000B6008" w:rsidRPr="002A0DD7">
        <w:rPr>
          <w:rFonts w:ascii="Arial" w:hAnsi="Arial" w:cs="Arial"/>
          <w:sz w:val="24"/>
          <w:szCs w:val="24"/>
          <w:lang w:eastAsia="en-GB"/>
        </w:rPr>
        <w:t>he MTSP assert</w:t>
      </w:r>
      <w:r w:rsidR="005930EE" w:rsidRPr="002A0DD7">
        <w:rPr>
          <w:rFonts w:ascii="Arial" w:hAnsi="Arial" w:cs="Arial"/>
          <w:sz w:val="24"/>
          <w:szCs w:val="24"/>
          <w:lang w:eastAsia="en-GB"/>
        </w:rPr>
        <w:t xml:space="preserve"> that the ultimate goal of becoming a fully integrated and internationally competitive regional economic community is to make an improvement in peoples’ living conditions, in a secure and sustainable environment. Success in achieving this shall be measured in terms of “higher, sustainable economic growth with improved human development outcomes – healthier, better educated people that live longer productive lives in safer and sustainable environments”.</w:t>
      </w:r>
      <w:r w:rsidR="000B6008" w:rsidRPr="002A0DD7">
        <w:rPr>
          <w:rFonts w:ascii="Arial" w:hAnsi="Arial" w:cs="Arial"/>
          <w:sz w:val="24"/>
          <w:szCs w:val="24"/>
          <w:lang w:eastAsia="en-GB"/>
        </w:rPr>
        <w:t xml:space="preserve"> </w:t>
      </w:r>
      <w:r w:rsidR="005930EE" w:rsidRPr="002A0DD7">
        <w:rPr>
          <w:rFonts w:ascii="Arial" w:hAnsi="Arial" w:cs="Arial"/>
          <w:sz w:val="24"/>
          <w:szCs w:val="24"/>
          <w:lang w:eastAsia="en-GB"/>
        </w:rPr>
        <w:t xml:space="preserve">This acknowledgement reaffirms the social character of </w:t>
      </w:r>
      <w:r w:rsidR="00634F0E" w:rsidRPr="002A0DD7">
        <w:rPr>
          <w:rFonts w:ascii="Arial" w:hAnsi="Arial" w:cs="Arial"/>
          <w:sz w:val="24"/>
          <w:szCs w:val="24"/>
          <w:lang w:eastAsia="en-GB"/>
        </w:rPr>
        <w:t xml:space="preserve">the </w:t>
      </w:r>
      <w:r w:rsidR="005930EE" w:rsidRPr="002A0DD7">
        <w:rPr>
          <w:rFonts w:ascii="Arial" w:hAnsi="Arial" w:cs="Arial"/>
          <w:sz w:val="24"/>
          <w:szCs w:val="24"/>
          <w:lang w:eastAsia="en-GB"/>
        </w:rPr>
        <w:t xml:space="preserve">COMESA’s Vision, which is also apparent in the COMESA </w:t>
      </w:r>
      <w:r w:rsidR="005930EE" w:rsidRPr="002A0DD7">
        <w:rPr>
          <w:rFonts w:ascii="Arial" w:hAnsi="Arial" w:cs="Arial"/>
          <w:sz w:val="24"/>
          <w:szCs w:val="24"/>
        </w:rPr>
        <w:t>Social Charter.</w:t>
      </w:r>
    </w:p>
    <w:p w:rsidR="00634F0E" w:rsidRPr="002A0DD7" w:rsidRDefault="00634F0E" w:rsidP="000B6008">
      <w:pPr>
        <w:spacing w:after="0" w:line="240" w:lineRule="auto"/>
        <w:jc w:val="both"/>
        <w:rPr>
          <w:rFonts w:ascii="Arial" w:hAnsi="Arial" w:cs="Arial"/>
          <w:sz w:val="24"/>
          <w:szCs w:val="24"/>
        </w:rPr>
      </w:pPr>
    </w:p>
    <w:p w:rsidR="000B6008" w:rsidRPr="002A0DD7" w:rsidRDefault="000B6008" w:rsidP="000B6008">
      <w:pPr>
        <w:spacing w:after="0" w:line="240" w:lineRule="auto"/>
        <w:jc w:val="both"/>
        <w:rPr>
          <w:rFonts w:ascii="Arial" w:hAnsi="Arial" w:cs="Arial"/>
          <w:b/>
          <w:sz w:val="24"/>
          <w:szCs w:val="24"/>
        </w:rPr>
      </w:pPr>
      <w:r w:rsidRPr="002A0DD7">
        <w:rPr>
          <w:rFonts w:ascii="Arial" w:hAnsi="Arial" w:cs="Arial"/>
          <w:b/>
          <w:sz w:val="24"/>
          <w:szCs w:val="24"/>
        </w:rPr>
        <w:t>The COMESA Social Charter</w:t>
      </w:r>
    </w:p>
    <w:p w:rsidR="000B6008" w:rsidRPr="002A0DD7" w:rsidRDefault="000B6008" w:rsidP="000B6008">
      <w:pPr>
        <w:spacing w:after="0" w:line="240" w:lineRule="auto"/>
        <w:jc w:val="both"/>
        <w:rPr>
          <w:rFonts w:ascii="Arial" w:hAnsi="Arial" w:cs="Arial"/>
          <w:sz w:val="24"/>
          <w:szCs w:val="24"/>
        </w:rPr>
      </w:pPr>
    </w:p>
    <w:p w:rsidR="000B6008" w:rsidRPr="002A0DD7" w:rsidRDefault="000B6008"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The Treaty that established COMESA includes amongst other commitments the importance of the promotion of close cooperation between </w:t>
      </w:r>
      <w:r w:rsidR="003B1CAE">
        <w:rPr>
          <w:rFonts w:ascii="Arial" w:hAnsi="Arial" w:cs="Arial"/>
          <w:sz w:val="24"/>
          <w:szCs w:val="24"/>
        </w:rPr>
        <w:t>m</w:t>
      </w:r>
      <w:r w:rsidRPr="002A0DD7">
        <w:rPr>
          <w:rFonts w:ascii="Arial" w:hAnsi="Arial" w:cs="Arial"/>
          <w:sz w:val="24"/>
          <w:szCs w:val="24"/>
        </w:rPr>
        <w:t>ember States in the social and cultural fields (Article 143)</w:t>
      </w:r>
      <w:r w:rsidR="003B1CAE">
        <w:rPr>
          <w:rFonts w:ascii="Arial" w:hAnsi="Arial" w:cs="Arial"/>
          <w:sz w:val="24"/>
          <w:szCs w:val="24"/>
        </w:rPr>
        <w:t xml:space="preserve"> to enhance social development by </w:t>
      </w:r>
      <w:r w:rsidRPr="002A0DD7">
        <w:rPr>
          <w:rFonts w:ascii="Arial" w:hAnsi="Arial" w:cs="Arial"/>
          <w:sz w:val="24"/>
          <w:szCs w:val="24"/>
        </w:rPr>
        <w:t>adopt</w:t>
      </w:r>
      <w:r w:rsidR="003B1CAE">
        <w:rPr>
          <w:rFonts w:ascii="Arial" w:hAnsi="Arial" w:cs="Arial"/>
          <w:sz w:val="24"/>
          <w:szCs w:val="24"/>
        </w:rPr>
        <w:t>ing</w:t>
      </w:r>
      <w:r w:rsidRPr="002A0DD7">
        <w:rPr>
          <w:rFonts w:ascii="Arial" w:hAnsi="Arial" w:cs="Arial"/>
          <w:sz w:val="24"/>
          <w:szCs w:val="24"/>
        </w:rPr>
        <w:t xml:space="preserve"> a </w:t>
      </w:r>
      <w:r w:rsidR="003B1CAE">
        <w:rPr>
          <w:rFonts w:ascii="Arial" w:hAnsi="Arial" w:cs="Arial"/>
          <w:sz w:val="24"/>
          <w:szCs w:val="24"/>
        </w:rPr>
        <w:t>S</w:t>
      </w:r>
      <w:r w:rsidRPr="002A0DD7">
        <w:rPr>
          <w:rFonts w:ascii="Arial" w:hAnsi="Arial" w:cs="Arial"/>
          <w:sz w:val="24"/>
          <w:szCs w:val="24"/>
        </w:rPr>
        <w:t xml:space="preserve">ocial </w:t>
      </w:r>
      <w:r w:rsidR="003B1CAE">
        <w:rPr>
          <w:rFonts w:ascii="Arial" w:hAnsi="Arial" w:cs="Arial"/>
          <w:sz w:val="24"/>
          <w:szCs w:val="24"/>
        </w:rPr>
        <w:t>C</w:t>
      </w:r>
      <w:r w:rsidRPr="002A0DD7">
        <w:rPr>
          <w:rFonts w:ascii="Arial" w:hAnsi="Arial" w:cs="Arial"/>
          <w:sz w:val="24"/>
          <w:szCs w:val="24"/>
        </w:rPr>
        <w:t xml:space="preserve">harter, </w:t>
      </w:r>
      <w:proofErr w:type="spellStart"/>
      <w:r w:rsidRPr="002A0DD7">
        <w:rPr>
          <w:rFonts w:ascii="Arial" w:hAnsi="Arial" w:cs="Arial"/>
          <w:sz w:val="24"/>
          <w:szCs w:val="24"/>
        </w:rPr>
        <w:t>programmes</w:t>
      </w:r>
      <w:proofErr w:type="spellEnd"/>
      <w:r w:rsidRPr="002A0DD7">
        <w:rPr>
          <w:rFonts w:ascii="Arial" w:hAnsi="Arial" w:cs="Arial"/>
          <w:sz w:val="24"/>
          <w:szCs w:val="24"/>
        </w:rPr>
        <w:t xml:space="preserve"> and regulations</w:t>
      </w:r>
      <w:r w:rsidR="003B1CAE">
        <w:rPr>
          <w:rFonts w:ascii="Arial" w:hAnsi="Arial" w:cs="Arial"/>
          <w:sz w:val="24"/>
          <w:szCs w:val="24"/>
        </w:rPr>
        <w:t xml:space="preserve">. </w:t>
      </w:r>
    </w:p>
    <w:p w:rsidR="000B6008" w:rsidRPr="002A0DD7" w:rsidRDefault="000B6008" w:rsidP="000B6008">
      <w:pPr>
        <w:spacing w:after="0" w:line="240" w:lineRule="auto"/>
        <w:jc w:val="both"/>
        <w:rPr>
          <w:rFonts w:ascii="Arial" w:hAnsi="Arial" w:cs="Arial"/>
          <w:sz w:val="24"/>
          <w:szCs w:val="24"/>
        </w:rPr>
      </w:pPr>
    </w:p>
    <w:p w:rsidR="000B6008" w:rsidRPr="002A0DD7" w:rsidRDefault="000B6008" w:rsidP="00056329">
      <w:pPr>
        <w:pStyle w:val="ListParagraph"/>
        <w:numPr>
          <w:ilvl w:val="0"/>
          <w:numId w:val="49"/>
        </w:numPr>
        <w:spacing w:after="0" w:line="240" w:lineRule="auto"/>
        <w:ind w:left="0" w:firstLine="0"/>
        <w:jc w:val="both"/>
        <w:rPr>
          <w:rFonts w:ascii="Arial" w:eastAsia="Malgun Gothic" w:hAnsi="Arial" w:cs="Arial"/>
          <w:noProof/>
          <w:sz w:val="24"/>
          <w:szCs w:val="24"/>
          <w:lang w:bidi="en-US"/>
        </w:rPr>
      </w:pPr>
      <w:r w:rsidRPr="002A0DD7">
        <w:rPr>
          <w:rFonts w:ascii="Arial" w:hAnsi="Arial" w:cs="Arial"/>
          <w:sz w:val="24"/>
          <w:szCs w:val="24"/>
        </w:rPr>
        <w:t>Pursuant to the above provision, the Secretariat developed the COMESA Social Charter to facilitate the integration of Social development into the COMESA regional integration Agenda.</w:t>
      </w:r>
      <w:r w:rsidR="00FE4054">
        <w:rPr>
          <w:rFonts w:ascii="Arial" w:hAnsi="Arial" w:cs="Arial"/>
          <w:sz w:val="24"/>
          <w:szCs w:val="24"/>
        </w:rPr>
        <w:t xml:space="preserve"> </w:t>
      </w:r>
      <w:r w:rsidRPr="002A0DD7">
        <w:rPr>
          <w:rFonts w:ascii="Arial" w:eastAsia="Malgun Gothic" w:hAnsi="Arial" w:cs="Arial"/>
          <w:noProof/>
          <w:sz w:val="24"/>
          <w:szCs w:val="24"/>
          <w:lang w:bidi="en-US"/>
        </w:rPr>
        <w:t xml:space="preserve">The Charter </w:t>
      </w:r>
      <w:r w:rsidRPr="002A0DD7">
        <w:rPr>
          <w:rFonts w:ascii="Arial" w:hAnsi="Arial" w:cs="Arial"/>
          <w:sz w:val="24"/>
          <w:szCs w:val="24"/>
        </w:rPr>
        <w:t xml:space="preserve"> provides measures for the promotion of human and people’s rights  including among others, Well-being of the Child, Education, Training, and Skills Development, </w:t>
      </w:r>
      <w:r w:rsidR="003B1CAE" w:rsidRPr="002A0DD7">
        <w:rPr>
          <w:rFonts w:ascii="Arial" w:hAnsi="Arial" w:cs="Arial"/>
          <w:sz w:val="24"/>
          <w:szCs w:val="24"/>
        </w:rPr>
        <w:t>Human Resource Development and Youth Mobilization</w:t>
      </w:r>
      <w:r w:rsidR="003B1CAE">
        <w:rPr>
          <w:rFonts w:ascii="Arial" w:hAnsi="Arial" w:cs="Arial"/>
          <w:sz w:val="24"/>
          <w:szCs w:val="24"/>
        </w:rPr>
        <w:t>,</w:t>
      </w:r>
      <w:r w:rsidR="003B1CAE" w:rsidRPr="002A0DD7">
        <w:rPr>
          <w:rFonts w:ascii="Arial" w:hAnsi="Arial" w:cs="Arial"/>
          <w:sz w:val="24"/>
          <w:szCs w:val="24"/>
        </w:rPr>
        <w:t xml:space="preserve"> Employment and Working Conditions, Social Protection, Health Care</w:t>
      </w:r>
      <w:r w:rsidR="003B1CAE">
        <w:rPr>
          <w:rFonts w:ascii="Arial" w:hAnsi="Arial" w:cs="Arial"/>
          <w:sz w:val="24"/>
          <w:szCs w:val="24"/>
        </w:rPr>
        <w:t xml:space="preserve">, </w:t>
      </w:r>
      <w:r w:rsidRPr="002A0DD7">
        <w:rPr>
          <w:rFonts w:ascii="Arial" w:hAnsi="Arial" w:cs="Arial"/>
          <w:sz w:val="24"/>
          <w:szCs w:val="24"/>
        </w:rPr>
        <w:t xml:space="preserve">Sustainable </w:t>
      </w:r>
      <w:r w:rsidRPr="002A0DD7">
        <w:rPr>
          <w:rFonts w:ascii="Arial" w:hAnsi="Arial" w:cs="Arial"/>
          <w:sz w:val="24"/>
          <w:szCs w:val="24"/>
        </w:rPr>
        <w:lastRenderedPageBreak/>
        <w:t>Development and Protection of the Environment, Elimination of Harmful Social and Cultural Practices</w:t>
      </w:r>
      <w:r w:rsidR="003B1CAE">
        <w:rPr>
          <w:rFonts w:ascii="Arial" w:hAnsi="Arial" w:cs="Arial"/>
          <w:sz w:val="24"/>
          <w:szCs w:val="24"/>
        </w:rPr>
        <w:t>.</w:t>
      </w:r>
      <w:r w:rsidRPr="002A0DD7">
        <w:rPr>
          <w:rFonts w:ascii="Arial" w:hAnsi="Arial" w:cs="Arial"/>
          <w:sz w:val="24"/>
          <w:szCs w:val="24"/>
        </w:rPr>
        <w:t>.</w:t>
      </w:r>
    </w:p>
    <w:p w:rsidR="006A75B2" w:rsidRPr="002A0DD7" w:rsidRDefault="006A75B2" w:rsidP="006A75B2">
      <w:pPr>
        <w:pStyle w:val="Default"/>
      </w:pPr>
    </w:p>
    <w:p w:rsidR="00DA79A0" w:rsidRPr="002A0DD7" w:rsidRDefault="00DA79A0" w:rsidP="00DA79A0">
      <w:pPr>
        <w:pStyle w:val="Default"/>
        <w:rPr>
          <w:b/>
          <w:bCs/>
        </w:rPr>
      </w:pPr>
      <w:r w:rsidRPr="002A0DD7">
        <w:rPr>
          <w:b/>
          <w:bCs/>
        </w:rPr>
        <w:t>Education, T</w:t>
      </w:r>
      <w:r>
        <w:rPr>
          <w:b/>
          <w:bCs/>
        </w:rPr>
        <w:t>raining and Skills Development</w:t>
      </w:r>
    </w:p>
    <w:p w:rsidR="00DA79A0" w:rsidRDefault="00DA79A0" w:rsidP="006A75B2">
      <w:pPr>
        <w:pStyle w:val="Default"/>
      </w:pPr>
    </w:p>
    <w:p w:rsidR="006A75B2" w:rsidRPr="00056329" w:rsidRDefault="006A75B2" w:rsidP="00056329">
      <w:pPr>
        <w:pStyle w:val="ListParagraph"/>
        <w:numPr>
          <w:ilvl w:val="0"/>
          <w:numId w:val="49"/>
        </w:numPr>
        <w:spacing w:after="0" w:line="240" w:lineRule="auto"/>
        <w:ind w:left="0" w:firstLine="0"/>
        <w:jc w:val="both"/>
        <w:rPr>
          <w:rFonts w:ascii="Arial" w:hAnsi="Arial" w:cs="Arial"/>
          <w:b/>
          <w:bCs/>
          <w:sz w:val="24"/>
          <w:szCs w:val="24"/>
        </w:rPr>
      </w:pPr>
      <w:r w:rsidRPr="00056329">
        <w:rPr>
          <w:rFonts w:ascii="Arial" w:hAnsi="Arial" w:cs="Arial"/>
          <w:sz w:val="24"/>
          <w:szCs w:val="24"/>
        </w:rPr>
        <w:t xml:space="preserve">The Charter elaborates on </w:t>
      </w:r>
      <w:r w:rsidR="003B1CAE" w:rsidRPr="00056329">
        <w:rPr>
          <w:rFonts w:ascii="Arial" w:hAnsi="Arial" w:cs="Arial"/>
          <w:sz w:val="24"/>
          <w:szCs w:val="24"/>
        </w:rPr>
        <w:t xml:space="preserve">pre-school, primary, secondary </w:t>
      </w:r>
      <w:r w:rsidRPr="00056329">
        <w:rPr>
          <w:rFonts w:ascii="Arial" w:hAnsi="Arial" w:cs="Arial"/>
          <w:sz w:val="24"/>
          <w:szCs w:val="24"/>
        </w:rPr>
        <w:t xml:space="preserve">education and </w:t>
      </w:r>
      <w:r w:rsidR="003B1CAE" w:rsidRPr="00056329">
        <w:rPr>
          <w:rFonts w:ascii="Arial" w:hAnsi="Arial" w:cs="Arial"/>
          <w:sz w:val="24"/>
          <w:szCs w:val="24"/>
        </w:rPr>
        <w:t xml:space="preserve">TVET </w:t>
      </w:r>
      <w:r w:rsidRPr="00056329">
        <w:rPr>
          <w:rFonts w:ascii="Arial" w:hAnsi="Arial" w:cs="Arial"/>
          <w:sz w:val="24"/>
          <w:szCs w:val="24"/>
        </w:rPr>
        <w:t xml:space="preserve">training and this was considered specifically under </w:t>
      </w:r>
      <w:r w:rsidRPr="00056329">
        <w:rPr>
          <w:rFonts w:ascii="Arial" w:hAnsi="Arial" w:cs="Arial"/>
          <w:b/>
          <w:bCs/>
          <w:sz w:val="24"/>
          <w:szCs w:val="24"/>
        </w:rPr>
        <w:t>Article XII “Education, Training and Skills Development”.</w:t>
      </w:r>
    </w:p>
    <w:p w:rsidR="006A75B2" w:rsidRPr="00056329" w:rsidRDefault="006A75B2" w:rsidP="006A75B2">
      <w:pPr>
        <w:pStyle w:val="Default"/>
      </w:pPr>
      <w:r w:rsidRPr="00056329">
        <w:rPr>
          <w:b/>
          <w:bCs/>
        </w:rPr>
        <w:t xml:space="preserve"> </w:t>
      </w:r>
    </w:p>
    <w:p w:rsidR="006A75B2" w:rsidRPr="00056329" w:rsidRDefault="003B1CAE" w:rsidP="00056329">
      <w:pPr>
        <w:pStyle w:val="ListParagraph"/>
        <w:numPr>
          <w:ilvl w:val="0"/>
          <w:numId w:val="49"/>
        </w:numPr>
        <w:spacing w:after="0" w:line="240" w:lineRule="auto"/>
        <w:ind w:left="0" w:firstLine="0"/>
        <w:jc w:val="both"/>
        <w:rPr>
          <w:rFonts w:ascii="Arial" w:hAnsi="Arial" w:cs="Arial"/>
          <w:bCs/>
          <w:sz w:val="24"/>
          <w:szCs w:val="24"/>
        </w:rPr>
      </w:pPr>
      <w:r w:rsidRPr="00056329">
        <w:rPr>
          <w:rFonts w:ascii="Arial" w:hAnsi="Arial" w:cs="Arial"/>
          <w:sz w:val="24"/>
          <w:szCs w:val="24"/>
        </w:rPr>
        <w:t>In</w:t>
      </w:r>
      <w:r w:rsidRPr="00056329">
        <w:rPr>
          <w:rFonts w:ascii="Arial" w:hAnsi="Arial" w:cs="Arial"/>
          <w:bCs/>
          <w:sz w:val="24"/>
          <w:szCs w:val="24"/>
        </w:rPr>
        <w:t xml:space="preserve"> this </w:t>
      </w:r>
      <w:r w:rsidR="006A75B2" w:rsidRPr="00056329">
        <w:rPr>
          <w:rFonts w:ascii="Arial" w:hAnsi="Arial" w:cs="Arial"/>
          <w:bCs/>
          <w:sz w:val="24"/>
          <w:szCs w:val="24"/>
        </w:rPr>
        <w:t xml:space="preserve">Article </w:t>
      </w:r>
      <w:r w:rsidRPr="00056329">
        <w:rPr>
          <w:rFonts w:ascii="Arial" w:hAnsi="Arial" w:cs="Arial"/>
          <w:bCs/>
          <w:sz w:val="24"/>
          <w:szCs w:val="24"/>
        </w:rPr>
        <w:t xml:space="preserve">the Charter </w:t>
      </w:r>
      <w:r w:rsidR="006A75B2" w:rsidRPr="00056329">
        <w:rPr>
          <w:rFonts w:ascii="Arial" w:hAnsi="Arial" w:cs="Arial"/>
          <w:bCs/>
          <w:sz w:val="24"/>
          <w:szCs w:val="24"/>
        </w:rPr>
        <w:t xml:space="preserve">provides that: </w:t>
      </w:r>
    </w:p>
    <w:p w:rsidR="00E161FA" w:rsidRPr="00056329" w:rsidRDefault="00E161FA" w:rsidP="006A75B2">
      <w:pPr>
        <w:pStyle w:val="Default"/>
        <w:rPr>
          <w:bCs/>
        </w:rPr>
      </w:pPr>
    </w:p>
    <w:p w:rsidR="006A75B2" w:rsidRPr="00056329" w:rsidRDefault="006A75B2" w:rsidP="00056329">
      <w:pPr>
        <w:pStyle w:val="ListParagraph"/>
        <w:numPr>
          <w:ilvl w:val="0"/>
          <w:numId w:val="49"/>
        </w:numPr>
        <w:spacing w:after="0" w:line="240" w:lineRule="auto"/>
        <w:ind w:left="0" w:firstLine="0"/>
        <w:jc w:val="both"/>
        <w:rPr>
          <w:rFonts w:ascii="Arial" w:hAnsi="Arial" w:cs="Arial"/>
          <w:sz w:val="24"/>
          <w:szCs w:val="24"/>
        </w:rPr>
      </w:pPr>
      <w:r w:rsidRPr="00056329">
        <w:rPr>
          <w:rFonts w:ascii="Arial" w:hAnsi="Arial" w:cs="Arial"/>
          <w:sz w:val="24"/>
          <w:szCs w:val="24"/>
        </w:rPr>
        <w:t xml:space="preserve">Member States shall strive to provide quality education through formal, non-formal, informal distance learning and lifelong learning to meet the diverse needs of the individual. </w:t>
      </w:r>
    </w:p>
    <w:p w:rsidR="006A75B2" w:rsidRPr="00056329" w:rsidRDefault="006A75B2" w:rsidP="006A75B2">
      <w:pPr>
        <w:pStyle w:val="Default"/>
      </w:pPr>
    </w:p>
    <w:p w:rsidR="006A75B2" w:rsidRPr="00056329" w:rsidRDefault="006A75B2" w:rsidP="00056329">
      <w:pPr>
        <w:pStyle w:val="ListParagraph"/>
        <w:numPr>
          <w:ilvl w:val="0"/>
          <w:numId w:val="49"/>
        </w:numPr>
        <w:spacing w:after="0" w:line="240" w:lineRule="auto"/>
        <w:ind w:left="0" w:firstLine="0"/>
        <w:jc w:val="both"/>
        <w:rPr>
          <w:rFonts w:ascii="Arial" w:hAnsi="Arial" w:cs="Arial"/>
          <w:sz w:val="24"/>
          <w:szCs w:val="24"/>
        </w:rPr>
      </w:pPr>
      <w:r w:rsidRPr="00056329">
        <w:rPr>
          <w:rFonts w:ascii="Arial" w:hAnsi="Arial" w:cs="Arial"/>
          <w:sz w:val="24"/>
          <w:szCs w:val="24"/>
        </w:rPr>
        <w:t xml:space="preserve">In that respect, each </w:t>
      </w:r>
      <w:r w:rsidR="00DA79A0" w:rsidRPr="00056329">
        <w:rPr>
          <w:rFonts w:ascii="Arial" w:hAnsi="Arial" w:cs="Arial"/>
          <w:sz w:val="24"/>
          <w:szCs w:val="24"/>
        </w:rPr>
        <w:t>m</w:t>
      </w:r>
      <w:r w:rsidRPr="00056329">
        <w:rPr>
          <w:rFonts w:ascii="Arial" w:hAnsi="Arial" w:cs="Arial"/>
          <w:sz w:val="24"/>
          <w:szCs w:val="24"/>
        </w:rPr>
        <w:t xml:space="preserve">ember State shall promote to the full extent possible - </w:t>
      </w:r>
    </w:p>
    <w:p w:rsidR="006A75B2" w:rsidRPr="00056329" w:rsidRDefault="006A75B2" w:rsidP="006A75B2">
      <w:pPr>
        <w:pStyle w:val="Default"/>
      </w:pPr>
    </w:p>
    <w:p w:rsidR="006A75B2" w:rsidRPr="00056329" w:rsidRDefault="006A75B2" w:rsidP="00056329">
      <w:pPr>
        <w:pStyle w:val="Default"/>
        <w:numPr>
          <w:ilvl w:val="0"/>
          <w:numId w:val="48"/>
        </w:numPr>
        <w:ind w:left="1440" w:hanging="720"/>
      </w:pPr>
      <w:r w:rsidRPr="00056329">
        <w:t xml:space="preserve">gender parity in access and quality education; </w:t>
      </w:r>
    </w:p>
    <w:p w:rsidR="006A75B2" w:rsidRPr="002A0DD7" w:rsidRDefault="006A75B2" w:rsidP="00056329">
      <w:pPr>
        <w:pStyle w:val="Default"/>
        <w:numPr>
          <w:ilvl w:val="0"/>
          <w:numId w:val="48"/>
        </w:numPr>
        <w:ind w:left="1440" w:hanging="720"/>
      </w:pPr>
      <w:r w:rsidRPr="002A0DD7">
        <w:t xml:space="preserve">free Pre-school and early childhood education; </w:t>
      </w:r>
    </w:p>
    <w:p w:rsidR="006A75B2" w:rsidRDefault="006A75B2" w:rsidP="00056329">
      <w:pPr>
        <w:pStyle w:val="Default"/>
        <w:numPr>
          <w:ilvl w:val="0"/>
          <w:numId w:val="48"/>
        </w:numPr>
        <w:ind w:left="1440" w:hanging="720"/>
      </w:pPr>
      <w:r w:rsidRPr="002A0DD7">
        <w:t xml:space="preserve">free primary and secondary education and reasonable access to tertiary education, including technical, vocational, education and training; </w:t>
      </w:r>
    </w:p>
    <w:p w:rsidR="006A75B2" w:rsidRPr="002A0DD7" w:rsidRDefault="006A75B2" w:rsidP="00056329">
      <w:pPr>
        <w:pStyle w:val="Default"/>
        <w:numPr>
          <w:ilvl w:val="0"/>
          <w:numId w:val="48"/>
        </w:numPr>
        <w:ind w:left="1440" w:hanging="720"/>
      </w:pPr>
      <w:r w:rsidRPr="002A0DD7">
        <w:t xml:space="preserve">rehabilitation </w:t>
      </w:r>
      <w:proofErr w:type="spellStart"/>
      <w:r w:rsidRPr="002A0DD7">
        <w:t>programmes</w:t>
      </w:r>
      <w:proofErr w:type="spellEnd"/>
      <w:r w:rsidRPr="002A0DD7">
        <w:t xml:space="preserve"> for persons with disabilities; </w:t>
      </w:r>
    </w:p>
    <w:p w:rsidR="006A75B2" w:rsidRPr="002A0DD7" w:rsidRDefault="006A75B2" w:rsidP="00056329">
      <w:pPr>
        <w:pStyle w:val="Default"/>
        <w:numPr>
          <w:ilvl w:val="0"/>
          <w:numId w:val="48"/>
        </w:numPr>
        <w:ind w:left="1440" w:hanging="720"/>
      </w:pPr>
      <w:r w:rsidRPr="002A0DD7">
        <w:t xml:space="preserve">adapted education for children with special needs and disabilities; </w:t>
      </w:r>
    </w:p>
    <w:p w:rsidR="006A75B2" w:rsidRPr="002A0DD7" w:rsidRDefault="006A75B2" w:rsidP="00056329">
      <w:pPr>
        <w:pStyle w:val="Default"/>
        <w:numPr>
          <w:ilvl w:val="0"/>
          <w:numId w:val="48"/>
        </w:numPr>
        <w:ind w:left="1440" w:hanging="720"/>
      </w:pPr>
      <w:r w:rsidRPr="002A0DD7">
        <w:t xml:space="preserve">access to education scholarships; </w:t>
      </w:r>
    </w:p>
    <w:p w:rsidR="006A75B2" w:rsidRPr="002A0DD7" w:rsidRDefault="006A75B2" w:rsidP="00056329">
      <w:pPr>
        <w:pStyle w:val="Default"/>
        <w:numPr>
          <w:ilvl w:val="0"/>
          <w:numId w:val="48"/>
        </w:numPr>
        <w:ind w:left="1440" w:hanging="720"/>
      </w:pPr>
      <w:r w:rsidRPr="002A0DD7">
        <w:t xml:space="preserve">adult literacy ; and </w:t>
      </w:r>
    </w:p>
    <w:p w:rsidR="006A75B2" w:rsidRPr="002A0DD7" w:rsidRDefault="006A75B2" w:rsidP="00056329">
      <w:pPr>
        <w:pStyle w:val="Default"/>
        <w:numPr>
          <w:ilvl w:val="0"/>
          <w:numId w:val="48"/>
        </w:numPr>
        <w:ind w:left="1440" w:hanging="720"/>
      </w:pPr>
      <w:proofErr w:type="gramStart"/>
      <w:r w:rsidRPr="002A0DD7">
        <w:t>development</w:t>
      </w:r>
      <w:proofErr w:type="gramEnd"/>
      <w:r w:rsidRPr="002A0DD7">
        <w:t xml:space="preserve"> of adapted science and technology </w:t>
      </w:r>
      <w:proofErr w:type="spellStart"/>
      <w:r w:rsidRPr="002A0DD7">
        <w:t>programmes</w:t>
      </w:r>
      <w:proofErr w:type="spellEnd"/>
      <w:r w:rsidRPr="002A0DD7">
        <w:t xml:space="preserve"> to cater for the socio-economic development of </w:t>
      </w:r>
      <w:r w:rsidR="00B730A7">
        <w:t>m</w:t>
      </w:r>
      <w:r w:rsidRPr="002A0DD7">
        <w:t xml:space="preserve">ember States and the region. </w:t>
      </w:r>
    </w:p>
    <w:p w:rsidR="000B6008" w:rsidRPr="002A0DD7" w:rsidRDefault="000B6008" w:rsidP="000B6008">
      <w:pPr>
        <w:pStyle w:val="ListParagraph"/>
        <w:spacing w:after="0" w:line="240" w:lineRule="auto"/>
        <w:ind w:left="0"/>
        <w:jc w:val="both"/>
        <w:rPr>
          <w:rFonts w:ascii="Arial" w:hAnsi="Arial" w:cs="Arial"/>
          <w:sz w:val="24"/>
          <w:szCs w:val="24"/>
        </w:rPr>
      </w:pPr>
    </w:p>
    <w:p w:rsidR="00DA79A0" w:rsidRPr="00DA79A0" w:rsidRDefault="005930EE" w:rsidP="000B6008">
      <w:pPr>
        <w:pStyle w:val="ListParagraph"/>
        <w:spacing w:after="0" w:line="240" w:lineRule="auto"/>
        <w:ind w:left="0"/>
        <w:jc w:val="both"/>
        <w:rPr>
          <w:rFonts w:ascii="Arial" w:hAnsi="Arial" w:cs="Arial"/>
          <w:b/>
          <w:sz w:val="24"/>
          <w:szCs w:val="24"/>
        </w:rPr>
      </w:pPr>
      <w:r w:rsidRPr="002A0DD7">
        <w:rPr>
          <w:rFonts w:ascii="Arial" w:hAnsi="Arial" w:cs="Arial"/>
          <w:sz w:val="24"/>
          <w:szCs w:val="24"/>
        </w:rPr>
        <w:t xml:space="preserve"> </w:t>
      </w:r>
      <w:r w:rsidR="00DA79A0" w:rsidRPr="00DA79A0">
        <w:rPr>
          <w:rFonts w:ascii="Arial" w:hAnsi="Arial" w:cs="Arial"/>
          <w:b/>
          <w:sz w:val="24"/>
          <w:szCs w:val="24"/>
        </w:rPr>
        <w:t>Youth Empowerment: Skills Development, Employment, and Health</w:t>
      </w:r>
    </w:p>
    <w:p w:rsidR="00DA79A0" w:rsidRDefault="00DA79A0" w:rsidP="000B6008">
      <w:pPr>
        <w:pStyle w:val="ListParagraph"/>
        <w:spacing w:after="0" w:line="240" w:lineRule="auto"/>
        <w:ind w:left="0"/>
        <w:jc w:val="both"/>
        <w:rPr>
          <w:rFonts w:ascii="Arial" w:hAnsi="Arial" w:cs="Arial"/>
          <w:sz w:val="24"/>
          <w:szCs w:val="24"/>
        </w:rPr>
      </w:pPr>
    </w:p>
    <w:p w:rsidR="005930EE" w:rsidRPr="002A0DD7" w:rsidRDefault="005930EE"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The COMESA Social Charter has</w:t>
      </w:r>
      <w:r w:rsidR="006A75B2" w:rsidRPr="002A0DD7">
        <w:rPr>
          <w:rFonts w:ascii="Arial" w:hAnsi="Arial" w:cs="Arial"/>
          <w:sz w:val="24"/>
          <w:szCs w:val="24"/>
        </w:rPr>
        <w:t xml:space="preserve"> also</w:t>
      </w:r>
      <w:r w:rsidRPr="002A0DD7">
        <w:rPr>
          <w:rFonts w:ascii="Arial" w:hAnsi="Arial" w:cs="Arial"/>
          <w:sz w:val="24"/>
          <w:szCs w:val="24"/>
        </w:rPr>
        <w:t xml:space="preserve"> a strong provision on youth empowerment, specifically; Article V of the COMESA Social Charter stipulated the following:</w:t>
      </w:r>
    </w:p>
    <w:p w:rsidR="005930EE" w:rsidRPr="002A0DD7" w:rsidRDefault="005930EE" w:rsidP="005930EE">
      <w:pPr>
        <w:pStyle w:val="ListParagraph"/>
        <w:rPr>
          <w:rFonts w:ascii="Arial" w:hAnsi="Arial" w:cs="Arial"/>
          <w:sz w:val="24"/>
          <w:szCs w:val="24"/>
        </w:rPr>
      </w:pPr>
    </w:p>
    <w:p w:rsidR="005930EE" w:rsidRPr="002A0DD7" w:rsidRDefault="005930EE" w:rsidP="005930EE">
      <w:pPr>
        <w:pStyle w:val="ListParagraph"/>
        <w:numPr>
          <w:ilvl w:val="3"/>
          <w:numId w:val="1"/>
        </w:numPr>
        <w:spacing w:after="0" w:line="240" w:lineRule="auto"/>
        <w:ind w:left="1440" w:hanging="720"/>
        <w:jc w:val="both"/>
        <w:rPr>
          <w:rFonts w:ascii="Arial" w:hAnsi="Arial" w:cs="Arial"/>
          <w:sz w:val="24"/>
          <w:szCs w:val="24"/>
        </w:rPr>
      </w:pPr>
      <w:r w:rsidRPr="002A0DD7">
        <w:rPr>
          <w:rFonts w:ascii="Arial" w:hAnsi="Arial" w:cs="Arial"/>
          <w:sz w:val="24"/>
          <w:szCs w:val="24"/>
        </w:rPr>
        <w:t xml:space="preserve">State Parties shall promote broad-based growth in order to create productive employment opportunities, encourage volunteerism, internship and exchange </w:t>
      </w:r>
      <w:proofErr w:type="spellStart"/>
      <w:r w:rsidRPr="002A0DD7">
        <w:rPr>
          <w:rFonts w:ascii="Arial" w:hAnsi="Arial" w:cs="Arial"/>
          <w:sz w:val="24"/>
          <w:szCs w:val="24"/>
        </w:rPr>
        <w:t>programmes</w:t>
      </w:r>
      <w:proofErr w:type="spellEnd"/>
      <w:r w:rsidRPr="002A0DD7">
        <w:rPr>
          <w:rFonts w:ascii="Arial" w:hAnsi="Arial" w:cs="Arial"/>
          <w:sz w:val="24"/>
          <w:szCs w:val="24"/>
        </w:rPr>
        <w:t xml:space="preserve"> for all groups of people.</w:t>
      </w:r>
    </w:p>
    <w:p w:rsidR="005930EE" w:rsidRPr="002A0DD7" w:rsidRDefault="005930EE" w:rsidP="005930EE">
      <w:pPr>
        <w:pStyle w:val="ListParagraph"/>
        <w:spacing w:after="0" w:line="240" w:lineRule="auto"/>
        <w:ind w:left="0"/>
        <w:jc w:val="both"/>
        <w:rPr>
          <w:rFonts w:ascii="Arial" w:hAnsi="Arial" w:cs="Arial"/>
          <w:sz w:val="24"/>
          <w:szCs w:val="24"/>
        </w:rPr>
      </w:pPr>
    </w:p>
    <w:p w:rsidR="005930EE" w:rsidRPr="002A0DD7" w:rsidRDefault="005930EE" w:rsidP="005930EE">
      <w:pPr>
        <w:pStyle w:val="ListParagraph"/>
        <w:numPr>
          <w:ilvl w:val="3"/>
          <w:numId w:val="1"/>
        </w:numPr>
        <w:spacing w:after="0" w:line="240" w:lineRule="auto"/>
        <w:ind w:left="1440" w:hanging="720"/>
        <w:jc w:val="both"/>
        <w:rPr>
          <w:rFonts w:ascii="Arial" w:hAnsi="Arial" w:cs="Arial"/>
          <w:sz w:val="24"/>
          <w:szCs w:val="24"/>
        </w:rPr>
      </w:pPr>
      <w:r w:rsidRPr="002A0DD7">
        <w:rPr>
          <w:rFonts w:ascii="Arial" w:hAnsi="Arial" w:cs="Arial"/>
          <w:sz w:val="24"/>
          <w:szCs w:val="24"/>
        </w:rPr>
        <w:t xml:space="preserve">States parties shall provide enhanced job opportunities and adequate employment, and entrepreneurship and recreational activities for the youth in order to make them economically and socially productive. </w:t>
      </w:r>
    </w:p>
    <w:p w:rsidR="005930EE" w:rsidRPr="002A0DD7" w:rsidRDefault="005930EE" w:rsidP="005930EE">
      <w:pPr>
        <w:spacing w:after="0" w:line="240" w:lineRule="auto"/>
        <w:jc w:val="both"/>
        <w:rPr>
          <w:rFonts w:ascii="Arial" w:hAnsi="Arial" w:cs="Arial"/>
          <w:sz w:val="24"/>
          <w:szCs w:val="24"/>
        </w:rPr>
      </w:pPr>
      <w:r w:rsidRPr="002A0DD7">
        <w:rPr>
          <w:rFonts w:ascii="Arial" w:hAnsi="Arial" w:cs="Arial"/>
          <w:sz w:val="24"/>
          <w:szCs w:val="24"/>
        </w:rPr>
        <w:t xml:space="preserve"> </w:t>
      </w:r>
    </w:p>
    <w:p w:rsidR="005930EE" w:rsidRPr="002A0DD7" w:rsidRDefault="005930EE" w:rsidP="005930EE">
      <w:pPr>
        <w:pStyle w:val="ListParagraph"/>
        <w:numPr>
          <w:ilvl w:val="3"/>
          <w:numId w:val="1"/>
        </w:numPr>
        <w:spacing w:after="0" w:line="240" w:lineRule="auto"/>
        <w:ind w:left="1440" w:hanging="720"/>
        <w:jc w:val="both"/>
        <w:rPr>
          <w:rFonts w:ascii="Arial" w:hAnsi="Arial" w:cs="Arial"/>
          <w:sz w:val="24"/>
          <w:szCs w:val="24"/>
        </w:rPr>
      </w:pPr>
      <w:r w:rsidRPr="002A0DD7">
        <w:rPr>
          <w:rFonts w:ascii="Arial" w:hAnsi="Arial" w:cs="Arial"/>
          <w:sz w:val="24"/>
          <w:szCs w:val="24"/>
        </w:rPr>
        <w:t>State Parties shall enhance job opportunities for the youth through increased investments in education and vocational training.</w:t>
      </w:r>
    </w:p>
    <w:p w:rsidR="005930EE" w:rsidRPr="002A0DD7" w:rsidRDefault="005930EE" w:rsidP="005930EE">
      <w:pPr>
        <w:spacing w:after="0" w:line="240" w:lineRule="auto"/>
        <w:jc w:val="both"/>
        <w:rPr>
          <w:rFonts w:ascii="Arial" w:hAnsi="Arial" w:cs="Arial"/>
          <w:sz w:val="24"/>
          <w:szCs w:val="24"/>
        </w:rPr>
      </w:pPr>
    </w:p>
    <w:p w:rsidR="005930EE" w:rsidRPr="002A0DD7" w:rsidRDefault="005930EE" w:rsidP="005930EE">
      <w:pPr>
        <w:pStyle w:val="ListParagraph"/>
        <w:numPr>
          <w:ilvl w:val="3"/>
          <w:numId w:val="1"/>
        </w:numPr>
        <w:spacing w:after="0" w:line="240" w:lineRule="auto"/>
        <w:ind w:left="1440" w:hanging="720"/>
        <w:jc w:val="both"/>
        <w:rPr>
          <w:rFonts w:ascii="Arial" w:hAnsi="Arial" w:cs="Arial"/>
          <w:sz w:val="24"/>
          <w:szCs w:val="24"/>
        </w:rPr>
      </w:pPr>
      <w:r w:rsidRPr="002A0DD7">
        <w:rPr>
          <w:rFonts w:ascii="Arial" w:hAnsi="Arial" w:cs="Arial"/>
          <w:sz w:val="24"/>
          <w:szCs w:val="24"/>
        </w:rPr>
        <w:lastRenderedPageBreak/>
        <w:t>State Parties shall promote information access for youth and create awareness on the dangers of HIV and AIDS and sexually transmitted and other communicable diseases as well as the risks associated with cigarette smoking, alcohol and drug</w:t>
      </w:r>
      <w:r w:rsidR="008C2504">
        <w:rPr>
          <w:rFonts w:ascii="Arial" w:hAnsi="Arial" w:cs="Arial"/>
          <w:sz w:val="24"/>
          <w:szCs w:val="24"/>
        </w:rPr>
        <w:t>s</w:t>
      </w:r>
      <w:r w:rsidRPr="002A0DD7">
        <w:rPr>
          <w:rFonts w:ascii="Arial" w:hAnsi="Arial" w:cs="Arial"/>
          <w:sz w:val="24"/>
          <w:szCs w:val="24"/>
        </w:rPr>
        <w:t>.</w:t>
      </w:r>
    </w:p>
    <w:p w:rsidR="005930EE" w:rsidRPr="002A0DD7" w:rsidRDefault="005930EE" w:rsidP="005930EE">
      <w:pPr>
        <w:spacing w:after="0" w:line="240" w:lineRule="auto"/>
        <w:jc w:val="both"/>
        <w:rPr>
          <w:rFonts w:ascii="Arial" w:hAnsi="Arial" w:cs="Arial"/>
          <w:sz w:val="24"/>
          <w:szCs w:val="24"/>
        </w:rPr>
      </w:pPr>
    </w:p>
    <w:p w:rsidR="009F61C9" w:rsidRPr="002A0DD7" w:rsidRDefault="009F61C9" w:rsidP="007132E8">
      <w:pPr>
        <w:pStyle w:val="ListParagraph"/>
        <w:spacing w:after="0" w:line="240" w:lineRule="auto"/>
        <w:ind w:left="0"/>
        <w:jc w:val="both"/>
        <w:rPr>
          <w:rFonts w:ascii="Arial" w:hAnsi="Arial" w:cs="Arial"/>
          <w:b/>
          <w:color w:val="000000" w:themeColor="text1"/>
          <w:sz w:val="24"/>
          <w:szCs w:val="24"/>
        </w:rPr>
      </w:pPr>
      <w:r w:rsidRPr="002A0DD7">
        <w:rPr>
          <w:rFonts w:ascii="Arial" w:hAnsi="Arial" w:cs="Arial"/>
          <w:b/>
          <w:color w:val="000000" w:themeColor="text1"/>
          <w:sz w:val="24"/>
          <w:szCs w:val="24"/>
        </w:rPr>
        <w:t>The COMESA Youth Programme</w:t>
      </w:r>
    </w:p>
    <w:p w:rsidR="005930EE" w:rsidRPr="002A0DD7" w:rsidRDefault="005930EE" w:rsidP="005930EE">
      <w:pPr>
        <w:pStyle w:val="ListParagraph"/>
        <w:spacing w:after="0" w:line="240" w:lineRule="auto"/>
        <w:rPr>
          <w:rFonts w:ascii="Arial" w:hAnsi="Arial" w:cs="Arial"/>
          <w:sz w:val="24"/>
          <w:szCs w:val="24"/>
        </w:rPr>
      </w:pPr>
    </w:p>
    <w:p w:rsidR="008C2504" w:rsidRDefault="008C2504" w:rsidP="00056329">
      <w:pPr>
        <w:pStyle w:val="ListParagraph"/>
        <w:numPr>
          <w:ilvl w:val="0"/>
          <w:numId w:val="49"/>
        </w:numPr>
        <w:spacing w:after="0" w:line="240" w:lineRule="auto"/>
        <w:ind w:left="0" w:firstLine="0"/>
        <w:jc w:val="both"/>
        <w:rPr>
          <w:rFonts w:ascii="Arial" w:hAnsi="Arial" w:cs="Arial"/>
          <w:color w:val="000000" w:themeColor="text1"/>
          <w:sz w:val="24"/>
          <w:szCs w:val="24"/>
        </w:rPr>
      </w:pPr>
      <w:r w:rsidRPr="002A0DD7">
        <w:rPr>
          <w:rFonts w:ascii="Arial" w:hAnsi="Arial" w:cs="Arial"/>
          <w:color w:val="000000" w:themeColor="text1"/>
          <w:sz w:val="24"/>
          <w:szCs w:val="24"/>
        </w:rPr>
        <w:t>The COMESA Social Charter and the COMESA Gender Policy adopted in 2002 by the 7</w:t>
      </w:r>
      <w:r w:rsidRPr="002A0DD7">
        <w:rPr>
          <w:rFonts w:ascii="Arial" w:hAnsi="Arial" w:cs="Arial"/>
          <w:color w:val="000000" w:themeColor="text1"/>
          <w:sz w:val="24"/>
          <w:szCs w:val="24"/>
          <w:vertAlign w:val="superscript"/>
        </w:rPr>
        <w:t>th</w:t>
      </w:r>
      <w:r w:rsidRPr="002A0DD7">
        <w:rPr>
          <w:rFonts w:ascii="Arial" w:hAnsi="Arial" w:cs="Arial"/>
          <w:color w:val="000000" w:themeColor="text1"/>
          <w:sz w:val="24"/>
          <w:szCs w:val="24"/>
        </w:rPr>
        <w:t xml:space="preserve"> Summit of the COMESA Head</w:t>
      </w:r>
      <w:r>
        <w:rPr>
          <w:rFonts w:ascii="Arial" w:hAnsi="Arial" w:cs="Arial"/>
          <w:color w:val="000000" w:themeColor="text1"/>
          <w:sz w:val="24"/>
          <w:szCs w:val="24"/>
        </w:rPr>
        <w:t>s</w:t>
      </w:r>
      <w:r w:rsidRPr="002A0DD7">
        <w:rPr>
          <w:rFonts w:ascii="Arial" w:hAnsi="Arial" w:cs="Arial"/>
          <w:color w:val="000000" w:themeColor="text1"/>
          <w:sz w:val="24"/>
          <w:szCs w:val="24"/>
        </w:rPr>
        <w:t xml:space="preserve"> of State and Government give a broad-based framework </w:t>
      </w:r>
      <w:r w:rsidR="001067A1">
        <w:rPr>
          <w:rFonts w:ascii="Arial" w:hAnsi="Arial" w:cs="Arial"/>
          <w:color w:val="000000" w:themeColor="text1"/>
          <w:sz w:val="24"/>
          <w:szCs w:val="24"/>
        </w:rPr>
        <w:t xml:space="preserve">and </w:t>
      </w:r>
      <w:r w:rsidRPr="002A0DD7">
        <w:rPr>
          <w:rFonts w:ascii="Arial" w:hAnsi="Arial" w:cs="Arial"/>
          <w:color w:val="000000" w:themeColor="text1"/>
          <w:sz w:val="24"/>
          <w:szCs w:val="24"/>
        </w:rPr>
        <w:t xml:space="preserve">justification for the development of a COMESA Youth Programme for the empowerment of the youth in the COMESA region. </w:t>
      </w:r>
    </w:p>
    <w:p w:rsidR="001067A1" w:rsidRPr="002A0DD7" w:rsidRDefault="001067A1" w:rsidP="008C2504">
      <w:pPr>
        <w:pStyle w:val="ListParagraph"/>
        <w:spacing w:after="0" w:line="240" w:lineRule="auto"/>
        <w:ind w:left="0"/>
        <w:jc w:val="both"/>
        <w:rPr>
          <w:rFonts w:ascii="Arial" w:hAnsi="Arial" w:cs="Arial"/>
          <w:color w:val="000000" w:themeColor="text1"/>
          <w:sz w:val="24"/>
          <w:szCs w:val="24"/>
        </w:rPr>
      </w:pPr>
    </w:p>
    <w:p w:rsidR="005930EE" w:rsidRPr="002A0DD7" w:rsidRDefault="005930EE"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The 7</w:t>
      </w:r>
      <w:r w:rsidRPr="002A0DD7">
        <w:rPr>
          <w:rFonts w:ascii="Arial" w:hAnsi="Arial" w:cs="Arial"/>
          <w:sz w:val="24"/>
          <w:szCs w:val="24"/>
          <w:vertAlign w:val="superscript"/>
        </w:rPr>
        <w:t>th</w:t>
      </w:r>
      <w:r w:rsidRPr="002A0DD7">
        <w:rPr>
          <w:rFonts w:ascii="Arial" w:hAnsi="Arial" w:cs="Arial"/>
          <w:sz w:val="24"/>
          <w:szCs w:val="24"/>
        </w:rPr>
        <w:t xml:space="preserve"> Meeting of Ministers Responsible for Gender and Women’s Affairs held </w:t>
      </w:r>
      <w:r w:rsidR="001067A1">
        <w:rPr>
          <w:rFonts w:ascii="Arial" w:hAnsi="Arial" w:cs="Arial"/>
          <w:sz w:val="24"/>
          <w:szCs w:val="24"/>
        </w:rPr>
        <w:t xml:space="preserve">in </w:t>
      </w:r>
      <w:r w:rsidRPr="002A0DD7">
        <w:rPr>
          <w:rFonts w:ascii="Arial" w:hAnsi="Arial" w:cs="Arial"/>
          <w:sz w:val="24"/>
          <w:szCs w:val="24"/>
        </w:rPr>
        <w:t>September 2013, in Lusaka, Zambia</w:t>
      </w:r>
      <w:r w:rsidR="009F61C9" w:rsidRPr="002A0DD7">
        <w:rPr>
          <w:rFonts w:ascii="Arial" w:hAnsi="Arial" w:cs="Arial"/>
          <w:sz w:val="24"/>
          <w:szCs w:val="24"/>
        </w:rPr>
        <w:t xml:space="preserve"> decided to develop</w:t>
      </w:r>
      <w:r w:rsidR="006A75B2" w:rsidRPr="002A0DD7">
        <w:rPr>
          <w:rFonts w:ascii="Arial" w:hAnsi="Arial" w:cs="Arial"/>
          <w:sz w:val="24"/>
          <w:szCs w:val="24"/>
        </w:rPr>
        <w:t xml:space="preserve"> a COMESA Youth Programme</w:t>
      </w:r>
      <w:r w:rsidR="00056329">
        <w:rPr>
          <w:rFonts w:ascii="Arial" w:hAnsi="Arial" w:cs="Arial"/>
          <w:sz w:val="24"/>
          <w:szCs w:val="24"/>
        </w:rPr>
        <w:t xml:space="preserve"> </w:t>
      </w:r>
      <w:r w:rsidRPr="002A0DD7">
        <w:rPr>
          <w:rFonts w:ascii="Arial" w:hAnsi="Arial" w:cs="Arial"/>
          <w:sz w:val="24"/>
          <w:szCs w:val="24"/>
        </w:rPr>
        <w:t>to ensure the integration of youth in the regional integration process. The decision was aimed at empowering youth to play an effective role in the socio-economic dev</w:t>
      </w:r>
      <w:r w:rsidR="009F61C9" w:rsidRPr="002A0DD7">
        <w:rPr>
          <w:rFonts w:ascii="Arial" w:hAnsi="Arial" w:cs="Arial"/>
          <w:sz w:val="24"/>
          <w:szCs w:val="24"/>
        </w:rPr>
        <w:t>elopment of the COMESA region</w:t>
      </w:r>
      <w:r w:rsidR="001067A1">
        <w:rPr>
          <w:rFonts w:ascii="Arial" w:hAnsi="Arial" w:cs="Arial"/>
          <w:sz w:val="24"/>
          <w:szCs w:val="24"/>
        </w:rPr>
        <w:t xml:space="preserve">. </w:t>
      </w:r>
      <w:r w:rsidR="009F61C9" w:rsidRPr="002A0DD7">
        <w:rPr>
          <w:rFonts w:ascii="Arial" w:hAnsi="Arial" w:cs="Arial"/>
          <w:sz w:val="24"/>
          <w:szCs w:val="24"/>
        </w:rPr>
        <w:t xml:space="preserve"> </w:t>
      </w:r>
      <w:r w:rsidR="001067A1">
        <w:rPr>
          <w:rFonts w:ascii="Arial" w:hAnsi="Arial" w:cs="Arial"/>
          <w:sz w:val="24"/>
          <w:szCs w:val="24"/>
        </w:rPr>
        <w:t>T</w:t>
      </w:r>
      <w:r w:rsidR="00610DAF" w:rsidRPr="002A0DD7">
        <w:rPr>
          <w:rFonts w:ascii="Arial" w:hAnsi="Arial" w:cs="Arial"/>
          <w:sz w:val="24"/>
          <w:szCs w:val="24"/>
        </w:rPr>
        <w:t>his decision</w:t>
      </w:r>
      <w:r w:rsidRPr="002A0DD7">
        <w:rPr>
          <w:rFonts w:ascii="Arial" w:hAnsi="Arial" w:cs="Arial"/>
          <w:sz w:val="24"/>
          <w:szCs w:val="24"/>
        </w:rPr>
        <w:t xml:space="preserve"> was endorsed by the COMESA Council of Ministers during the Summit of Heads of State and Government held in 2014 in the Democratic Republic of Congo. </w:t>
      </w:r>
    </w:p>
    <w:p w:rsidR="005930EE" w:rsidRPr="002A0DD7" w:rsidRDefault="005930EE" w:rsidP="005930EE">
      <w:pPr>
        <w:spacing w:after="0" w:line="240" w:lineRule="auto"/>
        <w:jc w:val="both"/>
        <w:rPr>
          <w:rFonts w:ascii="Arial" w:hAnsi="Arial" w:cs="Arial"/>
          <w:sz w:val="24"/>
          <w:szCs w:val="24"/>
        </w:rPr>
      </w:pPr>
    </w:p>
    <w:p w:rsidR="005930EE" w:rsidRPr="002A0DD7" w:rsidRDefault="005930EE"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Pursuant to the above Council Decision, the Secretariat developed the COMESA Youth Programme and three Pilot Projects on Youth Employment, Youth Environment and Youth Character and</w:t>
      </w:r>
      <w:r w:rsidR="00610DAF" w:rsidRPr="002A0DD7">
        <w:rPr>
          <w:rFonts w:ascii="Arial" w:hAnsi="Arial" w:cs="Arial"/>
          <w:sz w:val="24"/>
          <w:szCs w:val="24"/>
        </w:rPr>
        <w:t xml:space="preserve"> Creativity</w:t>
      </w:r>
      <w:r w:rsidRPr="002A0DD7">
        <w:rPr>
          <w:rFonts w:ascii="Arial" w:hAnsi="Arial" w:cs="Arial"/>
          <w:sz w:val="24"/>
          <w:szCs w:val="24"/>
        </w:rPr>
        <w:t>.</w:t>
      </w:r>
      <w:r w:rsidR="001067A1">
        <w:rPr>
          <w:rFonts w:ascii="Arial" w:hAnsi="Arial" w:cs="Arial"/>
          <w:sz w:val="24"/>
          <w:szCs w:val="24"/>
        </w:rPr>
        <w:t xml:space="preserve"> </w:t>
      </w:r>
      <w:r w:rsidRPr="002A0DD7">
        <w:rPr>
          <w:rFonts w:ascii="Arial" w:hAnsi="Arial" w:cs="Arial"/>
          <w:sz w:val="24"/>
          <w:szCs w:val="24"/>
        </w:rPr>
        <w:t xml:space="preserve"> The</w:t>
      </w:r>
      <w:r w:rsidR="007132E8" w:rsidRPr="002A0DD7">
        <w:rPr>
          <w:rFonts w:ascii="Arial" w:hAnsi="Arial" w:cs="Arial"/>
          <w:sz w:val="24"/>
          <w:szCs w:val="24"/>
        </w:rPr>
        <w:t xml:space="preserve"> COMESA Youth Programme and three pilot projects</w:t>
      </w:r>
      <w:r w:rsidRPr="002A0DD7">
        <w:rPr>
          <w:rFonts w:ascii="Arial" w:hAnsi="Arial" w:cs="Arial"/>
          <w:sz w:val="24"/>
          <w:szCs w:val="24"/>
        </w:rPr>
        <w:t xml:space="preserve"> were endorsed by the COMESA Council of Ministers during the Summit of Heads of States and Government held in Addis-Ababa, Ethiopia in March, 2015. </w:t>
      </w:r>
      <w:r w:rsidR="00FE4054" w:rsidRPr="002A0DD7">
        <w:rPr>
          <w:rFonts w:ascii="Arial" w:hAnsi="Arial" w:cs="Arial"/>
          <w:sz w:val="24"/>
          <w:szCs w:val="24"/>
        </w:rPr>
        <w:t>The COMESA Youth Programme is aligned with the</w:t>
      </w:r>
      <w:r w:rsidR="00FE4054" w:rsidRPr="002A0DD7">
        <w:rPr>
          <w:rFonts w:ascii="Arial" w:hAnsi="Arial" w:cs="Arial"/>
          <w:b/>
          <w:sz w:val="24"/>
          <w:szCs w:val="24"/>
        </w:rPr>
        <w:t xml:space="preserve"> </w:t>
      </w:r>
      <w:r w:rsidR="00FE4054" w:rsidRPr="002A0DD7">
        <w:rPr>
          <w:rFonts w:ascii="Arial" w:hAnsi="Arial" w:cs="Arial"/>
          <w:sz w:val="24"/>
          <w:szCs w:val="24"/>
        </w:rPr>
        <w:t xml:space="preserve">African Youth Charter and the </w:t>
      </w:r>
      <w:r w:rsidR="00FE4054" w:rsidRPr="002A0DD7">
        <w:rPr>
          <w:rFonts w:ascii="Arial" w:hAnsi="Arial" w:cs="Arial"/>
          <w:sz w:val="24"/>
          <w:szCs w:val="24"/>
          <w:lang w:eastAsia="en-GB"/>
        </w:rPr>
        <w:t>World Programme of Action for Youth.</w:t>
      </w:r>
    </w:p>
    <w:p w:rsidR="005930EE" w:rsidRPr="002A0DD7" w:rsidRDefault="005930EE" w:rsidP="005930EE">
      <w:pPr>
        <w:spacing w:after="0" w:line="240" w:lineRule="auto"/>
        <w:jc w:val="both"/>
        <w:rPr>
          <w:rFonts w:ascii="Arial" w:hAnsi="Arial" w:cs="Arial"/>
          <w:sz w:val="24"/>
          <w:szCs w:val="24"/>
        </w:rPr>
      </w:pPr>
    </w:p>
    <w:p w:rsidR="007132E8" w:rsidRPr="002A0DD7" w:rsidRDefault="00E161FA" w:rsidP="00056329">
      <w:pPr>
        <w:pStyle w:val="Heading3"/>
        <w:rPr>
          <w:rFonts w:ascii="Arial" w:hAnsi="Arial"/>
          <w:sz w:val="24"/>
        </w:rPr>
      </w:pPr>
      <w:r>
        <w:rPr>
          <w:rFonts w:ascii="Arial" w:hAnsi="Arial"/>
          <w:sz w:val="24"/>
        </w:rPr>
        <w:t>Strategic Priority</w:t>
      </w:r>
      <w:r w:rsidR="007132E8" w:rsidRPr="002A0DD7">
        <w:rPr>
          <w:rFonts w:ascii="Arial" w:hAnsi="Arial"/>
          <w:sz w:val="24"/>
        </w:rPr>
        <w:t xml:space="preserve"> of the COMESA Youth Programme</w:t>
      </w:r>
    </w:p>
    <w:p w:rsidR="002A0DD7" w:rsidRDefault="002A0DD7" w:rsidP="009F61C9">
      <w:pPr>
        <w:spacing w:after="0" w:line="240" w:lineRule="auto"/>
        <w:jc w:val="both"/>
        <w:rPr>
          <w:rFonts w:ascii="Arial" w:hAnsi="Arial" w:cs="Arial"/>
          <w:sz w:val="24"/>
          <w:szCs w:val="24"/>
        </w:rPr>
      </w:pPr>
    </w:p>
    <w:p w:rsidR="005E242B" w:rsidRDefault="009D1E9C" w:rsidP="00056329">
      <w:pPr>
        <w:pStyle w:val="ListParagraph"/>
        <w:numPr>
          <w:ilvl w:val="0"/>
          <w:numId w:val="49"/>
        </w:numPr>
        <w:spacing w:after="0" w:line="240" w:lineRule="auto"/>
        <w:ind w:left="0" w:firstLine="0"/>
        <w:jc w:val="both"/>
        <w:rPr>
          <w:rFonts w:ascii="Arial" w:hAnsi="Arial" w:cs="Arial"/>
          <w:sz w:val="24"/>
          <w:szCs w:val="24"/>
        </w:rPr>
      </w:pPr>
      <w:r>
        <w:rPr>
          <w:rFonts w:ascii="Arial" w:hAnsi="Arial" w:cs="Arial"/>
          <w:bCs/>
          <w:sz w:val="24"/>
          <w:szCs w:val="24"/>
        </w:rPr>
        <w:t>Th</w:t>
      </w:r>
      <w:r w:rsidR="007132E8" w:rsidRPr="002A0DD7">
        <w:rPr>
          <w:rFonts w:ascii="Arial" w:hAnsi="Arial" w:cs="Arial"/>
          <w:bCs/>
          <w:sz w:val="24"/>
          <w:szCs w:val="24"/>
        </w:rPr>
        <w:t xml:space="preserve">e </w:t>
      </w:r>
      <w:r w:rsidR="00FE4054">
        <w:rPr>
          <w:rFonts w:ascii="Arial" w:hAnsi="Arial" w:cs="Arial"/>
          <w:bCs/>
          <w:sz w:val="24"/>
          <w:szCs w:val="24"/>
        </w:rPr>
        <w:t xml:space="preserve">strategic </w:t>
      </w:r>
      <w:r w:rsidR="009B0582" w:rsidRPr="002A0DD7">
        <w:rPr>
          <w:rFonts w:ascii="Arial" w:hAnsi="Arial" w:cs="Arial"/>
          <w:bCs/>
          <w:sz w:val="24"/>
          <w:szCs w:val="24"/>
        </w:rPr>
        <w:t>areas</w:t>
      </w:r>
      <w:r w:rsidR="007132E8" w:rsidRPr="002A0DD7">
        <w:rPr>
          <w:rFonts w:ascii="Arial" w:hAnsi="Arial" w:cs="Arial"/>
          <w:bCs/>
          <w:sz w:val="24"/>
          <w:szCs w:val="24"/>
        </w:rPr>
        <w:t xml:space="preserve"> addressed by </w:t>
      </w:r>
      <w:r w:rsidR="007132E8" w:rsidRPr="002A0DD7">
        <w:rPr>
          <w:rFonts w:ascii="Arial" w:hAnsi="Arial" w:cs="Arial"/>
          <w:sz w:val="24"/>
          <w:szCs w:val="24"/>
        </w:rPr>
        <w:t>the Youth Programme</w:t>
      </w:r>
      <w:r w:rsidR="007132E8" w:rsidRPr="002A0DD7">
        <w:rPr>
          <w:rFonts w:ascii="Arial" w:hAnsi="Arial" w:cs="Arial"/>
          <w:bCs/>
          <w:sz w:val="24"/>
          <w:szCs w:val="24"/>
        </w:rPr>
        <w:t xml:space="preserve"> are youth empowerment and development, which should be promoted through advances in </w:t>
      </w:r>
      <w:r w:rsidR="007132E8" w:rsidRPr="002A0DD7">
        <w:rPr>
          <w:rFonts w:ascii="Arial" w:hAnsi="Arial" w:cs="Arial"/>
          <w:sz w:val="24"/>
          <w:szCs w:val="24"/>
        </w:rPr>
        <w:t>youth employment and employability, entrepreneurship, and civ</w:t>
      </w:r>
      <w:bookmarkStart w:id="2" w:name="_Toc402250004"/>
      <w:r w:rsidR="005E242B">
        <w:rPr>
          <w:rFonts w:ascii="Arial" w:hAnsi="Arial" w:cs="Arial"/>
          <w:sz w:val="24"/>
          <w:szCs w:val="24"/>
        </w:rPr>
        <w:t>ic and political participation.</w:t>
      </w:r>
    </w:p>
    <w:p w:rsidR="00431CD6" w:rsidRDefault="00431CD6" w:rsidP="005E242B">
      <w:pPr>
        <w:spacing w:after="0" w:line="240" w:lineRule="auto"/>
        <w:jc w:val="both"/>
        <w:rPr>
          <w:rFonts w:ascii="Arial" w:hAnsi="Arial" w:cs="Arial"/>
          <w:sz w:val="24"/>
          <w:szCs w:val="24"/>
        </w:rPr>
      </w:pPr>
    </w:p>
    <w:p w:rsidR="007132E8" w:rsidRPr="00056329" w:rsidRDefault="007132E8" w:rsidP="00056329">
      <w:pPr>
        <w:spacing w:after="0" w:line="240" w:lineRule="auto"/>
        <w:jc w:val="both"/>
        <w:rPr>
          <w:rFonts w:ascii="Arial" w:hAnsi="Arial" w:cs="Arial"/>
          <w:b/>
          <w:sz w:val="24"/>
          <w:szCs w:val="24"/>
        </w:rPr>
      </w:pPr>
      <w:r w:rsidRPr="00056329">
        <w:rPr>
          <w:rFonts w:ascii="Arial" w:hAnsi="Arial" w:cs="Arial"/>
          <w:b/>
          <w:sz w:val="24"/>
          <w:szCs w:val="24"/>
        </w:rPr>
        <w:t>Objective</w:t>
      </w:r>
      <w:r w:rsidR="00FE4054" w:rsidRPr="00056329">
        <w:rPr>
          <w:rFonts w:ascii="Arial" w:hAnsi="Arial" w:cs="Arial"/>
          <w:b/>
          <w:sz w:val="24"/>
          <w:szCs w:val="24"/>
        </w:rPr>
        <w:t>s</w:t>
      </w:r>
      <w:r w:rsidRPr="00056329">
        <w:rPr>
          <w:rFonts w:ascii="Arial" w:hAnsi="Arial" w:cs="Arial"/>
          <w:b/>
          <w:sz w:val="24"/>
          <w:szCs w:val="24"/>
        </w:rPr>
        <w:t xml:space="preserve"> of the COMESA Youth Programme</w:t>
      </w:r>
      <w:bookmarkEnd w:id="2"/>
    </w:p>
    <w:p w:rsidR="00056329" w:rsidRPr="00732021" w:rsidRDefault="00056329" w:rsidP="00056329">
      <w:pPr>
        <w:pStyle w:val="ListParagraph"/>
        <w:spacing w:after="0" w:line="240" w:lineRule="auto"/>
        <w:ind w:left="360"/>
        <w:jc w:val="both"/>
        <w:rPr>
          <w:rFonts w:ascii="Arial" w:hAnsi="Arial" w:cs="Arial"/>
          <w:b/>
          <w:sz w:val="24"/>
          <w:szCs w:val="24"/>
        </w:rPr>
      </w:pPr>
    </w:p>
    <w:p w:rsidR="009B0582" w:rsidRPr="002A0DD7" w:rsidRDefault="009B0582" w:rsidP="00056329">
      <w:pPr>
        <w:pStyle w:val="ListParagraph"/>
        <w:numPr>
          <w:ilvl w:val="0"/>
          <w:numId w:val="49"/>
        </w:numPr>
        <w:spacing w:after="0" w:line="240" w:lineRule="auto"/>
        <w:ind w:left="0" w:firstLine="0"/>
        <w:jc w:val="both"/>
        <w:rPr>
          <w:rFonts w:ascii="Arial" w:hAnsi="Arial" w:cs="Arial"/>
          <w:b/>
          <w:i/>
          <w:sz w:val="24"/>
          <w:szCs w:val="24"/>
        </w:rPr>
      </w:pPr>
      <w:r w:rsidRPr="002A0DD7">
        <w:rPr>
          <w:rFonts w:ascii="Arial" w:hAnsi="Arial" w:cs="Arial"/>
          <w:sz w:val="24"/>
          <w:szCs w:val="24"/>
        </w:rPr>
        <w:t xml:space="preserve">The Overall Goal of the COMESA Youth Programme is to empower young people in the COMESA region by promoting the creation of decent and productive work opportunities for youth in the </w:t>
      </w:r>
      <w:r w:rsidRPr="002A0DD7">
        <w:rPr>
          <w:rFonts w:ascii="Arial" w:eastAsia="Calibri" w:hAnsi="Arial" w:cs="Arial"/>
          <w:sz w:val="24"/>
          <w:szCs w:val="24"/>
        </w:rPr>
        <w:t>private sector</w:t>
      </w:r>
      <w:r w:rsidRPr="002A0DD7">
        <w:rPr>
          <w:rFonts w:ascii="Arial" w:hAnsi="Arial" w:cs="Arial"/>
          <w:sz w:val="24"/>
          <w:szCs w:val="24"/>
        </w:rPr>
        <w:t xml:space="preserve"> and by enhancing youth’s political participation, civic engagement and active involvement in the regional integration process.</w:t>
      </w:r>
    </w:p>
    <w:p w:rsidR="009B0582" w:rsidRPr="002A0DD7" w:rsidRDefault="009B0582" w:rsidP="009B0582">
      <w:pPr>
        <w:spacing w:after="0" w:line="240" w:lineRule="auto"/>
        <w:jc w:val="both"/>
        <w:rPr>
          <w:rFonts w:ascii="Arial" w:eastAsia="Times New Roman" w:hAnsi="Arial" w:cs="Arial"/>
          <w:color w:val="333333"/>
          <w:sz w:val="24"/>
          <w:szCs w:val="24"/>
          <w:lang w:val="en-GB" w:bidi="ar-DZ"/>
        </w:rPr>
      </w:pPr>
    </w:p>
    <w:p w:rsidR="009B0582" w:rsidRPr="002A0DD7" w:rsidRDefault="009B0582"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The specific objective is to raise the levels of youth participation in national socio-economic development processes and regional integration, as well as their civic engagement and representation in public decision-making with at least 25% until 2020; and to increase youth employment and entrepreneurship with at least 25% until 2020.</w:t>
      </w:r>
    </w:p>
    <w:p w:rsidR="009B0582" w:rsidRPr="002A0DD7" w:rsidRDefault="009B0582" w:rsidP="00056329">
      <w:pPr>
        <w:spacing w:after="0" w:line="240" w:lineRule="auto"/>
        <w:jc w:val="both"/>
        <w:rPr>
          <w:rFonts w:ascii="Arial" w:hAnsi="Arial" w:cs="Arial"/>
          <w:sz w:val="24"/>
          <w:szCs w:val="24"/>
        </w:rPr>
      </w:pPr>
    </w:p>
    <w:p w:rsidR="009B0582" w:rsidRDefault="009B0582"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Through these aims, the Youth Programme </w:t>
      </w:r>
      <w:r w:rsidR="009D1E9C">
        <w:rPr>
          <w:rFonts w:ascii="Arial" w:hAnsi="Arial" w:cs="Arial"/>
          <w:sz w:val="24"/>
          <w:szCs w:val="24"/>
        </w:rPr>
        <w:t xml:space="preserve">is expected to </w:t>
      </w:r>
      <w:r w:rsidRPr="002A0DD7">
        <w:rPr>
          <w:rFonts w:ascii="Arial" w:hAnsi="Arial" w:cs="Arial"/>
          <w:sz w:val="24"/>
          <w:szCs w:val="24"/>
        </w:rPr>
        <w:t>contribute to the goals of poverty reduction and maintaining social stability within the COMESA region through sustainable and inclusive development.</w:t>
      </w:r>
    </w:p>
    <w:p w:rsidR="00056329" w:rsidRPr="002A0DD7" w:rsidRDefault="00056329" w:rsidP="00056329">
      <w:pPr>
        <w:pStyle w:val="ListParagraph"/>
        <w:spacing w:after="0" w:line="240" w:lineRule="auto"/>
        <w:ind w:left="0"/>
        <w:jc w:val="both"/>
        <w:rPr>
          <w:rFonts w:ascii="Arial" w:hAnsi="Arial" w:cs="Arial"/>
          <w:sz w:val="24"/>
          <w:szCs w:val="24"/>
        </w:rPr>
      </w:pPr>
    </w:p>
    <w:p w:rsidR="007132E8" w:rsidRPr="002A0DD7" w:rsidRDefault="007132E8" w:rsidP="00056329">
      <w:pPr>
        <w:pStyle w:val="Heading4"/>
        <w:spacing w:before="0" w:line="240" w:lineRule="auto"/>
        <w:rPr>
          <w:rFonts w:ascii="Arial" w:hAnsi="Arial" w:cs="Arial"/>
          <w:i w:val="0"/>
          <w:color w:val="auto"/>
          <w:sz w:val="24"/>
          <w:szCs w:val="24"/>
        </w:rPr>
      </w:pPr>
      <w:r w:rsidRPr="002A0DD7">
        <w:rPr>
          <w:rFonts w:ascii="Arial" w:hAnsi="Arial" w:cs="Arial"/>
          <w:i w:val="0"/>
          <w:color w:val="auto"/>
          <w:sz w:val="24"/>
          <w:szCs w:val="24"/>
        </w:rPr>
        <w:t>Visio</w:t>
      </w:r>
      <w:r w:rsidR="009B0582" w:rsidRPr="002A0DD7">
        <w:rPr>
          <w:rFonts w:ascii="Arial" w:hAnsi="Arial" w:cs="Arial"/>
          <w:i w:val="0"/>
          <w:color w:val="auto"/>
          <w:sz w:val="24"/>
          <w:szCs w:val="24"/>
        </w:rPr>
        <w:t>n of the COMESA Youth Programme</w:t>
      </w:r>
    </w:p>
    <w:p w:rsidR="009B0582" w:rsidRPr="002A0DD7" w:rsidRDefault="009B0582" w:rsidP="00056329">
      <w:pPr>
        <w:spacing w:after="0" w:line="240" w:lineRule="auto"/>
        <w:jc w:val="both"/>
        <w:rPr>
          <w:rFonts w:ascii="Arial" w:hAnsi="Arial" w:cs="Arial"/>
          <w:sz w:val="24"/>
          <w:szCs w:val="24"/>
        </w:rPr>
      </w:pPr>
    </w:p>
    <w:p w:rsidR="007132E8" w:rsidRDefault="00EC5575"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The vision of the COMESA Youth Programme is a</w:t>
      </w:r>
      <w:r w:rsidR="007132E8" w:rsidRPr="002A0DD7">
        <w:rPr>
          <w:rFonts w:ascii="Arial" w:hAnsi="Arial" w:cs="Arial"/>
          <w:sz w:val="24"/>
          <w:szCs w:val="24"/>
        </w:rPr>
        <w:t xml:space="preserve"> future where all people in the COMESA region are able to lead active and fulfilling lives; and where youth can reach their full potential as responsible citizens and family members, productive employees, innovative business owners and upright officials, allowing them to contribute to the prosperity of their families and communities.</w:t>
      </w:r>
    </w:p>
    <w:p w:rsidR="00056329" w:rsidRPr="002A0DD7" w:rsidRDefault="00056329" w:rsidP="00056329">
      <w:pPr>
        <w:pStyle w:val="ListParagraph"/>
        <w:spacing w:after="0" w:line="240" w:lineRule="auto"/>
        <w:ind w:left="0"/>
        <w:jc w:val="both"/>
        <w:rPr>
          <w:rFonts w:ascii="Arial" w:hAnsi="Arial" w:cs="Arial"/>
          <w:sz w:val="24"/>
          <w:szCs w:val="24"/>
        </w:rPr>
      </w:pPr>
    </w:p>
    <w:p w:rsidR="007132E8" w:rsidRPr="002A0DD7" w:rsidRDefault="007132E8" w:rsidP="00056329">
      <w:pPr>
        <w:pStyle w:val="Heading4"/>
        <w:spacing w:before="0" w:line="240" w:lineRule="auto"/>
        <w:rPr>
          <w:rFonts w:ascii="Arial" w:hAnsi="Arial" w:cs="Arial"/>
          <w:i w:val="0"/>
          <w:color w:val="auto"/>
          <w:sz w:val="24"/>
          <w:szCs w:val="24"/>
        </w:rPr>
      </w:pPr>
      <w:r w:rsidRPr="002A0DD7">
        <w:rPr>
          <w:rFonts w:ascii="Arial" w:hAnsi="Arial" w:cs="Arial"/>
          <w:i w:val="0"/>
          <w:color w:val="auto"/>
          <w:sz w:val="24"/>
          <w:szCs w:val="24"/>
        </w:rPr>
        <w:t>Mission of the COMESA Youth Pro</w:t>
      </w:r>
      <w:r w:rsidR="009B0582" w:rsidRPr="002A0DD7">
        <w:rPr>
          <w:rFonts w:ascii="Arial" w:hAnsi="Arial" w:cs="Arial"/>
          <w:i w:val="0"/>
          <w:color w:val="auto"/>
          <w:sz w:val="24"/>
          <w:szCs w:val="24"/>
        </w:rPr>
        <w:t>gramme</w:t>
      </w:r>
    </w:p>
    <w:p w:rsidR="009B0582" w:rsidRPr="002A0DD7" w:rsidRDefault="009B0582" w:rsidP="00056329">
      <w:pPr>
        <w:spacing w:after="0" w:line="240" w:lineRule="auto"/>
        <w:jc w:val="both"/>
        <w:rPr>
          <w:rFonts w:ascii="Arial" w:hAnsi="Arial" w:cs="Arial"/>
          <w:sz w:val="24"/>
          <w:szCs w:val="24"/>
        </w:rPr>
      </w:pPr>
    </w:p>
    <w:p w:rsidR="007132E8" w:rsidRPr="002A0DD7" w:rsidRDefault="007132E8" w:rsidP="00056329">
      <w:pPr>
        <w:pStyle w:val="ListParagraph"/>
        <w:numPr>
          <w:ilvl w:val="0"/>
          <w:numId w:val="49"/>
        </w:numPr>
        <w:spacing w:after="0" w:line="240" w:lineRule="auto"/>
        <w:ind w:left="0" w:firstLine="0"/>
        <w:jc w:val="both"/>
        <w:rPr>
          <w:rFonts w:ascii="Arial" w:hAnsi="Arial" w:cs="Arial"/>
          <w:sz w:val="24"/>
          <w:szCs w:val="24"/>
        </w:rPr>
      </w:pPr>
      <w:r w:rsidRPr="002A0DD7">
        <w:rPr>
          <w:rFonts w:ascii="Arial" w:hAnsi="Arial" w:cs="Arial"/>
          <w:sz w:val="24"/>
          <w:szCs w:val="24"/>
        </w:rPr>
        <w:t xml:space="preserve">To be a driving force for the implementation of the African Youth Charter and the UN </w:t>
      </w:r>
      <w:r w:rsidRPr="002A0DD7">
        <w:rPr>
          <w:rFonts w:ascii="Arial" w:hAnsi="Arial" w:cs="Arial"/>
          <w:sz w:val="24"/>
          <w:szCs w:val="24"/>
          <w:lang w:eastAsia="en-GB"/>
        </w:rPr>
        <w:t>World Programme of Action for Youth</w:t>
      </w:r>
      <w:r w:rsidRPr="002A0DD7">
        <w:rPr>
          <w:rFonts w:ascii="Arial" w:hAnsi="Arial" w:cs="Arial"/>
          <w:sz w:val="24"/>
          <w:szCs w:val="24"/>
        </w:rPr>
        <w:t xml:space="preserve"> in the region by providing policy advice and technical assistance to the Member States, and by facilitating the creation of strong partnerships for youth employment, entrepreneurship and civic and political participation between government, private sector and development partners.</w:t>
      </w:r>
    </w:p>
    <w:p w:rsidR="00691845" w:rsidRPr="002A0DD7" w:rsidRDefault="00691845" w:rsidP="00056329">
      <w:pPr>
        <w:spacing w:after="0" w:line="240" w:lineRule="auto"/>
        <w:jc w:val="both"/>
        <w:rPr>
          <w:rFonts w:ascii="Arial" w:hAnsi="Arial" w:cs="Arial"/>
          <w:sz w:val="24"/>
          <w:szCs w:val="24"/>
        </w:rPr>
      </w:pPr>
    </w:p>
    <w:p w:rsidR="005E242B" w:rsidRPr="005E242B" w:rsidRDefault="005E242B" w:rsidP="00056329">
      <w:pPr>
        <w:spacing w:after="0" w:line="240" w:lineRule="auto"/>
        <w:jc w:val="both"/>
        <w:rPr>
          <w:rFonts w:ascii="Arial" w:hAnsi="Arial" w:cs="Arial"/>
          <w:b/>
          <w:sz w:val="24"/>
          <w:szCs w:val="24"/>
        </w:rPr>
      </w:pPr>
      <w:r w:rsidRPr="005E242B">
        <w:rPr>
          <w:rFonts w:ascii="Arial" w:hAnsi="Arial" w:cs="Arial"/>
          <w:b/>
          <w:sz w:val="24"/>
          <w:szCs w:val="24"/>
        </w:rPr>
        <w:t>The COMESA Virtual University</w:t>
      </w:r>
    </w:p>
    <w:p w:rsidR="00FE4054" w:rsidRDefault="00FE4054" w:rsidP="00056329">
      <w:pPr>
        <w:spacing w:after="0" w:line="240" w:lineRule="auto"/>
        <w:jc w:val="both"/>
        <w:rPr>
          <w:rFonts w:ascii="Arial" w:eastAsia="Times New Roman" w:hAnsi="Arial" w:cs="Arial"/>
          <w:sz w:val="24"/>
          <w:szCs w:val="24"/>
        </w:rPr>
      </w:pPr>
    </w:p>
    <w:p w:rsidR="005E242B" w:rsidRDefault="005E242B" w:rsidP="00056329">
      <w:pPr>
        <w:pStyle w:val="ListParagraph"/>
        <w:numPr>
          <w:ilvl w:val="0"/>
          <w:numId w:val="49"/>
        </w:numPr>
        <w:spacing w:after="0" w:line="240" w:lineRule="auto"/>
        <w:ind w:left="0" w:firstLine="0"/>
        <w:jc w:val="both"/>
        <w:rPr>
          <w:rFonts w:ascii="Arial" w:eastAsia="Times New Roman" w:hAnsi="Arial" w:cs="Arial"/>
          <w:sz w:val="24"/>
          <w:szCs w:val="24"/>
        </w:rPr>
      </w:pPr>
      <w:r w:rsidRPr="005E242B">
        <w:rPr>
          <w:rFonts w:ascii="Arial" w:eastAsia="Times New Roman" w:hAnsi="Arial" w:cs="Arial"/>
          <w:sz w:val="24"/>
          <w:szCs w:val="24"/>
        </w:rPr>
        <w:t>Recognizing the importance of capacity building for regional integration in Government, the private sector and academia,</w:t>
      </w:r>
      <w:r w:rsidR="005E7EDB">
        <w:rPr>
          <w:rFonts w:ascii="Arial" w:eastAsia="Times New Roman" w:hAnsi="Arial" w:cs="Arial"/>
          <w:sz w:val="24"/>
          <w:szCs w:val="24"/>
        </w:rPr>
        <w:t xml:space="preserve"> the COMESA</w:t>
      </w:r>
      <w:r w:rsidRPr="005E242B">
        <w:rPr>
          <w:rFonts w:ascii="Arial" w:eastAsia="Times New Roman" w:hAnsi="Arial" w:cs="Arial"/>
          <w:sz w:val="24"/>
          <w:szCs w:val="24"/>
        </w:rPr>
        <w:t xml:space="preserve"> Council </w:t>
      </w:r>
      <w:r w:rsidR="005E7EDB">
        <w:rPr>
          <w:rFonts w:ascii="Arial" w:eastAsia="Times New Roman" w:hAnsi="Arial" w:cs="Arial"/>
          <w:sz w:val="24"/>
          <w:szCs w:val="24"/>
        </w:rPr>
        <w:t>of Ministers decided in 2010 that a COMESA’s</w:t>
      </w:r>
      <w:r w:rsidRPr="005E242B">
        <w:rPr>
          <w:rFonts w:ascii="Arial" w:eastAsia="Times New Roman" w:hAnsi="Arial" w:cs="Arial"/>
          <w:sz w:val="24"/>
          <w:szCs w:val="24"/>
        </w:rPr>
        <w:t xml:space="preserve"> University be established to inculcate the dimension of regional integration in learning in higher institutions. The idea was that with a good perspective on regional integration, the quality and expedition of the formulation and implementation of regional integration initiatives would be greatly improved.</w:t>
      </w:r>
    </w:p>
    <w:p w:rsidR="00056329" w:rsidRPr="005E242B" w:rsidRDefault="00056329" w:rsidP="00056329">
      <w:pPr>
        <w:pStyle w:val="ListParagraph"/>
        <w:spacing w:after="0" w:line="240" w:lineRule="auto"/>
        <w:ind w:left="0"/>
        <w:jc w:val="both"/>
        <w:rPr>
          <w:rFonts w:ascii="Arial" w:eastAsia="Times New Roman" w:hAnsi="Arial" w:cs="Arial"/>
          <w:sz w:val="24"/>
          <w:szCs w:val="24"/>
        </w:rPr>
      </w:pPr>
    </w:p>
    <w:p w:rsidR="005E242B" w:rsidRDefault="005E242B" w:rsidP="00056329">
      <w:pPr>
        <w:pStyle w:val="ListParagraph"/>
        <w:numPr>
          <w:ilvl w:val="0"/>
          <w:numId w:val="49"/>
        </w:numPr>
        <w:spacing w:after="0" w:line="240" w:lineRule="auto"/>
        <w:ind w:left="0" w:firstLine="0"/>
        <w:jc w:val="both"/>
        <w:rPr>
          <w:rFonts w:ascii="Arial" w:eastAsia="Times New Roman" w:hAnsi="Arial" w:cs="Arial"/>
          <w:sz w:val="24"/>
          <w:szCs w:val="24"/>
        </w:rPr>
      </w:pPr>
      <w:r w:rsidRPr="005E242B">
        <w:rPr>
          <w:rFonts w:ascii="Arial" w:eastAsia="Times New Roman" w:hAnsi="Arial" w:cs="Arial"/>
          <w:sz w:val="24"/>
          <w:szCs w:val="24"/>
        </w:rPr>
        <w:t>On this basis, the Secretariat has worked closely w</w:t>
      </w:r>
      <w:r w:rsidR="006872FE">
        <w:rPr>
          <w:rFonts w:ascii="Arial" w:eastAsia="Times New Roman" w:hAnsi="Arial" w:cs="Arial"/>
          <w:sz w:val="24"/>
          <w:szCs w:val="24"/>
        </w:rPr>
        <w:t>ith universities in the region</w:t>
      </w:r>
      <w:r w:rsidRPr="005E242B">
        <w:rPr>
          <w:rFonts w:ascii="Arial" w:eastAsia="Times New Roman" w:hAnsi="Arial" w:cs="Arial"/>
          <w:sz w:val="24"/>
          <w:szCs w:val="24"/>
        </w:rPr>
        <w:t xml:space="preserve"> to implement the Council decision. Following two research forums and working sessions of a committee of universities, recommendations were made and C</w:t>
      </w:r>
      <w:r w:rsidR="005E7EDB">
        <w:rPr>
          <w:rFonts w:ascii="Arial" w:eastAsia="Times New Roman" w:hAnsi="Arial" w:cs="Arial"/>
          <w:sz w:val="24"/>
          <w:szCs w:val="24"/>
        </w:rPr>
        <w:t>ouncil has decided that a COMESA’s</w:t>
      </w:r>
      <w:r w:rsidRPr="005E242B">
        <w:rPr>
          <w:rFonts w:ascii="Arial" w:eastAsia="Times New Roman" w:hAnsi="Arial" w:cs="Arial"/>
          <w:sz w:val="24"/>
          <w:szCs w:val="24"/>
        </w:rPr>
        <w:t xml:space="preserve"> virtual university should be established. There will be a host university and collaborating universities. There are 22 collaborating universities so far. MOUs have been concluded between the Secretariat and the host and collaborating universities. The syllabi for the courses have been developed.</w:t>
      </w:r>
    </w:p>
    <w:p w:rsidR="00056329" w:rsidRPr="005E242B" w:rsidRDefault="00056329" w:rsidP="00056329">
      <w:pPr>
        <w:pStyle w:val="ListParagraph"/>
        <w:spacing w:after="0" w:line="240" w:lineRule="auto"/>
        <w:ind w:left="0"/>
        <w:jc w:val="both"/>
        <w:rPr>
          <w:rFonts w:ascii="Arial" w:eastAsia="Times New Roman" w:hAnsi="Arial" w:cs="Arial"/>
          <w:sz w:val="24"/>
          <w:szCs w:val="24"/>
        </w:rPr>
      </w:pPr>
    </w:p>
    <w:p w:rsidR="002A0DD7" w:rsidRPr="002A0DD7" w:rsidRDefault="005E242B" w:rsidP="00056329">
      <w:pPr>
        <w:pStyle w:val="ListParagraph"/>
        <w:numPr>
          <w:ilvl w:val="0"/>
          <w:numId w:val="49"/>
        </w:numPr>
        <w:spacing w:after="0" w:line="240" w:lineRule="auto"/>
        <w:ind w:left="0" w:firstLine="0"/>
        <w:jc w:val="both"/>
        <w:rPr>
          <w:rFonts w:ascii="Arial" w:hAnsi="Arial" w:cs="Arial"/>
          <w:sz w:val="24"/>
          <w:szCs w:val="24"/>
          <w:lang w:val="en"/>
        </w:rPr>
      </w:pPr>
      <w:r w:rsidRPr="005E242B">
        <w:rPr>
          <w:rFonts w:ascii="Arial" w:eastAsia="Times New Roman" w:hAnsi="Arial" w:cs="Arial"/>
          <w:sz w:val="24"/>
          <w:szCs w:val="24"/>
        </w:rPr>
        <w:t xml:space="preserve">The next step is to formally launch the virtual university, expected to take place at the October 2016 </w:t>
      </w:r>
      <w:r w:rsidR="00055129">
        <w:rPr>
          <w:rFonts w:ascii="Arial" w:eastAsia="Times New Roman" w:hAnsi="Arial" w:cs="Arial"/>
          <w:sz w:val="24"/>
          <w:szCs w:val="24"/>
        </w:rPr>
        <w:t>COMESA S</w:t>
      </w:r>
      <w:r w:rsidRPr="005E242B">
        <w:rPr>
          <w:rFonts w:ascii="Arial" w:eastAsia="Times New Roman" w:hAnsi="Arial" w:cs="Arial"/>
          <w:sz w:val="24"/>
          <w:szCs w:val="24"/>
        </w:rPr>
        <w:t>ummit</w:t>
      </w:r>
      <w:r w:rsidR="00055129">
        <w:rPr>
          <w:rFonts w:ascii="Arial" w:eastAsia="Times New Roman" w:hAnsi="Arial" w:cs="Arial"/>
          <w:sz w:val="24"/>
          <w:szCs w:val="24"/>
        </w:rPr>
        <w:t xml:space="preserve"> of Heads of State and Government</w:t>
      </w:r>
      <w:r w:rsidRPr="005E242B">
        <w:rPr>
          <w:rFonts w:ascii="Arial" w:eastAsia="Times New Roman" w:hAnsi="Arial" w:cs="Arial"/>
          <w:sz w:val="24"/>
          <w:szCs w:val="24"/>
        </w:rPr>
        <w:t>. The courses will be offered starting the next academic year by t</w:t>
      </w:r>
      <w:r w:rsidR="005E7EDB">
        <w:rPr>
          <w:rFonts w:ascii="Arial" w:eastAsia="Times New Roman" w:hAnsi="Arial" w:cs="Arial"/>
          <w:sz w:val="24"/>
          <w:szCs w:val="24"/>
        </w:rPr>
        <w:t xml:space="preserve">he collaborating universities </w:t>
      </w:r>
      <w:r w:rsidR="00055129">
        <w:rPr>
          <w:rFonts w:ascii="Arial" w:eastAsia="Times New Roman" w:hAnsi="Arial" w:cs="Arial"/>
          <w:sz w:val="24"/>
          <w:szCs w:val="24"/>
        </w:rPr>
        <w:t xml:space="preserve">and the host University, </w:t>
      </w:r>
      <w:r w:rsidR="005E7EDB">
        <w:rPr>
          <w:rFonts w:ascii="Arial" w:eastAsia="Times New Roman" w:hAnsi="Arial" w:cs="Arial"/>
          <w:sz w:val="24"/>
          <w:szCs w:val="24"/>
        </w:rPr>
        <w:t xml:space="preserve">which is </w:t>
      </w:r>
      <w:r w:rsidR="002A0DD7" w:rsidRPr="002A0DD7">
        <w:rPr>
          <w:rFonts w:ascii="Arial" w:hAnsi="Arial" w:cs="Arial"/>
          <w:sz w:val="24"/>
          <w:szCs w:val="24"/>
        </w:rPr>
        <w:t xml:space="preserve">the </w:t>
      </w:r>
      <w:r w:rsidR="005E7EDB">
        <w:rPr>
          <w:rFonts w:ascii="Arial" w:hAnsi="Arial" w:cs="Arial"/>
          <w:sz w:val="24"/>
          <w:szCs w:val="24"/>
          <w:lang w:val="en"/>
        </w:rPr>
        <w:t>Kenyatta University.</w:t>
      </w:r>
    </w:p>
    <w:p w:rsidR="002A0DD7" w:rsidRPr="002A0DD7" w:rsidRDefault="002A0DD7" w:rsidP="00056329">
      <w:pPr>
        <w:spacing w:after="0" w:line="240" w:lineRule="auto"/>
        <w:jc w:val="both"/>
        <w:rPr>
          <w:rFonts w:ascii="Arial" w:hAnsi="Arial" w:cs="Arial"/>
          <w:sz w:val="24"/>
          <w:szCs w:val="24"/>
        </w:rPr>
      </w:pPr>
    </w:p>
    <w:p w:rsidR="004D22E9" w:rsidRDefault="003A6334" w:rsidP="00056329">
      <w:pPr>
        <w:spacing w:after="0" w:line="240" w:lineRule="auto"/>
        <w:jc w:val="center"/>
        <w:rPr>
          <w:rFonts w:ascii="Arial" w:hAnsi="Arial" w:cs="Arial"/>
          <w:sz w:val="24"/>
          <w:szCs w:val="24"/>
        </w:rPr>
      </w:pPr>
    </w:p>
    <w:p w:rsidR="007514F5" w:rsidRPr="002A0DD7" w:rsidRDefault="007514F5" w:rsidP="00FE4054">
      <w:pPr>
        <w:jc w:val="center"/>
        <w:rPr>
          <w:rFonts w:ascii="Arial" w:hAnsi="Arial" w:cs="Arial"/>
          <w:sz w:val="24"/>
          <w:szCs w:val="24"/>
        </w:rPr>
      </w:pPr>
    </w:p>
    <w:sectPr w:rsidR="007514F5" w:rsidRPr="002A0D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334" w:rsidRDefault="003A6334" w:rsidP="007132E8">
      <w:pPr>
        <w:spacing w:after="0" w:line="240" w:lineRule="auto"/>
      </w:pPr>
      <w:r>
        <w:separator/>
      </w:r>
    </w:p>
  </w:endnote>
  <w:endnote w:type="continuationSeparator" w:id="0">
    <w:p w:rsidR="003A6334" w:rsidRDefault="003A6334" w:rsidP="0071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334" w:rsidRDefault="003A6334" w:rsidP="007132E8">
      <w:pPr>
        <w:spacing w:after="0" w:line="240" w:lineRule="auto"/>
      </w:pPr>
      <w:r>
        <w:separator/>
      </w:r>
    </w:p>
  </w:footnote>
  <w:footnote w:type="continuationSeparator" w:id="0">
    <w:p w:rsidR="003A6334" w:rsidRDefault="003A6334" w:rsidP="007132E8">
      <w:pPr>
        <w:spacing w:after="0" w:line="240" w:lineRule="auto"/>
      </w:pPr>
      <w:r>
        <w:continuationSeparator/>
      </w:r>
    </w:p>
  </w:footnote>
  <w:footnote w:id="1">
    <w:p w:rsidR="00FE4054" w:rsidRDefault="00FE4054">
      <w:pPr>
        <w:pStyle w:val="FootnoteText"/>
      </w:pPr>
      <w:r>
        <w:rPr>
          <w:rStyle w:val="FootnoteReference"/>
        </w:rPr>
        <w:footnoteRef/>
      </w:r>
      <w:r>
        <w:t xml:space="preserve"> </w:t>
      </w:r>
      <w:r>
        <w:rPr>
          <w:color w:val="1F497D"/>
        </w:rPr>
        <w:t>The statistical data does not include figures for Eritrea, Comoros, DR Congo, Djibouti and Madagascar</w:t>
      </w:r>
      <w:r w:rsidR="00540CBC">
        <w:rPr>
          <w:color w:val="1F497D"/>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778187"/>
      <w:docPartObj>
        <w:docPartGallery w:val="Page Numbers (Top of Page)"/>
        <w:docPartUnique/>
      </w:docPartObj>
    </w:sdtPr>
    <w:sdtEndPr>
      <w:rPr>
        <w:noProof/>
      </w:rPr>
    </w:sdtEndPr>
    <w:sdtContent>
      <w:p w:rsidR="005E242B" w:rsidRDefault="005E242B">
        <w:pPr>
          <w:pStyle w:val="Header"/>
          <w:jc w:val="center"/>
        </w:pPr>
        <w:r>
          <w:fldChar w:fldCharType="begin"/>
        </w:r>
        <w:r>
          <w:instrText xml:space="preserve"> PAGE   \* MERGEFORMAT </w:instrText>
        </w:r>
        <w:r>
          <w:fldChar w:fldCharType="separate"/>
        </w:r>
        <w:r w:rsidR="00EC2E04">
          <w:rPr>
            <w:noProof/>
          </w:rPr>
          <w:t>1</w:t>
        </w:r>
        <w:r>
          <w:rPr>
            <w:noProof/>
          </w:rPr>
          <w:fldChar w:fldCharType="end"/>
        </w:r>
      </w:p>
    </w:sdtContent>
  </w:sdt>
  <w:p w:rsidR="005E242B" w:rsidRDefault="005E24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02E00298"/>
    <w:multiLevelType w:val="hybridMultilevel"/>
    <w:tmpl w:val="C34E0474"/>
    <w:lvl w:ilvl="0" w:tplc="0D921F94">
      <w:start w:val="1"/>
      <w:numFmt w:val="lowerRoman"/>
      <w:lvlText w:val="%1."/>
      <w:lvlJc w:val="left"/>
      <w:pPr>
        <w:ind w:left="786" w:hanging="360"/>
      </w:pPr>
      <w:rPr>
        <w:rFonts w:ascii="Arial" w:hAnsi="Arial" w:cs="Arial" w:hint="default"/>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9D720FC"/>
    <w:multiLevelType w:val="hybridMultilevel"/>
    <w:tmpl w:val="4764480E"/>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06C1C"/>
    <w:multiLevelType w:val="multilevel"/>
    <w:tmpl w:val="61E89C3C"/>
    <w:lvl w:ilvl="0">
      <w:start w:val="3"/>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1080" w:hanging="108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440" w:hanging="144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800" w:hanging="180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3">
    <w:nsid w:val="0B22577B"/>
    <w:multiLevelType w:val="hybridMultilevel"/>
    <w:tmpl w:val="9E629204"/>
    <w:lvl w:ilvl="0" w:tplc="6DD88F88">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3939D9"/>
    <w:multiLevelType w:val="hybridMultilevel"/>
    <w:tmpl w:val="2EC6E1C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E59A9"/>
    <w:multiLevelType w:val="hybridMultilevel"/>
    <w:tmpl w:val="B50E8A0A"/>
    <w:lvl w:ilvl="0" w:tplc="0256D79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ED09FC"/>
    <w:multiLevelType w:val="multilevel"/>
    <w:tmpl w:val="2CF2B2C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965BB"/>
    <w:multiLevelType w:val="hybridMultilevel"/>
    <w:tmpl w:val="00D2DC80"/>
    <w:lvl w:ilvl="0" w:tplc="A09872C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A059B"/>
    <w:multiLevelType w:val="hybridMultilevel"/>
    <w:tmpl w:val="B08C750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726A25"/>
    <w:multiLevelType w:val="hybridMultilevel"/>
    <w:tmpl w:val="F10AB6A6"/>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72FC3"/>
    <w:multiLevelType w:val="hybridMultilevel"/>
    <w:tmpl w:val="D67A9C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C66334C"/>
    <w:multiLevelType w:val="hybridMultilevel"/>
    <w:tmpl w:val="D282782A"/>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A0110"/>
    <w:multiLevelType w:val="multilevel"/>
    <w:tmpl w:val="F21CDF7A"/>
    <w:lvl w:ilvl="0">
      <w:start w:val="1"/>
      <w:numFmt w:val="decimal"/>
      <w:lvlText w:val="%1."/>
      <w:lvlJc w:val="left"/>
      <w:pPr>
        <w:ind w:left="720" w:hanging="360"/>
      </w:pPr>
      <w:rPr>
        <w:rFonts w:ascii="Arial" w:hAnsi="Arial" w:cs="Arial" w:hint="default"/>
        <w:b w:val="0"/>
        <w:color w:val="auto"/>
        <w:sz w:val="22"/>
        <w:szCs w:val="22"/>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D852A5E"/>
    <w:multiLevelType w:val="hybridMultilevel"/>
    <w:tmpl w:val="DF94D53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02657"/>
    <w:multiLevelType w:val="hybridMultilevel"/>
    <w:tmpl w:val="9B7EA3C2"/>
    <w:lvl w:ilvl="0" w:tplc="FBBC057E">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000818"/>
    <w:multiLevelType w:val="hybridMultilevel"/>
    <w:tmpl w:val="1708DD2C"/>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ED75CC"/>
    <w:multiLevelType w:val="hybridMultilevel"/>
    <w:tmpl w:val="223E1268"/>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EF4004"/>
    <w:multiLevelType w:val="hybridMultilevel"/>
    <w:tmpl w:val="2656089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3E0F3F"/>
    <w:multiLevelType w:val="hybridMultilevel"/>
    <w:tmpl w:val="406A932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C000E"/>
    <w:multiLevelType w:val="multilevel"/>
    <w:tmpl w:val="904AD9B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8F45B09"/>
    <w:multiLevelType w:val="multilevel"/>
    <w:tmpl w:val="5B4027E4"/>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2E647786"/>
    <w:multiLevelType w:val="hybridMultilevel"/>
    <w:tmpl w:val="1602D186"/>
    <w:lvl w:ilvl="0" w:tplc="DBDC3C62">
      <w:start w:val="1"/>
      <w:numFmt w:val="lowerRoman"/>
      <w:lvlText w:val="%1."/>
      <w:lvlJc w:val="left"/>
      <w:pPr>
        <w:ind w:left="720" w:hanging="360"/>
      </w:pPr>
      <w:rPr>
        <w:rFonts w:ascii="Arial" w:eastAsia="Malgun Gothic"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E31CEC"/>
    <w:multiLevelType w:val="hybridMultilevel"/>
    <w:tmpl w:val="5CF0FA6A"/>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EC4629"/>
    <w:multiLevelType w:val="hybridMultilevel"/>
    <w:tmpl w:val="F2FC456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6F6EAB"/>
    <w:multiLevelType w:val="hybridMultilevel"/>
    <w:tmpl w:val="A1DAD444"/>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D728DC"/>
    <w:multiLevelType w:val="hybridMultilevel"/>
    <w:tmpl w:val="4148DF0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82B4C6B6">
      <w:start w:val="3"/>
      <w:numFmt w:val="lowerRoman"/>
      <w:lvlText w:val="%3."/>
      <w:lvlJc w:val="left"/>
      <w:pPr>
        <w:tabs>
          <w:tab w:val="num" w:pos="3060"/>
        </w:tabs>
        <w:ind w:left="3060" w:hanging="720"/>
      </w:pPr>
      <w:rPr>
        <w:rFonts w:hint="default"/>
      </w:rPr>
    </w:lvl>
    <w:lvl w:ilvl="3" w:tplc="E560201C">
      <w:start w:val="1"/>
      <w:numFmt w:val="lowerRoman"/>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6494215"/>
    <w:multiLevelType w:val="hybridMultilevel"/>
    <w:tmpl w:val="EB92083C"/>
    <w:lvl w:ilvl="0" w:tplc="66681C48">
      <w:start w:val="1"/>
      <w:numFmt w:val="low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94259F6"/>
    <w:multiLevelType w:val="hybridMultilevel"/>
    <w:tmpl w:val="A240EE0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C40841"/>
    <w:multiLevelType w:val="hybridMultilevel"/>
    <w:tmpl w:val="797C2274"/>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2A2905"/>
    <w:multiLevelType w:val="hybridMultilevel"/>
    <w:tmpl w:val="3FCCCA7C"/>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807ADB"/>
    <w:multiLevelType w:val="multilevel"/>
    <w:tmpl w:val="1CB0E5F6"/>
    <w:lvl w:ilvl="0">
      <w:start w:val="1"/>
      <w:numFmt w:val="lowerRoman"/>
      <w:lvlText w:val="%1."/>
      <w:lvlJc w:val="right"/>
      <w:pPr>
        <w:tabs>
          <w:tab w:val="num" w:pos="360"/>
        </w:tabs>
        <w:ind w:left="360" w:hanging="360"/>
      </w:pPr>
      <w:rPr>
        <w:rFonts w:hint="default"/>
        <w:sz w:val="20"/>
      </w:rPr>
    </w:lvl>
    <w:lvl w:ilvl="1">
      <w:start w:val="1"/>
      <w:numFmt w:val="lowerRoman"/>
      <w:lvlText w:val="%2."/>
      <w:lvlJc w:val="right"/>
      <w:pPr>
        <w:ind w:left="1080" w:hanging="360"/>
      </w:pPr>
      <w:rPr>
        <w:rFonts w:hint="default"/>
      </w:rPr>
    </w:lvl>
    <w:lvl w:ilvl="2" w:tentative="1">
      <w:start w:val="1"/>
      <w:numFmt w:val="bullet"/>
      <w:lvlText w:val=""/>
      <w:lvlPicBulletId w:val="0"/>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41BD3B8C"/>
    <w:multiLevelType w:val="hybridMultilevel"/>
    <w:tmpl w:val="B3B24FF6"/>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B72EB6"/>
    <w:multiLevelType w:val="hybridMultilevel"/>
    <w:tmpl w:val="25BACEA2"/>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B53371"/>
    <w:multiLevelType w:val="hybridMultilevel"/>
    <w:tmpl w:val="D8641B54"/>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915296"/>
    <w:multiLevelType w:val="hybridMultilevel"/>
    <w:tmpl w:val="57523C6A"/>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AC449A"/>
    <w:multiLevelType w:val="hybridMultilevel"/>
    <w:tmpl w:val="09902A54"/>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5B198F"/>
    <w:multiLevelType w:val="hybridMultilevel"/>
    <w:tmpl w:val="7F541DFC"/>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937D36"/>
    <w:multiLevelType w:val="multilevel"/>
    <w:tmpl w:val="BD76038C"/>
    <w:lvl w:ilvl="0">
      <w:start w:val="3"/>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nsid w:val="57E0754F"/>
    <w:multiLevelType w:val="hybridMultilevel"/>
    <w:tmpl w:val="51967634"/>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D41881"/>
    <w:multiLevelType w:val="hybridMultilevel"/>
    <w:tmpl w:val="7E68CE8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670CEB"/>
    <w:multiLevelType w:val="hybridMultilevel"/>
    <w:tmpl w:val="09066F6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5673B4"/>
    <w:multiLevelType w:val="hybridMultilevel"/>
    <w:tmpl w:val="B2806E06"/>
    <w:lvl w:ilvl="0" w:tplc="6B18E238">
      <w:start w:val="1"/>
      <w:numFmt w:val="lowerRoman"/>
      <w:lvlText w:val="%1."/>
      <w:lvlJc w:val="left"/>
      <w:pPr>
        <w:ind w:left="720" w:hanging="360"/>
      </w:pPr>
      <w:rPr>
        <w:rFonts w:hint="default"/>
        <w:b/>
        <w:i/>
      </w:rPr>
    </w:lvl>
    <w:lvl w:ilvl="1" w:tplc="04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59844D2"/>
    <w:multiLevelType w:val="hybridMultilevel"/>
    <w:tmpl w:val="A566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B527D3"/>
    <w:multiLevelType w:val="hybridMultilevel"/>
    <w:tmpl w:val="FFB8FC6C"/>
    <w:lvl w:ilvl="0" w:tplc="BEF684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A451707"/>
    <w:multiLevelType w:val="hybridMultilevel"/>
    <w:tmpl w:val="0F245A68"/>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D24FB2"/>
    <w:multiLevelType w:val="hybridMultilevel"/>
    <w:tmpl w:val="00E0F4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6F446594"/>
    <w:multiLevelType w:val="hybridMultilevel"/>
    <w:tmpl w:val="789C9E5C"/>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03685E"/>
    <w:multiLevelType w:val="hybridMultilevel"/>
    <w:tmpl w:val="E020D020"/>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B64A04"/>
    <w:multiLevelType w:val="hybridMultilevel"/>
    <w:tmpl w:val="24E4AEE8"/>
    <w:lvl w:ilvl="0" w:tplc="66681C4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6"/>
  </w:num>
  <w:num w:numId="4">
    <w:abstractNumId w:val="14"/>
  </w:num>
  <w:num w:numId="5">
    <w:abstractNumId w:val="5"/>
  </w:num>
  <w:num w:numId="6">
    <w:abstractNumId w:val="30"/>
  </w:num>
  <w:num w:numId="7">
    <w:abstractNumId w:val="23"/>
  </w:num>
  <w:num w:numId="8">
    <w:abstractNumId w:val="31"/>
  </w:num>
  <w:num w:numId="9">
    <w:abstractNumId w:val="27"/>
  </w:num>
  <w:num w:numId="10">
    <w:abstractNumId w:val="24"/>
  </w:num>
  <w:num w:numId="11">
    <w:abstractNumId w:val="4"/>
  </w:num>
  <w:num w:numId="12">
    <w:abstractNumId w:val="45"/>
  </w:num>
  <w:num w:numId="13">
    <w:abstractNumId w:val="12"/>
  </w:num>
  <w:num w:numId="14">
    <w:abstractNumId w:val="41"/>
  </w:num>
  <w:num w:numId="15">
    <w:abstractNumId w:val="47"/>
  </w:num>
  <w:num w:numId="16">
    <w:abstractNumId w:val="1"/>
  </w:num>
  <w:num w:numId="17">
    <w:abstractNumId w:val="26"/>
  </w:num>
  <w:num w:numId="18">
    <w:abstractNumId w:val="3"/>
  </w:num>
  <w:num w:numId="19">
    <w:abstractNumId w:val="43"/>
  </w:num>
  <w:num w:numId="20">
    <w:abstractNumId w:val="39"/>
  </w:num>
  <w:num w:numId="21">
    <w:abstractNumId w:val="11"/>
  </w:num>
  <w:num w:numId="22">
    <w:abstractNumId w:val="38"/>
  </w:num>
  <w:num w:numId="23">
    <w:abstractNumId w:val="15"/>
  </w:num>
  <w:num w:numId="24">
    <w:abstractNumId w:val="35"/>
  </w:num>
  <w:num w:numId="25">
    <w:abstractNumId w:val="36"/>
  </w:num>
  <w:num w:numId="26">
    <w:abstractNumId w:val="34"/>
  </w:num>
  <w:num w:numId="27">
    <w:abstractNumId w:val="40"/>
  </w:num>
  <w:num w:numId="28">
    <w:abstractNumId w:val="9"/>
  </w:num>
  <w:num w:numId="29">
    <w:abstractNumId w:val="22"/>
  </w:num>
  <w:num w:numId="30">
    <w:abstractNumId w:val="44"/>
  </w:num>
  <w:num w:numId="31">
    <w:abstractNumId w:val="18"/>
  </w:num>
  <w:num w:numId="32">
    <w:abstractNumId w:val="16"/>
  </w:num>
  <w:num w:numId="33">
    <w:abstractNumId w:val="48"/>
  </w:num>
  <w:num w:numId="34">
    <w:abstractNumId w:val="13"/>
  </w:num>
  <w:num w:numId="35">
    <w:abstractNumId w:val="28"/>
  </w:num>
  <w:num w:numId="36">
    <w:abstractNumId w:val="32"/>
  </w:num>
  <w:num w:numId="37">
    <w:abstractNumId w:val="29"/>
  </w:num>
  <w:num w:numId="38">
    <w:abstractNumId w:val="46"/>
  </w:num>
  <w:num w:numId="39">
    <w:abstractNumId w:val="33"/>
  </w:num>
  <w:num w:numId="40">
    <w:abstractNumId w:val="0"/>
  </w:num>
  <w:num w:numId="41">
    <w:abstractNumId w:val="17"/>
  </w:num>
  <w:num w:numId="42">
    <w:abstractNumId w:val="42"/>
  </w:num>
  <w:num w:numId="43">
    <w:abstractNumId w:val="2"/>
  </w:num>
  <w:num w:numId="44">
    <w:abstractNumId w:val="8"/>
  </w:num>
  <w:num w:numId="45">
    <w:abstractNumId w:val="20"/>
  </w:num>
  <w:num w:numId="46">
    <w:abstractNumId w:val="37"/>
  </w:num>
  <w:num w:numId="47">
    <w:abstractNumId w:val="19"/>
  </w:num>
  <w:num w:numId="48">
    <w:abstractNumId w:val="2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EE"/>
    <w:rsid w:val="00045157"/>
    <w:rsid w:val="000454E2"/>
    <w:rsid w:val="00055129"/>
    <w:rsid w:val="00056329"/>
    <w:rsid w:val="000A3FD5"/>
    <w:rsid w:val="000B6008"/>
    <w:rsid w:val="000D41D2"/>
    <w:rsid w:val="001067A1"/>
    <w:rsid w:val="001759B3"/>
    <w:rsid w:val="0020332F"/>
    <w:rsid w:val="002A0DD7"/>
    <w:rsid w:val="002C3F54"/>
    <w:rsid w:val="00311B3E"/>
    <w:rsid w:val="003A6334"/>
    <w:rsid w:val="003B1CAE"/>
    <w:rsid w:val="003D0206"/>
    <w:rsid w:val="00431CD6"/>
    <w:rsid w:val="005348CD"/>
    <w:rsid w:val="00540CBC"/>
    <w:rsid w:val="005930EE"/>
    <w:rsid w:val="005E242B"/>
    <w:rsid w:val="005E7EDB"/>
    <w:rsid w:val="00610DAF"/>
    <w:rsid w:val="00634F0E"/>
    <w:rsid w:val="006872FE"/>
    <w:rsid w:val="00691845"/>
    <w:rsid w:val="006A75B2"/>
    <w:rsid w:val="007132E8"/>
    <w:rsid w:val="00732021"/>
    <w:rsid w:val="007514F5"/>
    <w:rsid w:val="007515E6"/>
    <w:rsid w:val="00770629"/>
    <w:rsid w:val="007C3E98"/>
    <w:rsid w:val="008C2504"/>
    <w:rsid w:val="009868A3"/>
    <w:rsid w:val="00997E73"/>
    <w:rsid w:val="009B0582"/>
    <w:rsid w:val="009D1E9C"/>
    <w:rsid w:val="009F61C9"/>
    <w:rsid w:val="00A1508A"/>
    <w:rsid w:val="00AD1500"/>
    <w:rsid w:val="00B00120"/>
    <w:rsid w:val="00B406F2"/>
    <w:rsid w:val="00B730A7"/>
    <w:rsid w:val="00B73FA3"/>
    <w:rsid w:val="00B858C7"/>
    <w:rsid w:val="00BB553C"/>
    <w:rsid w:val="00C002D7"/>
    <w:rsid w:val="00C5140E"/>
    <w:rsid w:val="00C56152"/>
    <w:rsid w:val="00C814F2"/>
    <w:rsid w:val="00CD26F1"/>
    <w:rsid w:val="00CF7656"/>
    <w:rsid w:val="00D03F5D"/>
    <w:rsid w:val="00DA79A0"/>
    <w:rsid w:val="00DB2920"/>
    <w:rsid w:val="00DD2D7E"/>
    <w:rsid w:val="00E1447B"/>
    <w:rsid w:val="00E161FA"/>
    <w:rsid w:val="00E62898"/>
    <w:rsid w:val="00EC2E04"/>
    <w:rsid w:val="00EC5575"/>
    <w:rsid w:val="00F05045"/>
    <w:rsid w:val="00F67E82"/>
    <w:rsid w:val="00FB47E3"/>
    <w:rsid w:val="00FC4AC2"/>
    <w:rsid w:val="00FE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EE"/>
  </w:style>
  <w:style w:type="paragraph" w:styleId="Heading2">
    <w:name w:val="heading 2"/>
    <w:basedOn w:val="Normal"/>
    <w:next w:val="Normal"/>
    <w:link w:val="Heading2Char"/>
    <w:uiPriority w:val="9"/>
    <w:semiHidden/>
    <w:unhideWhenUsed/>
    <w:qFormat/>
    <w:rsid w:val="00713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5930EE"/>
    <w:pPr>
      <w:keepNext/>
      <w:spacing w:after="0" w:line="240" w:lineRule="auto"/>
      <w:jc w:val="both"/>
      <w:outlineLvl w:val="2"/>
    </w:pPr>
    <w:rPr>
      <w:rFonts w:ascii="Verdana" w:eastAsia="Times New Roman" w:hAnsi="Verdana" w:cs="Arial"/>
      <w:b/>
      <w:bCs/>
      <w:szCs w:val="24"/>
      <w:lang w:val="en-GB"/>
    </w:rPr>
  </w:style>
  <w:style w:type="paragraph" w:styleId="Heading4">
    <w:name w:val="heading 4"/>
    <w:basedOn w:val="Normal"/>
    <w:next w:val="Normal"/>
    <w:link w:val="Heading4Char"/>
    <w:uiPriority w:val="9"/>
    <w:unhideWhenUsed/>
    <w:qFormat/>
    <w:rsid w:val="007132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0EE"/>
    <w:pPr>
      <w:spacing w:before="96" w:after="192"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5930EE"/>
    <w:pPr>
      <w:ind w:left="720"/>
      <w:contextualSpacing/>
    </w:pPr>
  </w:style>
  <w:style w:type="paragraph" w:customStyle="1" w:styleId="Table">
    <w:name w:val="Table"/>
    <w:basedOn w:val="Normal"/>
    <w:qFormat/>
    <w:rsid w:val="005930EE"/>
    <w:pPr>
      <w:spacing w:after="0" w:line="240" w:lineRule="auto"/>
    </w:pPr>
    <w:rPr>
      <w:rFonts w:ascii="Verdana" w:eastAsia="Times New Roman" w:hAnsi="Verdana" w:cs="Times New Roman"/>
      <w:color w:val="333333"/>
      <w:sz w:val="16"/>
      <w:szCs w:val="16"/>
      <w:lang w:val="en-NZ" w:bidi="ar-DZ"/>
    </w:rPr>
  </w:style>
  <w:style w:type="character" w:customStyle="1" w:styleId="Heading3Char">
    <w:name w:val="Heading 3 Char"/>
    <w:basedOn w:val="DefaultParagraphFont"/>
    <w:link w:val="Heading3"/>
    <w:uiPriority w:val="9"/>
    <w:rsid w:val="005930EE"/>
    <w:rPr>
      <w:rFonts w:ascii="Verdana" w:eastAsia="Times New Roman" w:hAnsi="Verdana" w:cs="Arial"/>
      <w:b/>
      <w:bCs/>
      <w:szCs w:val="24"/>
      <w:lang w:val="en-GB"/>
    </w:rPr>
  </w:style>
  <w:style w:type="character" w:customStyle="1" w:styleId="ListParagraphChar">
    <w:name w:val="List Paragraph Char"/>
    <w:link w:val="ListParagraph"/>
    <w:locked/>
    <w:rsid w:val="005930EE"/>
  </w:style>
  <w:style w:type="character" w:styleId="FootnoteReference">
    <w:name w:val="footnote reference"/>
    <w:semiHidden/>
    <w:rsid w:val="007132E8"/>
    <w:rPr>
      <w:vertAlign w:val="superscript"/>
    </w:rPr>
  </w:style>
  <w:style w:type="paragraph" w:customStyle="1" w:styleId="Footnote">
    <w:name w:val="Footnote"/>
    <w:basedOn w:val="Normal"/>
    <w:link w:val="FootnoteChar"/>
    <w:qFormat/>
    <w:rsid w:val="007132E8"/>
    <w:pPr>
      <w:spacing w:after="0" w:line="240" w:lineRule="auto"/>
      <w:jc w:val="both"/>
    </w:pPr>
    <w:rPr>
      <w:rFonts w:ascii="Times New Roman" w:eastAsia="Times New Roman" w:hAnsi="Times New Roman" w:cs="Times New Roman"/>
      <w:sz w:val="18"/>
      <w:szCs w:val="24"/>
      <w:lang w:val="en-GB"/>
    </w:rPr>
  </w:style>
  <w:style w:type="character" w:customStyle="1" w:styleId="FootnoteChar">
    <w:name w:val="Footnote Char"/>
    <w:link w:val="Footnote"/>
    <w:rsid w:val="007132E8"/>
    <w:rPr>
      <w:rFonts w:ascii="Times New Roman" w:eastAsia="Times New Roman" w:hAnsi="Times New Roman" w:cs="Times New Roman"/>
      <w:sz w:val="18"/>
      <w:szCs w:val="24"/>
      <w:lang w:val="en-GB"/>
    </w:rPr>
  </w:style>
  <w:style w:type="character" w:customStyle="1" w:styleId="Heading2Char">
    <w:name w:val="Heading 2 Char"/>
    <w:basedOn w:val="DefaultParagraphFont"/>
    <w:link w:val="Heading2"/>
    <w:uiPriority w:val="9"/>
    <w:semiHidden/>
    <w:rsid w:val="007132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132E8"/>
    <w:rPr>
      <w:rFonts w:asciiTheme="majorHAnsi" w:eastAsiaTheme="majorEastAsia" w:hAnsiTheme="majorHAnsi" w:cstheme="majorBidi"/>
      <w:b/>
      <w:bCs/>
      <w:i/>
      <w:iCs/>
      <w:color w:val="4F81BD" w:themeColor="accent1"/>
    </w:rPr>
  </w:style>
  <w:style w:type="character" w:styleId="Strong">
    <w:name w:val="Strong"/>
    <w:uiPriority w:val="22"/>
    <w:qFormat/>
    <w:rsid w:val="007132E8"/>
    <w:rPr>
      <w:b/>
      <w:bCs/>
    </w:rPr>
  </w:style>
  <w:style w:type="paragraph" w:customStyle="1" w:styleId="Default">
    <w:name w:val="Default"/>
    <w:rsid w:val="006A75B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E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42B"/>
  </w:style>
  <w:style w:type="paragraph" w:styleId="Footer">
    <w:name w:val="footer"/>
    <w:basedOn w:val="Normal"/>
    <w:link w:val="FooterChar"/>
    <w:uiPriority w:val="99"/>
    <w:unhideWhenUsed/>
    <w:rsid w:val="005E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42B"/>
  </w:style>
  <w:style w:type="table" w:styleId="TableGrid">
    <w:name w:val="Table Grid"/>
    <w:basedOn w:val="TableNormal"/>
    <w:uiPriority w:val="59"/>
    <w:rsid w:val="00045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4E2"/>
    <w:rPr>
      <w:rFonts w:ascii="Tahoma" w:hAnsi="Tahoma" w:cs="Tahoma"/>
      <w:sz w:val="16"/>
      <w:szCs w:val="16"/>
    </w:rPr>
  </w:style>
  <w:style w:type="paragraph" w:styleId="FootnoteText">
    <w:name w:val="footnote text"/>
    <w:basedOn w:val="Normal"/>
    <w:link w:val="FootnoteTextChar"/>
    <w:uiPriority w:val="99"/>
    <w:semiHidden/>
    <w:unhideWhenUsed/>
    <w:rsid w:val="00FE40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05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EE"/>
  </w:style>
  <w:style w:type="paragraph" w:styleId="Heading2">
    <w:name w:val="heading 2"/>
    <w:basedOn w:val="Normal"/>
    <w:next w:val="Normal"/>
    <w:link w:val="Heading2Char"/>
    <w:uiPriority w:val="9"/>
    <w:semiHidden/>
    <w:unhideWhenUsed/>
    <w:qFormat/>
    <w:rsid w:val="00713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5930EE"/>
    <w:pPr>
      <w:keepNext/>
      <w:spacing w:after="0" w:line="240" w:lineRule="auto"/>
      <w:jc w:val="both"/>
      <w:outlineLvl w:val="2"/>
    </w:pPr>
    <w:rPr>
      <w:rFonts w:ascii="Verdana" w:eastAsia="Times New Roman" w:hAnsi="Verdana" w:cs="Arial"/>
      <w:b/>
      <w:bCs/>
      <w:szCs w:val="24"/>
      <w:lang w:val="en-GB"/>
    </w:rPr>
  </w:style>
  <w:style w:type="paragraph" w:styleId="Heading4">
    <w:name w:val="heading 4"/>
    <w:basedOn w:val="Normal"/>
    <w:next w:val="Normal"/>
    <w:link w:val="Heading4Char"/>
    <w:uiPriority w:val="9"/>
    <w:unhideWhenUsed/>
    <w:qFormat/>
    <w:rsid w:val="007132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0EE"/>
    <w:pPr>
      <w:spacing w:before="96" w:after="192"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5930EE"/>
    <w:pPr>
      <w:ind w:left="720"/>
      <w:contextualSpacing/>
    </w:pPr>
  </w:style>
  <w:style w:type="paragraph" w:customStyle="1" w:styleId="Table">
    <w:name w:val="Table"/>
    <w:basedOn w:val="Normal"/>
    <w:qFormat/>
    <w:rsid w:val="005930EE"/>
    <w:pPr>
      <w:spacing w:after="0" w:line="240" w:lineRule="auto"/>
    </w:pPr>
    <w:rPr>
      <w:rFonts w:ascii="Verdana" w:eastAsia="Times New Roman" w:hAnsi="Verdana" w:cs="Times New Roman"/>
      <w:color w:val="333333"/>
      <w:sz w:val="16"/>
      <w:szCs w:val="16"/>
      <w:lang w:val="en-NZ" w:bidi="ar-DZ"/>
    </w:rPr>
  </w:style>
  <w:style w:type="character" w:customStyle="1" w:styleId="Heading3Char">
    <w:name w:val="Heading 3 Char"/>
    <w:basedOn w:val="DefaultParagraphFont"/>
    <w:link w:val="Heading3"/>
    <w:uiPriority w:val="9"/>
    <w:rsid w:val="005930EE"/>
    <w:rPr>
      <w:rFonts w:ascii="Verdana" w:eastAsia="Times New Roman" w:hAnsi="Verdana" w:cs="Arial"/>
      <w:b/>
      <w:bCs/>
      <w:szCs w:val="24"/>
      <w:lang w:val="en-GB"/>
    </w:rPr>
  </w:style>
  <w:style w:type="character" w:customStyle="1" w:styleId="ListParagraphChar">
    <w:name w:val="List Paragraph Char"/>
    <w:link w:val="ListParagraph"/>
    <w:locked/>
    <w:rsid w:val="005930EE"/>
  </w:style>
  <w:style w:type="character" w:styleId="FootnoteReference">
    <w:name w:val="footnote reference"/>
    <w:semiHidden/>
    <w:rsid w:val="007132E8"/>
    <w:rPr>
      <w:vertAlign w:val="superscript"/>
    </w:rPr>
  </w:style>
  <w:style w:type="paragraph" w:customStyle="1" w:styleId="Footnote">
    <w:name w:val="Footnote"/>
    <w:basedOn w:val="Normal"/>
    <w:link w:val="FootnoteChar"/>
    <w:qFormat/>
    <w:rsid w:val="007132E8"/>
    <w:pPr>
      <w:spacing w:after="0" w:line="240" w:lineRule="auto"/>
      <w:jc w:val="both"/>
    </w:pPr>
    <w:rPr>
      <w:rFonts w:ascii="Times New Roman" w:eastAsia="Times New Roman" w:hAnsi="Times New Roman" w:cs="Times New Roman"/>
      <w:sz w:val="18"/>
      <w:szCs w:val="24"/>
      <w:lang w:val="en-GB"/>
    </w:rPr>
  </w:style>
  <w:style w:type="character" w:customStyle="1" w:styleId="FootnoteChar">
    <w:name w:val="Footnote Char"/>
    <w:link w:val="Footnote"/>
    <w:rsid w:val="007132E8"/>
    <w:rPr>
      <w:rFonts w:ascii="Times New Roman" w:eastAsia="Times New Roman" w:hAnsi="Times New Roman" w:cs="Times New Roman"/>
      <w:sz w:val="18"/>
      <w:szCs w:val="24"/>
      <w:lang w:val="en-GB"/>
    </w:rPr>
  </w:style>
  <w:style w:type="character" w:customStyle="1" w:styleId="Heading2Char">
    <w:name w:val="Heading 2 Char"/>
    <w:basedOn w:val="DefaultParagraphFont"/>
    <w:link w:val="Heading2"/>
    <w:uiPriority w:val="9"/>
    <w:semiHidden/>
    <w:rsid w:val="007132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132E8"/>
    <w:rPr>
      <w:rFonts w:asciiTheme="majorHAnsi" w:eastAsiaTheme="majorEastAsia" w:hAnsiTheme="majorHAnsi" w:cstheme="majorBidi"/>
      <w:b/>
      <w:bCs/>
      <w:i/>
      <w:iCs/>
      <w:color w:val="4F81BD" w:themeColor="accent1"/>
    </w:rPr>
  </w:style>
  <w:style w:type="character" w:styleId="Strong">
    <w:name w:val="Strong"/>
    <w:uiPriority w:val="22"/>
    <w:qFormat/>
    <w:rsid w:val="007132E8"/>
    <w:rPr>
      <w:b/>
      <w:bCs/>
    </w:rPr>
  </w:style>
  <w:style w:type="paragraph" w:customStyle="1" w:styleId="Default">
    <w:name w:val="Default"/>
    <w:rsid w:val="006A75B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E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42B"/>
  </w:style>
  <w:style w:type="paragraph" w:styleId="Footer">
    <w:name w:val="footer"/>
    <w:basedOn w:val="Normal"/>
    <w:link w:val="FooterChar"/>
    <w:uiPriority w:val="99"/>
    <w:unhideWhenUsed/>
    <w:rsid w:val="005E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42B"/>
  </w:style>
  <w:style w:type="table" w:styleId="TableGrid">
    <w:name w:val="Table Grid"/>
    <w:basedOn w:val="TableNormal"/>
    <w:uiPriority w:val="59"/>
    <w:rsid w:val="00045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4E2"/>
    <w:rPr>
      <w:rFonts w:ascii="Tahoma" w:hAnsi="Tahoma" w:cs="Tahoma"/>
      <w:sz w:val="16"/>
      <w:szCs w:val="16"/>
    </w:rPr>
  </w:style>
  <w:style w:type="paragraph" w:styleId="FootnoteText">
    <w:name w:val="footnote text"/>
    <w:basedOn w:val="Normal"/>
    <w:link w:val="FootnoteTextChar"/>
    <w:uiPriority w:val="99"/>
    <w:semiHidden/>
    <w:unhideWhenUsed/>
    <w:rsid w:val="00FE40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0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9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3C702-793F-45BF-958E-CF4EC93A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Ahamada Andjouza</dc:creator>
  <cp:lastModifiedBy>Ahamada Andjouza</cp:lastModifiedBy>
  <cp:revision>2</cp:revision>
  <dcterms:created xsi:type="dcterms:W3CDTF">2016-10-10T07:37:00Z</dcterms:created>
  <dcterms:modified xsi:type="dcterms:W3CDTF">2016-10-10T07:37:00Z</dcterms:modified>
</cp:coreProperties>
</file>