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384" w:rsidRPr="0008178C" w:rsidRDefault="0008178C" w:rsidP="0008178C">
      <w:pPr>
        <w:jc w:val="both"/>
        <w:rPr>
          <w:rFonts w:ascii="Cambria" w:hAnsi="Cambria"/>
          <w:b/>
          <w:sz w:val="28"/>
          <w:szCs w:val="28"/>
        </w:rPr>
      </w:pPr>
      <w:r w:rsidRPr="0008178C">
        <w:rPr>
          <w:rFonts w:ascii="Cambria" w:hAnsi="Cambria"/>
          <w:b/>
          <w:sz w:val="28"/>
          <w:szCs w:val="28"/>
        </w:rPr>
        <w:t>EDUCATION ACTIVITIES IN KENYA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284"/>
        <w:gridCol w:w="1092"/>
        <w:gridCol w:w="990"/>
        <w:gridCol w:w="1134"/>
        <w:gridCol w:w="720"/>
        <w:gridCol w:w="1710"/>
        <w:gridCol w:w="1620"/>
      </w:tblGrid>
      <w:tr w:rsidR="006A4341" w:rsidRPr="006A4341" w:rsidTr="00B92C13">
        <w:tc>
          <w:tcPr>
            <w:tcW w:w="5418" w:type="dxa"/>
            <w:gridSpan w:val="5"/>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POPULATION %</w:t>
            </w:r>
          </w:p>
        </w:tc>
        <w:tc>
          <w:tcPr>
            <w:tcW w:w="720" w:type="dxa"/>
            <w:vMerge w:val="restart"/>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3330" w:type="dxa"/>
            <w:gridSpan w:val="2"/>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Budget</w:t>
            </w:r>
          </w:p>
        </w:tc>
      </w:tr>
      <w:tr w:rsidR="006A4341" w:rsidRPr="006A4341" w:rsidTr="00B92C13">
        <w:tc>
          <w:tcPr>
            <w:tcW w:w="918" w:type="dxa"/>
            <w:vMerge w:val="restart"/>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AGE</w:t>
            </w:r>
          </w:p>
        </w:tc>
        <w:tc>
          <w:tcPr>
            <w:tcW w:w="2376" w:type="dxa"/>
            <w:gridSpan w:val="2"/>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General distribution</w:t>
            </w:r>
          </w:p>
        </w:tc>
        <w:tc>
          <w:tcPr>
            <w:tcW w:w="2124" w:type="dxa"/>
            <w:gridSpan w:val="2"/>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Enrolled by cycle</w:t>
            </w:r>
          </w:p>
        </w:tc>
        <w:tc>
          <w:tcPr>
            <w:tcW w:w="720"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color w:val="000000"/>
                <w:sz w:val="20"/>
                <w:szCs w:val="20"/>
              </w:rPr>
            </w:pPr>
            <w:r w:rsidRPr="006A4341">
              <w:rPr>
                <w:rFonts w:ascii="Footlight MT Light" w:eastAsia="Times New Roman" w:hAnsi="Footlight MT Light" w:cs="Estrangelo Edessa"/>
                <w:color w:val="000000"/>
                <w:sz w:val="20"/>
                <w:szCs w:val="20"/>
              </w:rPr>
              <w:t>School cycle</w:t>
            </w:r>
          </w:p>
        </w:tc>
        <w:tc>
          <w:tcPr>
            <w:tcW w:w="162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w:t>
            </w:r>
          </w:p>
        </w:tc>
      </w:tr>
      <w:tr w:rsidR="006A4341" w:rsidRPr="006A4341" w:rsidTr="00B92C13">
        <w:trPr>
          <w:trHeight w:val="305"/>
        </w:trPr>
        <w:tc>
          <w:tcPr>
            <w:tcW w:w="918"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284" w:type="dxa"/>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M</w:t>
            </w:r>
          </w:p>
        </w:tc>
        <w:tc>
          <w:tcPr>
            <w:tcW w:w="1092" w:type="dxa"/>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F</w:t>
            </w:r>
          </w:p>
        </w:tc>
        <w:tc>
          <w:tcPr>
            <w:tcW w:w="990" w:type="dxa"/>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M</w:t>
            </w:r>
          </w:p>
        </w:tc>
        <w:tc>
          <w:tcPr>
            <w:tcW w:w="1134" w:type="dxa"/>
            <w:shd w:val="clear" w:color="auto" w:fill="auto"/>
          </w:tcPr>
          <w:p w:rsidR="006A4341" w:rsidRPr="006A4341" w:rsidRDefault="006A4341" w:rsidP="0008178C">
            <w:pPr>
              <w:spacing w:before="100" w:after="0"/>
              <w:contextualSpacing/>
              <w:jc w:val="center"/>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F</w:t>
            </w:r>
          </w:p>
        </w:tc>
        <w:tc>
          <w:tcPr>
            <w:tcW w:w="720"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color w:val="000000"/>
                <w:sz w:val="20"/>
                <w:szCs w:val="20"/>
              </w:rPr>
            </w:pPr>
          </w:p>
        </w:tc>
        <w:tc>
          <w:tcPr>
            <w:tcW w:w="162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r>
      <w:tr w:rsidR="006A4341" w:rsidRPr="006A4341" w:rsidTr="00B92C13">
        <w:trPr>
          <w:trHeight w:val="152"/>
        </w:trPr>
        <w:tc>
          <w:tcPr>
            <w:tcW w:w="918"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3</w:t>
            </w:r>
            <w:r w:rsidRPr="006A4341">
              <w:rPr>
                <w:rFonts w:ascii="Footlight MT Light" w:eastAsia="Times New Roman" w:hAnsi="Footlight MT Light" w:cs="Estrangelo Edessa"/>
                <w:b/>
                <w:color w:val="000000"/>
                <w:sz w:val="20"/>
                <w:szCs w:val="20"/>
              </w:rPr>
              <w:t>-5</w:t>
            </w:r>
          </w:p>
        </w:tc>
        <w:tc>
          <w:tcPr>
            <w:tcW w:w="128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092"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99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78</w:t>
            </w:r>
          </w:p>
        </w:tc>
        <w:tc>
          <w:tcPr>
            <w:tcW w:w="113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75</w:t>
            </w:r>
          </w:p>
        </w:tc>
        <w:tc>
          <w:tcPr>
            <w:tcW w:w="720"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color w:val="000000"/>
                <w:sz w:val="20"/>
                <w:szCs w:val="20"/>
              </w:rPr>
            </w:pPr>
            <w:r w:rsidRPr="006A4341">
              <w:rPr>
                <w:rFonts w:ascii="Footlight MT Light" w:eastAsia="Times New Roman" w:hAnsi="Footlight MT Light" w:cs="Estrangelo Edessa"/>
                <w:color w:val="000000"/>
                <w:sz w:val="20"/>
                <w:szCs w:val="20"/>
              </w:rPr>
              <w:t>Pre-primary</w:t>
            </w:r>
          </w:p>
        </w:tc>
        <w:tc>
          <w:tcPr>
            <w:tcW w:w="162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1.8</w:t>
            </w:r>
          </w:p>
        </w:tc>
      </w:tr>
      <w:tr w:rsidR="006A4341" w:rsidRPr="0008178C" w:rsidTr="00B92C13">
        <w:trPr>
          <w:trHeight w:val="314"/>
        </w:trPr>
        <w:tc>
          <w:tcPr>
            <w:tcW w:w="918"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6 - 1</w:t>
            </w:r>
            <w:r w:rsidRPr="0008178C">
              <w:rPr>
                <w:rFonts w:ascii="Footlight MT Light" w:eastAsia="Times New Roman" w:hAnsi="Footlight MT Light" w:cs="Estrangelo Edessa"/>
                <w:b/>
                <w:color w:val="000000"/>
                <w:sz w:val="20"/>
                <w:szCs w:val="20"/>
              </w:rPr>
              <w:t>3</w:t>
            </w:r>
          </w:p>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28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092"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99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105.8</w:t>
            </w:r>
          </w:p>
        </w:tc>
        <w:tc>
          <w:tcPr>
            <w:tcW w:w="113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101.5</w:t>
            </w:r>
          </w:p>
        </w:tc>
        <w:tc>
          <w:tcPr>
            <w:tcW w:w="720"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color w:val="000000"/>
                <w:sz w:val="20"/>
                <w:szCs w:val="20"/>
              </w:rPr>
            </w:pPr>
            <w:r w:rsidRPr="006A4341">
              <w:rPr>
                <w:rFonts w:ascii="Footlight MT Light" w:eastAsia="Times New Roman" w:hAnsi="Footlight MT Light" w:cs="Estrangelo Edessa"/>
                <w:color w:val="000000"/>
                <w:sz w:val="20"/>
                <w:szCs w:val="20"/>
              </w:rPr>
              <w:t>Primary</w:t>
            </w:r>
          </w:p>
        </w:tc>
        <w:tc>
          <w:tcPr>
            <w:tcW w:w="162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41.6</w:t>
            </w:r>
          </w:p>
        </w:tc>
      </w:tr>
      <w:tr w:rsidR="006A4341" w:rsidRPr="006A4341" w:rsidTr="00B92C13">
        <w:tc>
          <w:tcPr>
            <w:tcW w:w="918"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1</w:t>
            </w:r>
            <w:r w:rsidRPr="0008178C">
              <w:rPr>
                <w:rFonts w:ascii="Footlight MT Light" w:eastAsia="Times New Roman" w:hAnsi="Footlight MT Light" w:cs="Estrangelo Edessa"/>
                <w:b/>
                <w:color w:val="000000"/>
                <w:sz w:val="20"/>
                <w:szCs w:val="20"/>
              </w:rPr>
              <w:t>4</w:t>
            </w:r>
            <w:r w:rsidRPr="006A4341">
              <w:rPr>
                <w:rFonts w:ascii="Footlight MT Light" w:eastAsia="Times New Roman" w:hAnsi="Footlight MT Light" w:cs="Estrangelo Edessa"/>
                <w:b/>
                <w:color w:val="000000"/>
                <w:sz w:val="20"/>
                <w:szCs w:val="20"/>
              </w:rPr>
              <w:t>-17</w:t>
            </w:r>
          </w:p>
        </w:tc>
        <w:tc>
          <w:tcPr>
            <w:tcW w:w="128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092"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99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67.1</w:t>
            </w:r>
          </w:p>
        </w:tc>
        <w:tc>
          <w:tcPr>
            <w:tcW w:w="1134"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59.6</w:t>
            </w:r>
          </w:p>
        </w:tc>
        <w:tc>
          <w:tcPr>
            <w:tcW w:w="720" w:type="dxa"/>
            <w:vMerge/>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color w:val="000000"/>
                <w:sz w:val="20"/>
                <w:szCs w:val="20"/>
              </w:rPr>
            </w:pPr>
            <w:r w:rsidRPr="006A4341">
              <w:rPr>
                <w:rFonts w:ascii="Footlight MT Light" w:eastAsia="Times New Roman" w:hAnsi="Footlight MT Light" w:cs="Estrangelo Edessa"/>
                <w:color w:val="000000"/>
                <w:sz w:val="20"/>
                <w:szCs w:val="20"/>
              </w:rPr>
              <w:t>Secondary</w:t>
            </w:r>
          </w:p>
        </w:tc>
        <w:tc>
          <w:tcPr>
            <w:tcW w:w="1620" w:type="dxa"/>
            <w:shd w:val="clear" w:color="auto" w:fill="auto"/>
          </w:tcPr>
          <w:p w:rsidR="006A4341" w:rsidRPr="006A4341" w:rsidRDefault="006A4341"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50.6</w:t>
            </w:r>
          </w:p>
        </w:tc>
      </w:tr>
      <w:tr w:rsidR="0008178C" w:rsidRPr="006A4341" w:rsidTr="00B92C13">
        <w:trPr>
          <w:trHeight w:val="251"/>
        </w:trPr>
        <w:tc>
          <w:tcPr>
            <w:tcW w:w="918"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r w:rsidRPr="006A4341">
              <w:rPr>
                <w:rFonts w:ascii="Footlight MT Light" w:eastAsia="Times New Roman" w:hAnsi="Footlight MT Light" w:cs="Estrangelo Edessa"/>
                <w:b/>
                <w:color w:val="000000"/>
                <w:sz w:val="20"/>
                <w:szCs w:val="20"/>
              </w:rPr>
              <w:t>18-35</w:t>
            </w:r>
          </w:p>
        </w:tc>
        <w:tc>
          <w:tcPr>
            <w:tcW w:w="1284"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p>
        </w:tc>
        <w:tc>
          <w:tcPr>
            <w:tcW w:w="1092"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p>
        </w:tc>
        <w:tc>
          <w:tcPr>
            <w:tcW w:w="990"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p>
        </w:tc>
        <w:tc>
          <w:tcPr>
            <w:tcW w:w="1134"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p>
        </w:tc>
        <w:tc>
          <w:tcPr>
            <w:tcW w:w="720" w:type="dxa"/>
            <w:vMerge/>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color w:val="000000"/>
                <w:sz w:val="20"/>
                <w:szCs w:val="20"/>
              </w:rPr>
            </w:pPr>
            <w:r w:rsidRPr="006A4341">
              <w:rPr>
                <w:rFonts w:ascii="Footlight MT Light" w:eastAsia="Times New Roman" w:hAnsi="Footlight MT Light" w:cs="Estrangelo Edessa"/>
                <w:color w:val="000000"/>
                <w:sz w:val="20"/>
                <w:szCs w:val="20"/>
              </w:rPr>
              <w:t xml:space="preserve">TVET </w:t>
            </w:r>
          </w:p>
        </w:tc>
        <w:tc>
          <w:tcPr>
            <w:tcW w:w="1620" w:type="dxa"/>
            <w:shd w:val="clear" w:color="auto" w:fill="auto"/>
          </w:tcPr>
          <w:p w:rsidR="0008178C" w:rsidRPr="006A4341" w:rsidRDefault="0008178C"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5.1</w:t>
            </w:r>
          </w:p>
        </w:tc>
      </w:tr>
      <w:tr w:rsidR="005077E7" w:rsidRPr="0008178C" w:rsidTr="00B92C13">
        <w:trPr>
          <w:trHeight w:val="233"/>
        </w:trPr>
        <w:tc>
          <w:tcPr>
            <w:tcW w:w="918"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18-35</w:t>
            </w:r>
          </w:p>
        </w:tc>
        <w:tc>
          <w:tcPr>
            <w:tcW w:w="1284"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p>
        </w:tc>
        <w:tc>
          <w:tcPr>
            <w:tcW w:w="1092"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p>
        </w:tc>
        <w:tc>
          <w:tcPr>
            <w:tcW w:w="990"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p>
        </w:tc>
        <w:tc>
          <w:tcPr>
            <w:tcW w:w="1134"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p>
        </w:tc>
        <w:tc>
          <w:tcPr>
            <w:tcW w:w="720" w:type="dxa"/>
            <w:vMerge/>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p>
        </w:tc>
        <w:tc>
          <w:tcPr>
            <w:tcW w:w="1710"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color w:val="000000"/>
                <w:sz w:val="20"/>
                <w:szCs w:val="20"/>
              </w:rPr>
            </w:pPr>
            <w:smartTag w:uri="urn:schemas-microsoft-com:office:smarttags" w:element="stockticker">
              <w:r w:rsidRPr="006A4341">
                <w:rPr>
                  <w:rFonts w:ascii="Footlight MT Light" w:eastAsia="Times New Roman" w:hAnsi="Footlight MT Light" w:cs="Estrangelo Edessa"/>
                  <w:color w:val="000000"/>
                  <w:sz w:val="20"/>
                  <w:szCs w:val="20"/>
                </w:rPr>
                <w:t>STI</w:t>
              </w:r>
            </w:smartTag>
            <w:r w:rsidRPr="0008178C">
              <w:rPr>
                <w:rFonts w:ascii="Footlight MT Light" w:eastAsia="Times New Roman" w:hAnsi="Footlight MT Light" w:cs="Estrangelo Edessa"/>
                <w:color w:val="000000"/>
                <w:sz w:val="20"/>
                <w:szCs w:val="20"/>
              </w:rPr>
              <w:t>+Higher</w:t>
            </w:r>
          </w:p>
        </w:tc>
        <w:tc>
          <w:tcPr>
            <w:tcW w:w="1620" w:type="dxa"/>
            <w:shd w:val="clear" w:color="auto" w:fill="auto"/>
          </w:tcPr>
          <w:p w:rsidR="005077E7" w:rsidRPr="006A4341" w:rsidRDefault="005077E7" w:rsidP="0008178C">
            <w:pPr>
              <w:spacing w:before="100" w:after="0"/>
              <w:contextualSpacing/>
              <w:rPr>
                <w:rFonts w:ascii="Footlight MT Light" w:eastAsia="Times New Roman" w:hAnsi="Footlight MT Light" w:cs="Estrangelo Edessa"/>
                <w:b/>
                <w:color w:val="000000"/>
                <w:sz w:val="20"/>
                <w:szCs w:val="20"/>
              </w:rPr>
            </w:pPr>
            <w:r w:rsidRPr="0008178C">
              <w:rPr>
                <w:rFonts w:ascii="Footlight MT Light" w:eastAsia="Times New Roman" w:hAnsi="Footlight MT Light" w:cs="Estrangelo Edessa"/>
                <w:b/>
                <w:color w:val="000000"/>
                <w:sz w:val="20"/>
                <w:szCs w:val="20"/>
              </w:rPr>
              <w:t>14.8</w:t>
            </w:r>
          </w:p>
        </w:tc>
      </w:tr>
    </w:tbl>
    <w:p w:rsidR="009A7384" w:rsidRPr="00B92C13" w:rsidRDefault="005077E7" w:rsidP="0008178C">
      <w:pPr>
        <w:jc w:val="both"/>
        <w:rPr>
          <w:rFonts w:ascii="Cambria" w:hAnsi="Cambria"/>
          <w:b/>
          <w:sz w:val="28"/>
          <w:szCs w:val="28"/>
        </w:rPr>
      </w:pPr>
      <w:r w:rsidRPr="00B92C13">
        <w:rPr>
          <w:rFonts w:ascii="Cambria" w:hAnsi="Cambria"/>
          <w:b/>
          <w:sz w:val="28"/>
          <w:szCs w:val="28"/>
        </w:rPr>
        <w:t>Obtained from Kenya National Bureau of Statistics 2015/2016</w:t>
      </w:r>
    </w:p>
    <w:p w:rsidR="009A7384" w:rsidRPr="0008178C" w:rsidRDefault="009A7384" w:rsidP="0008178C">
      <w:pPr>
        <w:jc w:val="both"/>
        <w:rPr>
          <w:rFonts w:ascii="Times New Roman" w:hAnsi="Times New Roman"/>
          <w:sz w:val="24"/>
          <w:szCs w:val="24"/>
        </w:rPr>
      </w:pPr>
      <w:r w:rsidRPr="0008178C">
        <w:rPr>
          <w:rFonts w:ascii="Times New Roman" w:hAnsi="Times New Roman"/>
          <w:sz w:val="24"/>
          <w:szCs w:val="24"/>
        </w:rPr>
        <w:t>The Ministry of Education</w:t>
      </w:r>
      <w:r w:rsidR="006A4341" w:rsidRPr="0008178C">
        <w:rPr>
          <w:rFonts w:ascii="Times New Roman" w:hAnsi="Times New Roman"/>
          <w:sz w:val="24"/>
          <w:szCs w:val="24"/>
        </w:rPr>
        <w:t xml:space="preserve"> </w:t>
      </w:r>
      <w:r w:rsidRPr="0008178C">
        <w:rPr>
          <w:rFonts w:ascii="Times New Roman" w:hAnsi="Times New Roman"/>
          <w:sz w:val="24"/>
          <w:szCs w:val="24"/>
        </w:rPr>
        <w:t xml:space="preserve">(MOE) places education at the </w:t>
      </w:r>
      <w:r w:rsidR="006A4341" w:rsidRPr="0008178C">
        <w:rPr>
          <w:rFonts w:ascii="Times New Roman" w:hAnsi="Times New Roman"/>
          <w:sz w:val="24"/>
          <w:szCs w:val="24"/>
        </w:rPr>
        <w:t>Centre</w:t>
      </w:r>
      <w:r w:rsidRPr="0008178C">
        <w:rPr>
          <w:rFonts w:ascii="Times New Roman" w:hAnsi="Times New Roman"/>
          <w:sz w:val="24"/>
          <w:szCs w:val="24"/>
        </w:rPr>
        <w:t xml:space="preserve"> stage of the country’s human and economic development strategies.  As such, education in Kenya aims at providing globally competitive, quality education</w:t>
      </w:r>
      <w:r w:rsidR="006A4341" w:rsidRPr="0008178C">
        <w:rPr>
          <w:rFonts w:ascii="Times New Roman" w:hAnsi="Times New Roman"/>
          <w:sz w:val="24"/>
          <w:szCs w:val="24"/>
        </w:rPr>
        <w:t xml:space="preserve"> and</w:t>
      </w:r>
      <w:r w:rsidRPr="0008178C">
        <w:rPr>
          <w:rFonts w:ascii="Times New Roman" w:hAnsi="Times New Roman"/>
          <w:sz w:val="24"/>
          <w:szCs w:val="24"/>
        </w:rPr>
        <w:t xml:space="preserve"> training.</w:t>
      </w:r>
    </w:p>
    <w:p w:rsidR="009A7384" w:rsidRPr="0008178C" w:rsidRDefault="009A7384" w:rsidP="0008178C">
      <w:pPr>
        <w:jc w:val="both"/>
        <w:rPr>
          <w:rFonts w:ascii="Times New Roman" w:hAnsi="Times New Roman"/>
          <w:sz w:val="24"/>
          <w:szCs w:val="24"/>
        </w:rPr>
      </w:pPr>
      <w:r w:rsidRPr="0008178C">
        <w:rPr>
          <w:rFonts w:ascii="Times New Roman" w:hAnsi="Times New Roman"/>
          <w:sz w:val="24"/>
          <w:szCs w:val="24"/>
        </w:rPr>
        <w:t xml:space="preserve">The Ministry is committed to provision of education and training that equips learners with desired values, attitudes, knowledge, skills and competencies. Information on the status of education in Kenya cannot be overemphasized. </w:t>
      </w:r>
    </w:p>
    <w:p w:rsidR="009A7384" w:rsidRPr="0008178C" w:rsidRDefault="009A7384" w:rsidP="0008178C">
      <w:pPr>
        <w:tabs>
          <w:tab w:val="left" w:pos="9000"/>
        </w:tabs>
        <w:jc w:val="both"/>
        <w:rPr>
          <w:rFonts w:ascii="Times New Roman" w:hAnsi="Times New Roman"/>
          <w:sz w:val="24"/>
          <w:szCs w:val="24"/>
        </w:rPr>
      </w:pPr>
      <w:r w:rsidRPr="0008178C">
        <w:rPr>
          <w:rFonts w:ascii="Times New Roman" w:hAnsi="Times New Roman"/>
          <w:sz w:val="24"/>
          <w:szCs w:val="24"/>
        </w:rPr>
        <w:t xml:space="preserve">Currently, there   is a special focus on expansion of TVET institutions and ICT integration in education to ensure the youth </w:t>
      </w:r>
      <w:r w:rsidR="005077E7" w:rsidRPr="0008178C">
        <w:rPr>
          <w:rFonts w:ascii="Times New Roman" w:hAnsi="Times New Roman"/>
          <w:sz w:val="24"/>
          <w:szCs w:val="24"/>
        </w:rPr>
        <w:t>in Kenya</w:t>
      </w:r>
      <w:r w:rsidRPr="0008178C">
        <w:rPr>
          <w:rFonts w:ascii="Times New Roman" w:hAnsi="Times New Roman"/>
          <w:sz w:val="24"/>
          <w:szCs w:val="24"/>
        </w:rPr>
        <w:t xml:space="preserve"> are adequately prepared to fit in the global market. In addition efforts are under way to develop a competency based curriculum that provides for acquisition of skills relevant to the individual and the society.</w:t>
      </w:r>
    </w:p>
    <w:tbl>
      <w:tblPr>
        <w:tblStyle w:val="TableGrid"/>
        <w:tblW w:w="0" w:type="auto"/>
        <w:tblLook w:val="04A0" w:firstRow="1" w:lastRow="0" w:firstColumn="1" w:lastColumn="0" w:noHBand="0" w:noVBand="1"/>
      </w:tblPr>
      <w:tblGrid>
        <w:gridCol w:w="1915"/>
        <w:gridCol w:w="1915"/>
        <w:gridCol w:w="1915"/>
        <w:gridCol w:w="1915"/>
        <w:gridCol w:w="1916"/>
      </w:tblGrid>
      <w:tr w:rsidR="0024222E" w:rsidRPr="0008178C" w:rsidTr="0024222E">
        <w:tc>
          <w:tcPr>
            <w:tcW w:w="1915"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Age</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Cluster</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Male</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Female</w:t>
            </w:r>
          </w:p>
        </w:tc>
        <w:tc>
          <w:tcPr>
            <w:tcW w:w="1916"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TOTAL</w:t>
            </w:r>
          </w:p>
        </w:tc>
      </w:tr>
      <w:tr w:rsidR="0024222E" w:rsidRPr="0008178C" w:rsidTr="0024222E">
        <w:tc>
          <w:tcPr>
            <w:tcW w:w="1915"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3-5</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ECDE</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2059829</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2080962</w:t>
            </w:r>
          </w:p>
        </w:tc>
        <w:tc>
          <w:tcPr>
            <w:tcW w:w="1916"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4,140</w:t>
            </w:r>
            <w:r w:rsidR="00B92C13">
              <w:rPr>
                <w:rFonts w:ascii="Times New Roman" w:hAnsi="Times New Roman"/>
                <w:b/>
                <w:sz w:val="24"/>
                <w:szCs w:val="24"/>
              </w:rPr>
              <w:t>,</w:t>
            </w:r>
            <w:r w:rsidRPr="0008178C">
              <w:rPr>
                <w:rFonts w:ascii="Times New Roman" w:hAnsi="Times New Roman"/>
                <w:b/>
                <w:sz w:val="24"/>
                <w:szCs w:val="24"/>
              </w:rPr>
              <w:t>791</w:t>
            </w:r>
          </w:p>
        </w:tc>
      </w:tr>
      <w:tr w:rsidR="0024222E" w:rsidRPr="0008178C" w:rsidTr="0024222E">
        <w:tc>
          <w:tcPr>
            <w:tcW w:w="1915"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6-13</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Primary</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4844431</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4891785</w:t>
            </w:r>
          </w:p>
        </w:tc>
        <w:tc>
          <w:tcPr>
            <w:tcW w:w="1916"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9,736</w:t>
            </w:r>
            <w:r w:rsidR="00B92C13">
              <w:rPr>
                <w:rFonts w:ascii="Times New Roman" w:hAnsi="Times New Roman"/>
                <w:b/>
                <w:sz w:val="24"/>
                <w:szCs w:val="24"/>
              </w:rPr>
              <w:t>,</w:t>
            </w:r>
            <w:r w:rsidRPr="0008178C">
              <w:rPr>
                <w:rFonts w:ascii="Times New Roman" w:hAnsi="Times New Roman"/>
                <w:b/>
                <w:sz w:val="24"/>
                <w:szCs w:val="24"/>
              </w:rPr>
              <w:t>216</w:t>
            </w:r>
          </w:p>
        </w:tc>
      </w:tr>
      <w:tr w:rsidR="0024222E" w:rsidRPr="0008178C" w:rsidTr="0024222E">
        <w:tc>
          <w:tcPr>
            <w:tcW w:w="1915"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14-17</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Secondary</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2009698</w:t>
            </w:r>
          </w:p>
        </w:tc>
        <w:tc>
          <w:tcPr>
            <w:tcW w:w="1915" w:type="dxa"/>
          </w:tcPr>
          <w:p w:rsidR="0024222E" w:rsidRPr="0008178C" w:rsidRDefault="0024222E" w:rsidP="0008178C">
            <w:pPr>
              <w:tabs>
                <w:tab w:val="left" w:pos="9000"/>
              </w:tabs>
              <w:spacing w:line="276" w:lineRule="auto"/>
              <w:jc w:val="both"/>
              <w:rPr>
                <w:rFonts w:ascii="Times New Roman" w:hAnsi="Times New Roman"/>
                <w:sz w:val="24"/>
                <w:szCs w:val="24"/>
              </w:rPr>
            </w:pPr>
            <w:r w:rsidRPr="0008178C">
              <w:rPr>
                <w:rFonts w:ascii="Times New Roman" w:hAnsi="Times New Roman"/>
                <w:sz w:val="24"/>
                <w:szCs w:val="24"/>
              </w:rPr>
              <w:t>2030808</w:t>
            </w:r>
          </w:p>
        </w:tc>
        <w:tc>
          <w:tcPr>
            <w:tcW w:w="1916" w:type="dxa"/>
          </w:tcPr>
          <w:p w:rsidR="0024222E" w:rsidRPr="0008178C" w:rsidRDefault="0024222E" w:rsidP="0008178C">
            <w:pPr>
              <w:tabs>
                <w:tab w:val="left" w:pos="9000"/>
              </w:tabs>
              <w:spacing w:line="276" w:lineRule="auto"/>
              <w:jc w:val="both"/>
              <w:rPr>
                <w:rFonts w:ascii="Times New Roman" w:hAnsi="Times New Roman"/>
                <w:b/>
                <w:sz w:val="24"/>
                <w:szCs w:val="24"/>
              </w:rPr>
            </w:pPr>
            <w:r w:rsidRPr="0008178C">
              <w:rPr>
                <w:rFonts w:ascii="Times New Roman" w:hAnsi="Times New Roman"/>
                <w:b/>
                <w:sz w:val="24"/>
                <w:szCs w:val="24"/>
              </w:rPr>
              <w:t>4</w:t>
            </w:r>
            <w:r w:rsidR="00B92C13">
              <w:rPr>
                <w:rFonts w:ascii="Times New Roman" w:hAnsi="Times New Roman"/>
                <w:b/>
                <w:sz w:val="24"/>
                <w:szCs w:val="24"/>
              </w:rPr>
              <w:t>,</w:t>
            </w:r>
            <w:r w:rsidRPr="0008178C">
              <w:rPr>
                <w:rFonts w:ascii="Times New Roman" w:hAnsi="Times New Roman"/>
                <w:b/>
                <w:sz w:val="24"/>
                <w:szCs w:val="24"/>
              </w:rPr>
              <w:t>040</w:t>
            </w:r>
            <w:r w:rsidR="00B92C13">
              <w:rPr>
                <w:rFonts w:ascii="Times New Roman" w:hAnsi="Times New Roman"/>
                <w:b/>
                <w:sz w:val="24"/>
                <w:szCs w:val="24"/>
              </w:rPr>
              <w:t>,</w:t>
            </w:r>
            <w:r w:rsidRPr="0008178C">
              <w:rPr>
                <w:rFonts w:ascii="Times New Roman" w:hAnsi="Times New Roman"/>
                <w:b/>
                <w:sz w:val="24"/>
                <w:szCs w:val="24"/>
              </w:rPr>
              <w:t>506</w:t>
            </w:r>
          </w:p>
        </w:tc>
      </w:tr>
      <w:tr w:rsidR="00ED0D6D" w:rsidRPr="0008178C" w:rsidTr="0024222E">
        <w:tc>
          <w:tcPr>
            <w:tcW w:w="1915" w:type="dxa"/>
          </w:tcPr>
          <w:p w:rsidR="00ED0D6D" w:rsidRPr="0008178C" w:rsidRDefault="00B92C13" w:rsidP="0008178C">
            <w:pPr>
              <w:tabs>
                <w:tab w:val="left" w:pos="9000"/>
              </w:tabs>
              <w:spacing w:line="276" w:lineRule="auto"/>
              <w:jc w:val="both"/>
              <w:rPr>
                <w:rFonts w:ascii="Times New Roman" w:hAnsi="Times New Roman"/>
                <w:b/>
                <w:sz w:val="24"/>
                <w:szCs w:val="24"/>
              </w:rPr>
            </w:pPr>
            <w:r>
              <w:rPr>
                <w:rFonts w:ascii="Times New Roman" w:hAnsi="Times New Roman"/>
                <w:b/>
                <w:sz w:val="24"/>
                <w:szCs w:val="24"/>
              </w:rPr>
              <w:t>TOTAL</w:t>
            </w:r>
          </w:p>
        </w:tc>
        <w:tc>
          <w:tcPr>
            <w:tcW w:w="1915" w:type="dxa"/>
          </w:tcPr>
          <w:p w:rsidR="00ED0D6D" w:rsidRPr="0008178C" w:rsidRDefault="00ED0D6D" w:rsidP="0008178C">
            <w:pPr>
              <w:tabs>
                <w:tab w:val="left" w:pos="9000"/>
              </w:tabs>
              <w:spacing w:line="276" w:lineRule="auto"/>
              <w:jc w:val="both"/>
              <w:rPr>
                <w:rFonts w:ascii="Times New Roman" w:hAnsi="Times New Roman"/>
                <w:sz w:val="24"/>
                <w:szCs w:val="24"/>
              </w:rPr>
            </w:pPr>
          </w:p>
        </w:tc>
        <w:tc>
          <w:tcPr>
            <w:tcW w:w="1915" w:type="dxa"/>
          </w:tcPr>
          <w:p w:rsidR="00ED0D6D" w:rsidRPr="0008178C" w:rsidRDefault="00ED0D6D" w:rsidP="0008178C">
            <w:pPr>
              <w:tabs>
                <w:tab w:val="left" w:pos="9000"/>
              </w:tabs>
              <w:spacing w:line="276" w:lineRule="auto"/>
              <w:jc w:val="both"/>
              <w:rPr>
                <w:rFonts w:ascii="Times New Roman" w:hAnsi="Times New Roman"/>
                <w:sz w:val="24"/>
                <w:szCs w:val="24"/>
              </w:rPr>
            </w:pPr>
          </w:p>
        </w:tc>
        <w:tc>
          <w:tcPr>
            <w:tcW w:w="1915" w:type="dxa"/>
          </w:tcPr>
          <w:p w:rsidR="00ED0D6D" w:rsidRPr="0008178C" w:rsidRDefault="00ED0D6D" w:rsidP="0008178C">
            <w:pPr>
              <w:tabs>
                <w:tab w:val="left" w:pos="9000"/>
              </w:tabs>
              <w:spacing w:line="276" w:lineRule="auto"/>
              <w:jc w:val="both"/>
              <w:rPr>
                <w:rFonts w:ascii="Times New Roman" w:hAnsi="Times New Roman"/>
                <w:sz w:val="24"/>
                <w:szCs w:val="24"/>
              </w:rPr>
            </w:pPr>
          </w:p>
        </w:tc>
        <w:tc>
          <w:tcPr>
            <w:tcW w:w="1916" w:type="dxa"/>
          </w:tcPr>
          <w:p w:rsidR="00ED0D6D" w:rsidRPr="0008178C" w:rsidRDefault="00B92C13" w:rsidP="0008178C">
            <w:pPr>
              <w:tabs>
                <w:tab w:val="left" w:pos="9000"/>
              </w:tabs>
              <w:spacing w:line="276" w:lineRule="auto"/>
              <w:jc w:val="both"/>
              <w:rPr>
                <w:rFonts w:ascii="Times New Roman" w:hAnsi="Times New Roman"/>
                <w:b/>
                <w:sz w:val="24"/>
                <w:szCs w:val="24"/>
              </w:rPr>
            </w:pPr>
            <w:r>
              <w:rPr>
                <w:rFonts w:ascii="Times New Roman" w:hAnsi="Times New Roman"/>
                <w:b/>
                <w:sz w:val="24"/>
                <w:szCs w:val="24"/>
              </w:rPr>
              <w:t>17,917,513</w:t>
            </w:r>
          </w:p>
        </w:tc>
      </w:tr>
    </w:tbl>
    <w:p w:rsidR="005077E7" w:rsidRPr="0008178C" w:rsidRDefault="00307199" w:rsidP="0008178C">
      <w:pPr>
        <w:tabs>
          <w:tab w:val="left" w:pos="9000"/>
        </w:tabs>
        <w:jc w:val="both"/>
        <w:rPr>
          <w:rFonts w:ascii="Times New Roman" w:hAnsi="Times New Roman"/>
          <w:b/>
          <w:sz w:val="24"/>
          <w:szCs w:val="24"/>
        </w:rPr>
      </w:pPr>
      <w:r w:rsidRPr="0008178C">
        <w:rPr>
          <w:rFonts w:ascii="Times New Roman" w:hAnsi="Times New Roman"/>
          <w:b/>
          <w:sz w:val="24"/>
          <w:szCs w:val="24"/>
        </w:rPr>
        <w:t>Absolute Population</w:t>
      </w:r>
      <w:r w:rsidR="00ED0D6D" w:rsidRPr="0008178C">
        <w:rPr>
          <w:rFonts w:ascii="Times New Roman" w:hAnsi="Times New Roman"/>
          <w:b/>
          <w:sz w:val="24"/>
          <w:szCs w:val="24"/>
        </w:rPr>
        <w:t xml:space="preserve"> (2015 </w:t>
      </w:r>
      <w:r w:rsidRPr="0008178C">
        <w:rPr>
          <w:rFonts w:ascii="Times New Roman" w:hAnsi="Times New Roman"/>
          <w:b/>
          <w:sz w:val="24"/>
          <w:szCs w:val="24"/>
        </w:rPr>
        <w:t>projection:</w:t>
      </w:r>
      <w:r w:rsidR="00ED0D6D" w:rsidRPr="0008178C">
        <w:rPr>
          <w:rFonts w:ascii="Times New Roman" w:hAnsi="Times New Roman"/>
          <w:b/>
          <w:sz w:val="24"/>
          <w:szCs w:val="24"/>
        </w:rPr>
        <w:t xml:space="preserve"> KNBS</w:t>
      </w:r>
    </w:p>
    <w:p w:rsidR="000F54C0" w:rsidRPr="0008178C" w:rsidRDefault="000F54C0" w:rsidP="0008178C">
      <w:pPr>
        <w:tabs>
          <w:tab w:val="left" w:pos="9000"/>
        </w:tabs>
        <w:jc w:val="both"/>
        <w:rPr>
          <w:rFonts w:ascii="Times New Roman" w:hAnsi="Times New Roman"/>
          <w:b/>
          <w:sz w:val="24"/>
          <w:szCs w:val="24"/>
        </w:rPr>
      </w:pPr>
      <w:r w:rsidRPr="0008178C">
        <w:rPr>
          <w:rFonts w:ascii="Times New Roman" w:hAnsi="Times New Roman"/>
          <w:b/>
          <w:sz w:val="24"/>
          <w:szCs w:val="24"/>
        </w:rPr>
        <w:t>Early Childhood Development Education</w:t>
      </w:r>
      <w:r w:rsidR="00307199" w:rsidRPr="0008178C">
        <w:rPr>
          <w:rFonts w:ascii="Times New Roman" w:hAnsi="Times New Roman"/>
          <w:b/>
          <w:sz w:val="24"/>
          <w:szCs w:val="24"/>
        </w:rPr>
        <w:t xml:space="preserve"> (ECDE)</w:t>
      </w:r>
    </w:p>
    <w:p w:rsidR="000F54C0" w:rsidRPr="0008178C" w:rsidRDefault="000F54C0" w:rsidP="0008178C">
      <w:pPr>
        <w:tabs>
          <w:tab w:val="left" w:pos="9000"/>
        </w:tabs>
        <w:jc w:val="both"/>
        <w:rPr>
          <w:rFonts w:ascii="Times New Roman" w:hAnsi="Times New Roman"/>
          <w:color w:val="000000"/>
          <w:sz w:val="24"/>
          <w:szCs w:val="24"/>
        </w:rPr>
      </w:pPr>
      <w:r w:rsidRPr="0008178C">
        <w:rPr>
          <w:rFonts w:ascii="Times New Roman" w:hAnsi="Times New Roman"/>
          <w:color w:val="000000"/>
          <w:sz w:val="24"/>
          <w:szCs w:val="24"/>
        </w:rPr>
        <w:t>There has been a remarkable achievement in the ECDE sub-sector over the last five years under KESSP (2005-2010). Access rate increased from a GER of 35% in 2003 to 63% in 2014.  ECDE is a devolved function and Counties have embarked on its implementation by hiring of teachers and putting up of infrastructure among others. A National Policy Framework and Service Standards Guidelines   are being developed in line with the new constitution</w:t>
      </w:r>
    </w:p>
    <w:p w:rsidR="00307199" w:rsidRPr="0008178C" w:rsidRDefault="00307199" w:rsidP="0008178C">
      <w:pPr>
        <w:spacing w:after="160"/>
        <w:contextualSpacing/>
        <w:jc w:val="both"/>
        <w:rPr>
          <w:rFonts w:ascii="Times New Roman" w:eastAsia="Times New Roman" w:hAnsi="Times New Roman"/>
          <w:b/>
          <w:color w:val="000000"/>
          <w:sz w:val="24"/>
          <w:szCs w:val="24"/>
        </w:rPr>
      </w:pPr>
      <w:r w:rsidRPr="0008178C">
        <w:rPr>
          <w:rFonts w:ascii="Times New Roman" w:eastAsia="Times New Roman" w:hAnsi="Times New Roman"/>
          <w:b/>
          <w:color w:val="000000"/>
          <w:sz w:val="24"/>
          <w:szCs w:val="24"/>
        </w:rPr>
        <w:t xml:space="preserve">Primary </w:t>
      </w:r>
      <w:r w:rsidRPr="0008178C">
        <w:rPr>
          <w:rFonts w:ascii="Times New Roman" w:eastAsia="Times New Roman" w:hAnsi="Times New Roman"/>
          <w:b/>
          <w:sz w:val="24"/>
          <w:szCs w:val="24"/>
        </w:rPr>
        <w:t>Education</w:t>
      </w:r>
    </w:p>
    <w:p w:rsidR="000F54C0" w:rsidRPr="000F54C0" w:rsidRDefault="000F54C0" w:rsidP="0008178C">
      <w:pPr>
        <w:spacing w:after="160"/>
        <w:contextualSpacing/>
        <w:jc w:val="both"/>
        <w:rPr>
          <w:rFonts w:ascii="Times New Roman" w:eastAsia="Times New Roman" w:hAnsi="Times New Roman"/>
          <w:color w:val="000000"/>
          <w:sz w:val="24"/>
          <w:szCs w:val="24"/>
        </w:rPr>
      </w:pPr>
      <w:r w:rsidRPr="000F54C0">
        <w:rPr>
          <w:rFonts w:ascii="Times New Roman" w:eastAsia="Times New Roman" w:hAnsi="Times New Roman"/>
          <w:color w:val="000000"/>
          <w:sz w:val="24"/>
          <w:szCs w:val="24"/>
        </w:rPr>
        <w:t>Since the introduction of the Free Primary Education (FPE) Programme in January 2003, enrolment increased from 5.9 million in 2003 to 9,950,746 million in 201</w:t>
      </w:r>
      <w:r w:rsidR="002567E7" w:rsidRPr="0008178C">
        <w:rPr>
          <w:rFonts w:ascii="Times New Roman" w:eastAsia="Times New Roman" w:hAnsi="Times New Roman"/>
          <w:color w:val="000000"/>
          <w:sz w:val="24"/>
          <w:szCs w:val="24"/>
        </w:rPr>
        <w:t>6</w:t>
      </w:r>
      <w:r w:rsidRPr="000F54C0">
        <w:rPr>
          <w:rFonts w:ascii="Times New Roman" w:eastAsia="Times New Roman" w:hAnsi="Times New Roman"/>
          <w:color w:val="000000"/>
          <w:sz w:val="24"/>
          <w:szCs w:val="24"/>
        </w:rPr>
        <w:t xml:space="preserve">. </w:t>
      </w:r>
      <w:r w:rsidR="00307199" w:rsidRPr="0008178C">
        <w:rPr>
          <w:rFonts w:ascii="Times New Roman" w:eastAsia="Times New Roman" w:hAnsi="Times New Roman"/>
          <w:color w:val="000000"/>
          <w:sz w:val="24"/>
          <w:szCs w:val="24"/>
        </w:rPr>
        <w:t xml:space="preserve">There were </w:t>
      </w:r>
      <w:r w:rsidR="00307199" w:rsidRPr="0008178C">
        <w:rPr>
          <w:rFonts w:ascii="Times New Roman" w:hAnsi="Times New Roman"/>
          <w:sz w:val="24"/>
          <w:szCs w:val="24"/>
        </w:rPr>
        <w:t>4</w:t>
      </w:r>
      <w:r w:rsidR="003D4A58" w:rsidRPr="0008178C">
        <w:rPr>
          <w:rFonts w:ascii="Times New Roman" w:hAnsi="Times New Roman"/>
          <w:sz w:val="24"/>
          <w:szCs w:val="24"/>
        </w:rPr>
        <w:t>,</w:t>
      </w:r>
      <w:r w:rsidR="00307199" w:rsidRPr="0008178C">
        <w:rPr>
          <w:rFonts w:ascii="Times New Roman" w:hAnsi="Times New Roman"/>
          <w:sz w:val="24"/>
          <w:szCs w:val="24"/>
        </w:rPr>
        <w:t>844</w:t>
      </w:r>
      <w:r w:rsidR="003D4A58" w:rsidRPr="0008178C">
        <w:rPr>
          <w:rFonts w:ascii="Times New Roman" w:hAnsi="Times New Roman"/>
          <w:sz w:val="24"/>
          <w:szCs w:val="24"/>
        </w:rPr>
        <w:t>,</w:t>
      </w:r>
      <w:r w:rsidR="00307199" w:rsidRPr="0008178C">
        <w:rPr>
          <w:rFonts w:ascii="Times New Roman" w:hAnsi="Times New Roman"/>
          <w:sz w:val="24"/>
          <w:szCs w:val="24"/>
        </w:rPr>
        <w:t>431 girls and 5</w:t>
      </w:r>
      <w:r w:rsidR="003D4A58" w:rsidRPr="0008178C">
        <w:rPr>
          <w:rFonts w:ascii="Times New Roman" w:hAnsi="Times New Roman"/>
          <w:sz w:val="24"/>
          <w:szCs w:val="24"/>
        </w:rPr>
        <w:t>,</w:t>
      </w:r>
      <w:r w:rsidR="00307199" w:rsidRPr="0008178C">
        <w:rPr>
          <w:rFonts w:ascii="Times New Roman" w:hAnsi="Times New Roman"/>
          <w:sz w:val="24"/>
          <w:szCs w:val="24"/>
        </w:rPr>
        <w:t>106</w:t>
      </w:r>
      <w:r w:rsidR="003D4A58" w:rsidRPr="0008178C">
        <w:rPr>
          <w:rFonts w:ascii="Times New Roman" w:hAnsi="Times New Roman"/>
          <w:sz w:val="24"/>
          <w:szCs w:val="24"/>
        </w:rPr>
        <w:t>,</w:t>
      </w:r>
      <w:r w:rsidR="00307199" w:rsidRPr="0008178C">
        <w:rPr>
          <w:rFonts w:ascii="Times New Roman" w:hAnsi="Times New Roman"/>
          <w:sz w:val="24"/>
          <w:szCs w:val="24"/>
        </w:rPr>
        <w:t>315</w:t>
      </w:r>
      <w:r w:rsidR="003D4A58" w:rsidRPr="0008178C">
        <w:rPr>
          <w:rFonts w:ascii="Times New Roman" w:hAnsi="Times New Roman"/>
          <w:sz w:val="24"/>
          <w:szCs w:val="24"/>
        </w:rPr>
        <w:t xml:space="preserve"> boys</w:t>
      </w:r>
      <w:r w:rsidR="003D4A58" w:rsidRPr="0008178C">
        <w:rPr>
          <w:rFonts w:ascii="Times New Roman" w:eastAsia="Times New Roman" w:hAnsi="Times New Roman"/>
          <w:color w:val="000000"/>
          <w:sz w:val="24"/>
          <w:szCs w:val="24"/>
        </w:rPr>
        <w:t xml:space="preserve"> with </w:t>
      </w:r>
      <w:r w:rsidR="00307199" w:rsidRPr="0008178C">
        <w:rPr>
          <w:rFonts w:ascii="Times New Roman" w:hAnsi="Times New Roman"/>
          <w:bCs/>
          <w:sz w:val="24"/>
          <w:szCs w:val="24"/>
          <w:lang w:val="en-GB"/>
        </w:rPr>
        <w:t>3,019,866 classrooms</w:t>
      </w:r>
      <w:r w:rsidR="003D4A58" w:rsidRPr="0008178C">
        <w:rPr>
          <w:rFonts w:ascii="Times New Roman" w:hAnsi="Times New Roman"/>
          <w:bCs/>
          <w:sz w:val="24"/>
          <w:szCs w:val="24"/>
          <w:lang w:val="en-GB"/>
        </w:rPr>
        <w:t>.</w:t>
      </w:r>
      <w:r w:rsidR="00307199" w:rsidRPr="0008178C">
        <w:rPr>
          <w:rFonts w:ascii="Times New Roman" w:hAnsi="Times New Roman"/>
          <w:b/>
          <w:bCs/>
          <w:sz w:val="24"/>
          <w:szCs w:val="24"/>
          <w:lang w:val="en-GB"/>
        </w:rPr>
        <w:t xml:space="preserve"> </w:t>
      </w:r>
      <w:r w:rsidR="0008178C" w:rsidRPr="0008178C">
        <w:rPr>
          <w:rFonts w:ascii="Times New Roman" w:hAnsi="Times New Roman"/>
          <w:bCs/>
          <w:sz w:val="24"/>
          <w:szCs w:val="24"/>
          <w:lang w:val="en-GB"/>
        </w:rPr>
        <w:t xml:space="preserve">The Pupil – Teacher ratio is </w:t>
      </w:r>
      <w:r w:rsidR="0008178C" w:rsidRPr="0008178C">
        <w:rPr>
          <w:rFonts w:ascii="Times New Roman" w:hAnsi="Times New Roman"/>
          <w:bCs/>
          <w:sz w:val="24"/>
          <w:szCs w:val="24"/>
          <w:lang w:val="en-GB"/>
        </w:rPr>
        <w:lastRenderedPageBreak/>
        <w:t xml:space="preserve">averagely at 1:53 in primary schools. </w:t>
      </w:r>
      <w:r w:rsidRPr="000F54C0">
        <w:rPr>
          <w:rFonts w:ascii="Times New Roman" w:eastAsia="Times New Roman" w:hAnsi="Times New Roman"/>
          <w:color w:val="000000"/>
          <w:sz w:val="24"/>
          <w:szCs w:val="24"/>
        </w:rPr>
        <w:t>The FPE annual education bill is in excess of Ksh.13 billion and this is currently being met solely by the National Treasury.</w:t>
      </w:r>
      <w:r w:rsidR="00456D3E" w:rsidRPr="0008178C">
        <w:rPr>
          <w:rFonts w:ascii="Times New Roman" w:hAnsi="Times New Roman"/>
          <w:b/>
          <w:sz w:val="24"/>
          <w:szCs w:val="24"/>
        </w:rPr>
        <w:t xml:space="preserve"> </w:t>
      </w:r>
    </w:p>
    <w:p w:rsidR="000F54C0" w:rsidRPr="000F54C0" w:rsidRDefault="00307199" w:rsidP="0008178C">
      <w:pPr>
        <w:spacing w:after="160"/>
        <w:contextualSpacing/>
        <w:jc w:val="both"/>
        <w:rPr>
          <w:rFonts w:ascii="Times New Roman" w:eastAsia="Times New Roman" w:hAnsi="Times New Roman"/>
          <w:b/>
          <w:sz w:val="24"/>
          <w:szCs w:val="24"/>
        </w:rPr>
      </w:pPr>
      <w:r w:rsidRPr="0008178C">
        <w:rPr>
          <w:rFonts w:ascii="Times New Roman" w:eastAsia="Times New Roman" w:hAnsi="Times New Roman"/>
          <w:b/>
          <w:sz w:val="24"/>
          <w:szCs w:val="24"/>
        </w:rPr>
        <w:t>Secondary Education</w:t>
      </w:r>
    </w:p>
    <w:p w:rsidR="0095319B" w:rsidRPr="000F54C0" w:rsidRDefault="000F54C0" w:rsidP="0008178C">
      <w:pPr>
        <w:spacing w:after="160"/>
        <w:contextualSpacing/>
        <w:jc w:val="both"/>
        <w:rPr>
          <w:rFonts w:ascii="Times New Roman" w:hAnsi="Times New Roman"/>
          <w:b/>
          <w:sz w:val="24"/>
          <w:szCs w:val="24"/>
        </w:rPr>
      </w:pPr>
      <w:r w:rsidRPr="000F54C0">
        <w:rPr>
          <w:rFonts w:ascii="Times New Roman" w:eastAsia="Times New Roman" w:hAnsi="Times New Roman"/>
          <w:color w:val="000000"/>
          <w:sz w:val="24"/>
          <w:szCs w:val="24"/>
        </w:rPr>
        <w:t>At the secondary level, projections suggested a positive overall gender parity, with a projected higher number of boys than girls in the National, Special, Extra –County and County schools, and more girls than boys in the Sub –County and Private schools</w:t>
      </w:r>
      <w:r w:rsidR="003D4A58" w:rsidRPr="0008178C">
        <w:rPr>
          <w:rFonts w:ascii="Times New Roman" w:eastAsia="Times New Roman" w:hAnsi="Times New Roman"/>
          <w:color w:val="000000"/>
          <w:sz w:val="24"/>
          <w:szCs w:val="24"/>
        </w:rPr>
        <w:t xml:space="preserve">. </w:t>
      </w:r>
      <w:r w:rsidR="002567E7" w:rsidRPr="0008178C">
        <w:rPr>
          <w:rFonts w:ascii="Times New Roman" w:eastAsia="Times New Roman" w:hAnsi="Times New Roman"/>
          <w:color w:val="000000"/>
          <w:sz w:val="24"/>
          <w:szCs w:val="24"/>
        </w:rPr>
        <w:t xml:space="preserve">Majority of the schools were owned by the Government.  </w:t>
      </w:r>
      <w:r w:rsidR="003D4A58" w:rsidRPr="0008178C">
        <w:rPr>
          <w:rFonts w:ascii="Times New Roman" w:eastAsia="Times New Roman" w:hAnsi="Times New Roman"/>
          <w:color w:val="000000"/>
          <w:sz w:val="24"/>
          <w:szCs w:val="24"/>
        </w:rPr>
        <w:t xml:space="preserve">At gender </w:t>
      </w:r>
      <w:r w:rsidR="002567E7" w:rsidRPr="0008178C">
        <w:rPr>
          <w:rFonts w:ascii="Times New Roman" w:eastAsia="Times New Roman" w:hAnsi="Times New Roman"/>
          <w:color w:val="000000"/>
          <w:sz w:val="24"/>
          <w:szCs w:val="24"/>
        </w:rPr>
        <w:t>enrolment was as follows;</w:t>
      </w:r>
      <w:r w:rsidR="003D4A58" w:rsidRPr="0008178C">
        <w:rPr>
          <w:rFonts w:ascii="Times New Roman" w:eastAsia="Times New Roman" w:hAnsi="Times New Roman"/>
          <w:color w:val="000000"/>
          <w:sz w:val="24"/>
          <w:szCs w:val="24"/>
        </w:rPr>
        <w:t xml:space="preserve"> 2,009,698 boys and 2,030,808 girls</w:t>
      </w:r>
      <w:r w:rsidR="002567E7" w:rsidRPr="0008178C">
        <w:rPr>
          <w:rFonts w:ascii="Times New Roman" w:eastAsia="Times New Roman" w:hAnsi="Times New Roman"/>
          <w:color w:val="000000"/>
          <w:sz w:val="24"/>
          <w:szCs w:val="24"/>
        </w:rPr>
        <w:t>. There were</w:t>
      </w:r>
      <w:r w:rsidR="003D4A58" w:rsidRPr="0008178C">
        <w:rPr>
          <w:rFonts w:ascii="Times New Roman" w:eastAsia="Times New Roman" w:hAnsi="Times New Roman"/>
          <w:color w:val="000000"/>
          <w:sz w:val="24"/>
          <w:szCs w:val="24"/>
        </w:rPr>
        <w:t xml:space="preserve"> </w:t>
      </w:r>
      <w:r w:rsidR="003D4A58" w:rsidRPr="0008178C">
        <w:rPr>
          <w:rFonts w:ascii="Times New Roman" w:hAnsi="Times New Roman"/>
          <w:sz w:val="24"/>
          <w:szCs w:val="24"/>
          <w:lang w:val="en-GB"/>
        </w:rPr>
        <w:t>8,734</w:t>
      </w:r>
      <w:r w:rsidR="003D4A58" w:rsidRPr="0008178C">
        <w:rPr>
          <w:rFonts w:ascii="Times New Roman" w:eastAsia="Times New Roman" w:hAnsi="Times New Roman"/>
          <w:color w:val="000000"/>
          <w:sz w:val="24"/>
          <w:szCs w:val="24"/>
        </w:rPr>
        <w:t xml:space="preserve"> secondary schools</w:t>
      </w:r>
      <w:r w:rsidR="002567E7" w:rsidRPr="0008178C">
        <w:rPr>
          <w:rFonts w:ascii="Times New Roman" w:eastAsia="Times New Roman" w:hAnsi="Times New Roman"/>
          <w:color w:val="000000"/>
          <w:sz w:val="24"/>
          <w:szCs w:val="24"/>
        </w:rPr>
        <w:t xml:space="preserve"> in the country</w:t>
      </w:r>
      <w:r w:rsidR="003D4A58" w:rsidRPr="0008178C">
        <w:rPr>
          <w:rFonts w:ascii="Times New Roman" w:eastAsia="Times New Roman" w:hAnsi="Times New Roman"/>
          <w:color w:val="000000"/>
          <w:sz w:val="24"/>
          <w:szCs w:val="24"/>
        </w:rPr>
        <w:t xml:space="preserve">. </w:t>
      </w:r>
      <w:r w:rsidR="002567E7" w:rsidRPr="0008178C">
        <w:rPr>
          <w:rFonts w:ascii="Times New Roman" w:eastAsia="Times New Roman" w:hAnsi="Times New Roman"/>
          <w:color w:val="000000"/>
          <w:sz w:val="24"/>
          <w:szCs w:val="24"/>
        </w:rPr>
        <w:t xml:space="preserve">The </w:t>
      </w:r>
      <w:r w:rsidRPr="000F54C0">
        <w:rPr>
          <w:rFonts w:ascii="Times New Roman" w:eastAsia="Times New Roman" w:hAnsi="Times New Roman"/>
          <w:color w:val="000000"/>
          <w:sz w:val="24"/>
          <w:szCs w:val="24"/>
        </w:rPr>
        <w:t xml:space="preserve">enrolment increased from </w:t>
      </w:r>
      <w:r w:rsidR="00456D3E" w:rsidRPr="0008178C">
        <w:rPr>
          <w:rFonts w:ascii="Times New Roman" w:eastAsia="Times New Roman" w:hAnsi="Times New Roman"/>
          <w:color w:val="000000"/>
          <w:sz w:val="24"/>
          <w:szCs w:val="24"/>
        </w:rPr>
        <w:t xml:space="preserve">2,331,697 </w:t>
      </w:r>
      <w:r w:rsidRPr="000F54C0">
        <w:rPr>
          <w:rFonts w:ascii="Times New Roman" w:eastAsia="Times New Roman" w:hAnsi="Times New Roman"/>
          <w:color w:val="000000"/>
          <w:sz w:val="24"/>
          <w:szCs w:val="24"/>
        </w:rPr>
        <w:t>million in 20</w:t>
      </w:r>
      <w:r w:rsidR="00456D3E" w:rsidRPr="0008178C">
        <w:rPr>
          <w:rFonts w:ascii="Times New Roman" w:eastAsia="Times New Roman" w:hAnsi="Times New Roman"/>
          <w:color w:val="000000"/>
          <w:sz w:val="24"/>
          <w:szCs w:val="24"/>
        </w:rPr>
        <w:t>14</w:t>
      </w:r>
      <w:r w:rsidRPr="000F54C0">
        <w:rPr>
          <w:rFonts w:ascii="Times New Roman" w:eastAsia="Times New Roman" w:hAnsi="Times New Roman"/>
          <w:color w:val="000000"/>
          <w:sz w:val="24"/>
          <w:szCs w:val="24"/>
        </w:rPr>
        <w:t xml:space="preserve"> to </w:t>
      </w:r>
      <w:r w:rsidR="00456D3E" w:rsidRPr="0008178C">
        <w:rPr>
          <w:rFonts w:ascii="Times New Roman" w:eastAsia="Times New Roman" w:hAnsi="Times New Roman"/>
          <w:color w:val="000000"/>
          <w:sz w:val="24"/>
          <w:szCs w:val="24"/>
        </w:rPr>
        <w:t>4,040,506</w:t>
      </w:r>
      <w:r w:rsidRPr="000F54C0">
        <w:rPr>
          <w:rFonts w:ascii="Times New Roman" w:eastAsia="Times New Roman" w:hAnsi="Times New Roman"/>
          <w:color w:val="000000"/>
          <w:sz w:val="24"/>
          <w:szCs w:val="24"/>
        </w:rPr>
        <w:t xml:space="preserve"> in 201</w:t>
      </w:r>
      <w:r w:rsidR="002567E7" w:rsidRPr="0008178C">
        <w:rPr>
          <w:rFonts w:ascii="Times New Roman" w:eastAsia="Times New Roman" w:hAnsi="Times New Roman"/>
          <w:color w:val="000000"/>
          <w:sz w:val="24"/>
          <w:szCs w:val="24"/>
        </w:rPr>
        <w:t>6</w:t>
      </w:r>
      <w:r w:rsidRPr="000F54C0">
        <w:rPr>
          <w:rFonts w:ascii="Times New Roman" w:eastAsia="Times New Roman" w:hAnsi="Times New Roman"/>
          <w:color w:val="000000"/>
          <w:sz w:val="24"/>
          <w:szCs w:val="24"/>
        </w:rPr>
        <w:t xml:space="preserve"> due to government interventions, which included subsidized secondary education.</w:t>
      </w:r>
      <w:r w:rsidRPr="0008178C">
        <w:rPr>
          <w:rFonts w:ascii="Times New Roman" w:hAnsi="Times New Roman"/>
          <w:b/>
          <w:sz w:val="24"/>
          <w:szCs w:val="24"/>
        </w:rPr>
        <w:t xml:space="preserve"> </w:t>
      </w:r>
      <w:r w:rsidR="00164638" w:rsidRPr="0008178C">
        <w:rPr>
          <w:rFonts w:ascii="Times New Roman" w:hAnsi="Times New Roman"/>
          <w:color w:val="000000"/>
          <w:sz w:val="24"/>
          <w:szCs w:val="24"/>
        </w:rPr>
        <w:t xml:space="preserve">The teacher – pupil ratio was averagely at1:30 </w:t>
      </w:r>
    </w:p>
    <w:p w:rsidR="00E35B3D" w:rsidRPr="0008178C" w:rsidRDefault="00F87122" w:rsidP="0008178C">
      <w:pPr>
        <w:tabs>
          <w:tab w:val="left" w:pos="9000"/>
        </w:tabs>
        <w:jc w:val="both"/>
        <w:rPr>
          <w:rFonts w:ascii="Times New Roman" w:hAnsi="Times New Roman"/>
          <w:b/>
          <w:sz w:val="24"/>
          <w:szCs w:val="24"/>
        </w:rPr>
      </w:pPr>
      <w:r w:rsidRPr="0008178C">
        <w:rPr>
          <w:rFonts w:ascii="Times New Roman" w:hAnsi="Times New Roman"/>
          <w:b/>
          <w:sz w:val="24"/>
          <w:szCs w:val="24"/>
        </w:rPr>
        <w:t>Increased Enrolment in schools Since 2013 Due to:</w:t>
      </w:r>
    </w:p>
    <w:p w:rsidR="00E35B3D" w:rsidRPr="0008178C" w:rsidRDefault="00E35B3D" w:rsidP="0008178C">
      <w:pPr>
        <w:pStyle w:val="ListParagraph"/>
        <w:numPr>
          <w:ilvl w:val="0"/>
          <w:numId w:val="1"/>
        </w:numPr>
        <w:tabs>
          <w:tab w:val="left" w:pos="9000"/>
        </w:tabs>
        <w:jc w:val="both"/>
        <w:rPr>
          <w:rFonts w:ascii="Times New Roman" w:hAnsi="Times New Roman"/>
          <w:sz w:val="24"/>
          <w:szCs w:val="24"/>
        </w:rPr>
      </w:pPr>
      <w:r w:rsidRPr="0008178C">
        <w:rPr>
          <w:rFonts w:ascii="Times New Roman" w:hAnsi="Times New Roman"/>
          <w:sz w:val="24"/>
          <w:szCs w:val="24"/>
        </w:rPr>
        <w:t>Free Primary Education/ Free Day Secondary Education</w:t>
      </w:r>
    </w:p>
    <w:p w:rsidR="00E35B3D" w:rsidRPr="0008178C" w:rsidRDefault="00E35B3D" w:rsidP="0008178C">
      <w:pPr>
        <w:pStyle w:val="ListParagraph"/>
        <w:numPr>
          <w:ilvl w:val="0"/>
          <w:numId w:val="1"/>
        </w:numPr>
        <w:tabs>
          <w:tab w:val="left" w:pos="9000"/>
        </w:tabs>
        <w:jc w:val="both"/>
        <w:rPr>
          <w:rFonts w:ascii="Times New Roman" w:hAnsi="Times New Roman"/>
          <w:sz w:val="24"/>
          <w:szCs w:val="24"/>
        </w:rPr>
      </w:pPr>
      <w:r w:rsidRPr="0008178C">
        <w:rPr>
          <w:rFonts w:ascii="Times New Roman" w:hAnsi="Times New Roman"/>
          <w:sz w:val="24"/>
          <w:szCs w:val="24"/>
        </w:rPr>
        <w:t xml:space="preserve">Regular School Feeding Programme and Home Grown School Meals </w:t>
      </w:r>
    </w:p>
    <w:p w:rsidR="00E35B3D" w:rsidRPr="0008178C" w:rsidRDefault="00E35B3D" w:rsidP="0008178C">
      <w:pPr>
        <w:pStyle w:val="ListParagraph"/>
        <w:numPr>
          <w:ilvl w:val="0"/>
          <w:numId w:val="1"/>
        </w:numPr>
        <w:tabs>
          <w:tab w:val="left" w:pos="9000"/>
        </w:tabs>
        <w:jc w:val="both"/>
        <w:rPr>
          <w:rFonts w:ascii="Times New Roman" w:hAnsi="Times New Roman"/>
          <w:sz w:val="24"/>
          <w:szCs w:val="24"/>
        </w:rPr>
      </w:pPr>
      <w:r w:rsidRPr="0008178C">
        <w:rPr>
          <w:rFonts w:ascii="Times New Roman" w:hAnsi="Times New Roman"/>
          <w:sz w:val="24"/>
          <w:szCs w:val="24"/>
        </w:rPr>
        <w:t xml:space="preserve">clean water and improved hygiene in schools </w:t>
      </w:r>
    </w:p>
    <w:p w:rsidR="00E35B3D" w:rsidRPr="0008178C" w:rsidRDefault="00E35B3D" w:rsidP="0008178C">
      <w:pPr>
        <w:pStyle w:val="ListParagraph"/>
        <w:numPr>
          <w:ilvl w:val="0"/>
          <w:numId w:val="1"/>
        </w:numPr>
        <w:tabs>
          <w:tab w:val="left" w:pos="9000"/>
        </w:tabs>
        <w:jc w:val="both"/>
        <w:rPr>
          <w:rFonts w:ascii="Times New Roman" w:hAnsi="Times New Roman"/>
          <w:sz w:val="24"/>
          <w:szCs w:val="24"/>
        </w:rPr>
      </w:pPr>
      <w:r w:rsidRPr="0008178C">
        <w:rPr>
          <w:rFonts w:ascii="Times New Roman" w:hAnsi="Times New Roman"/>
          <w:sz w:val="24"/>
          <w:szCs w:val="24"/>
        </w:rPr>
        <w:t xml:space="preserve">deworming of all School aged Children </w:t>
      </w:r>
    </w:p>
    <w:p w:rsidR="00E35B3D" w:rsidRPr="0008178C" w:rsidRDefault="00E35B3D" w:rsidP="0008178C">
      <w:pPr>
        <w:pStyle w:val="ListParagraph"/>
        <w:numPr>
          <w:ilvl w:val="0"/>
          <w:numId w:val="1"/>
        </w:numPr>
        <w:tabs>
          <w:tab w:val="left" w:pos="9000"/>
        </w:tabs>
        <w:jc w:val="both"/>
        <w:rPr>
          <w:rFonts w:ascii="Times New Roman" w:hAnsi="Times New Roman"/>
          <w:sz w:val="24"/>
          <w:szCs w:val="24"/>
        </w:rPr>
      </w:pPr>
      <w:r w:rsidRPr="0008178C">
        <w:rPr>
          <w:rFonts w:ascii="Times New Roman" w:hAnsi="Times New Roman"/>
          <w:sz w:val="24"/>
          <w:szCs w:val="24"/>
        </w:rPr>
        <w:t>Sanitary Towels</w:t>
      </w:r>
    </w:p>
    <w:p w:rsidR="0095319B" w:rsidRPr="0008178C" w:rsidRDefault="0095319B" w:rsidP="0008178C">
      <w:pPr>
        <w:tabs>
          <w:tab w:val="left" w:pos="9000"/>
        </w:tabs>
        <w:ind w:left="360"/>
        <w:rPr>
          <w:rFonts w:ascii="Times New Roman" w:hAnsi="Times New Roman"/>
          <w:b/>
          <w:sz w:val="24"/>
          <w:szCs w:val="24"/>
          <w:lang w:val="en-NZ"/>
        </w:rPr>
      </w:pPr>
      <w:r w:rsidRPr="0008178C">
        <w:rPr>
          <w:rFonts w:ascii="Times New Roman" w:hAnsi="Times New Roman"/>
          <w:b/>
          <w:sz w:val="24"/>
          <w:szCs w:val="24"/>
          <w:lang w:val="en-NZ"/>
        </w:rPr>
        <w:t>TVET EDUCATION</w:t>
      </w:r>
    </w:p>
    <w:p w:rsidR="0095319B" w:rsidRPr="0008178C" w:rsidRDefault="0095319B" w:rsidP="0008178C">
      <w:pPr>
        <w:spacing w:before="100" w:after="0"/>
        <w:contextualSpacing/>
        <w:rPr>
          <w:rFonts w:ascii="Times New Roman" w:eastAsia="Times New Roman" w:hAnsi="Times New Roman"/>
          <w:color w:val="000000"/>
          <w:sz w:val="24"/>
          <w:szCs w:val="24"/>
        </w:rPr>
      </w:pPr>
      <w:r w:rsidRPr="0008178C">
        <w:rPr>
          <w:rFonts w:ascii="Times New Roman" w:eastAsia="Times New Roman" w:hAnsi="Times New Roman"/>
          <w:color w:val="000000"/>
          <w:sz w:val="24"/>
          <w:szCs w:val="24"/>
        </w:rPr>
        <w:t>TVET training sector in Kenya focuses on four thematic areas:</w:t>
      </w:r>
    </w:p>
    <w:p w:rsidR="0095319B" w:rsidRPr="0008178C" w:rsidRDefault="0095319B" w:rsidP="0008178C">
      <w:pPr>
        <w:numPr>
          <w:ilvl w:val="0"/>
          <w:numId w:val="2"/>
        </w:numPr>
        <w:spacing w:before="100" w:after="0"/>
        <w:contextualSpacing/>
        <w:jc w:val="both"/>
        <w:rPr>
          <w:rFonts w:ascii="Times New Roman" w:eastAsia="Times New Roman" w:hAnsi="Times New Roman"/>
          <w:color w:val="000000"/>
          <w:sz w:val="24"/>
          <w:szCs w:val="24"/>
        </w:rPr>
      </w:pPr>
      <w:r w:rsidRPr="0008178C">
        <w:rPr>
          <w:rFonts w:ascii="Times New Roman" w:eastAsia="Times New Roman" w:hAnsi="Times New Roman"/>
          <w:color w:val="000000"/>
          <w:sz w:val="24"/>
          <w:szCs w:val="24"/>
        </w:rPr>
        <w:t>Access and Equity in TVET</w:t>
      </w:r>
    </w:p>
    <w:p w:rsidR="0095319B" w:rsidRPr="0008178C" w:rsidRDefault="0095319B" w:rsidP="0008178C">
      <w:pPr>
        <w:numPr>
          <w:ilvl w:val="0"/>
          <w:numId w:val="2"/>
        </w:numPr>
        <w:spacing w:before="240" w:after="0"/>
        <w:contextualSpacing/>
        <w:jc w:val="both"/>
        <w:rPr>
          <w:rFonts w:ascii="Times New Roman" w:eastAsia="Times New Roman" w:hAnsi="Times New Roman"/>
          <w:color w:val="000000"/>
          <w:sz w:val="24"/>
          <w:szCs w:val="24"/>
        </w:rPr>
      </w:pPr>
      <w:r w:rsidRPr="0008178C">
        <w:rPr>
          <w:rFonts w:ascii="Times New Roman" w:eastAsia="Times New Roman" w:hAnsi="Times New Roman"/>
          <w:color w:val="000000"/>
          <w:sz w:val="24"/>
          <w:szCs w:val="24"/>
        </w:rPr>
        <w:t>Quality and relevance in TVET</w:t>
      </w:r>
    </w:p>
    <w:p w:rsidR="0095319B" w:rsidRPr="0008178C" w:rsidRDefault="0095319B" w:rsidP="0008178C">
      <w:pPr>
        <w:numPr>
          <w:ilvl w:val="0"/>
          <w:numId w:val="2"/>
        </w:numPr>
        <w:spacing w:before="240" w:after="0"/>
        <w:contextualSpacing/>
        <w:jc w:val="both"/>
        <w:rPr>
          <w:rFonts w:ascii="Times New Roman" w:eastAsia="Times New Roman" w:hAnsi="Times New Roman"/>
          <w:color w:val="000000"/>
          <w:sz w:val="24"/>
          <w:szCs w:val="24"/>
        </w:rPr>
      </w:pPr>
      <w:r w:rsidRPr="0008178C">
        <w:rPr>
          <w:rFonts w:ascii="Times New Roman" w:eastAsia="Times New Roman" w:hAnsi="Times New Roman"/>
          <w:color w:val="000000"/>
          <w:sz w:val="24"/>
          <w:szCs w:val="24"/>
        </w:rPr>
        <w:t>Governance and Management in TVET</w:t>
      </w:r>
    </w:p>
    <w:p w:rsidR="0095319B" w:rsidRPr="0008178C" w:rsidRDefault="0095319B" w:rsidP="0008178C">
      <w:pPr>
        <w:numPr>
          <w:ilvl w:val="0"/>
          <w:numId w:val="2"/>
        </w:numPr>
        <w:spacing w:before="240" w:after="0"/>
        <w:contextualSpacing/>
        <w:jc w:val="both"/>
        <w:rPr>
          <w:rFonts w:ascii="Times New Roman" w:eastAsia="Times New Roman" w:hAnsi="Times New Roman"/>
          <w:color w:val="000000"/>
          <w:sz w:val="24"/>
          <w:szCs w:val="24"/>
        </w:rPr>
      </w:pPr>
      <w:r w:rsidRPr="0008178C">
        <w:rPr>
          <w:rFonts w:ascii="Times New Roman" w:eastAsia="Times New Roman" w:hAnsi="Times New Roman"/>
          <w:color w:val="000000"/>
          <w:sz w:val="24"/>
          <w:szCs w:val="24"/>
        </w:rPr>
        <w:t>ICT integration in TVET</w:t>
      </w:r>
    </w:p>
    <w:p w:rsidR="000F54C0" w:rsidRPr="0008178C" w:rsidRDefault="000F54C0" w:rsidP="0008178C">
      <w:pPr>
        <w:tabs>
          <w:tab w:val="left" w:pos="9000"/>
        </w:tabs>
        <w:ind w:left="360"/>
        <w:rPr>
          <w:rFonts w:ascii="Times New Roman" w:hAnsi="Times New Roman"/>
          <w:sz w:val="24"/>
          <w:szCs w:val="24"/>
          <w:lang w:val="en-NZ"/>
        </w:rPr>
      </w:pPr>
      <w:r w:rsidRPr="0008178C">
        <w:rPr>
          <w:rFonts w:ascii="Times New Roman" w:hAnsi="Times New Roman"/>
          <w:sz w:val="24"/>
          <w:szCs w:val="24"/>
          <w:lang w:val="en-NZ"/>
        </w:rPr>
        <w:t xml:space="preserve">Training opportunities in the public TVET </w:t>
      </w:r>
      <w:r w:rsidR="0095319B" w:rsidRPr="0008178C">
        <w:rPr>
          <w:rFonts w:ascii="Times New Roman" w:hAnsi="Times New Roman"/>
          <w:sz w:val="24"/>
          <w:szCs w:val="24"/>
          <w:lang w:val="en-NZ"/>
        </w:rPr>
        <w:t>institutions increased</w:t>
      </w:r>
      <w:r w:rsidRPr="0008178C">
        <w:rPr>
          <w:rFonts w:ascii="Times New Roman" w:hAnsi="Times New Roman"/>
          <w:sz w:val="24"/>
          <w:szCs w:val="24"/>
          <w:lang w:val="en-NZ"/>
        </w:rPr>
        <w:t xml:space="preserve"> by </w:t>
      </w:r>
      <w:r w:rsidRPr="0008178C">
        <w:rPr>
          <w:rFonts w:ascii="Times New Roman" w:hAnsi="Times New Roman"/>
          <w:sz w:val="24"/>
          <w:szCs w:val="24"/>
        </w:rPr>
        <w:t>40,963</w:t>
      </w:r>
      <w:r w:rsidRPr="0008178C">
        <w:rPr>
          <w:rFonts w:ascii="Times New Roman" w:hAnsi="Times New Roman"/>
          <w:sz w:val="24"/>
          <w:szCs w:val="24"/>
          <w:lang w:val="en-NZ"/>
        </w:rPr>
        <w:t xml:space="preserve"> due to increase in the number of institutions </w:t>
      </w:r>
    </w:p>
    <w:p w:rsidR="00FB2CD8" w:rsidRPr="00FB2CD8" w:rsidRDefault="00FB2CD8" w:rsidP="0008178C">
      <w:pPr>
        <w:spacing w:before="100" w:after="0"/>
        <w:contextualSpacing/>
        <w:jc w:val="both"/>
        <w:rPr>
          <w:rFonts w:ascii="Times New Roman" w:eastAsia="Times New Roman" w:hAnsi="Times New Roman"/>
          <w:b/>
          <w:color w:val="000000"/>
          <w:sz w:val="24"/>
          <w:szCs w:val="24"/>
        </w:rPr>
      </w:pPr>
      <w:r w:rsidRPr="00FB2CD8">
        <w:rPr>
          <w:rFonts w:ascii="Times New Roman" w:eastAsia="Times New Roman" w:hAnsi="Times New Roman"/>
          <w:b/>
          <w:color w:val="000000"/>
          <w:sz w:val="24"/>
          <w:szCs w:val="24"/>
        </w:rPr>
        <w:t>ACCESS AND EQUITY IN TVET</w:t>
      </w:r>
    </w:p>
    <w:p w:rsidR="00FB2CD8" w:rsidRPr="00FB2CD8" w:rsidRDefault="00FB2CD8" w:rsidP="0008178C">
      <w:pPr>
        <w:keepNext/>
        <w:keepLines/>
        <w:spacing w:before="200" w:after="0"/>
        <w:outlineLvl w:val="1"/>
        <w:rPr>
          <w:rFonts w:ascii="Times New Roman" w:eastAsia="Times New Roman" w:hAnsi="Times New Roman"/>
          <w:bCs/>
          <w:caps/>
          <w:sz w:val="24"/>
          <w:szCs w:val="24"/>
        </w:rPr>
      </w:pPr>
      <w:bookmarkStart w:id="0" w:name="_Toc461691970"/>
      <w:r w:rsidRPr="00FB2CD8">
        <w:rPr>
          <w:rFonts w:ascii="Times New Roman" w:eastAsia="Times New Roman" w:hAnsi="Times New Roman"/>
          <w:b/>
          <w:bCs/>
          <w:sz w:val="24"/>
          <w:szCs w:val="24"/>
        </w:rPr>
        <w:t>1.0</w:t>
      </w:r>
      <w:r w:rsidRPr="00FB2CD8">
        <w:rPr>
          <w:rFonts w:ascii="Times New Roman" w:eastAsia="Times New Roman" w:hAnsi="Times New Roman"/>
          <w:b/>
          <w:bCs/>
          <w:sz w:val="24"/>
          <w:szCs w:val="24"/>
        </w:rPr>
        <w:tab/>
        <w:t xml:space="preserve">Expanding the number of Post- Secondary </w:t>
      </w:r>
      <w:bookmarkEnd w:id="0"/>
      <w:r w:rsidRPr="00FB2CD8">
        <w:rPr>
          <w:rFonts w:ascii="Times New Roman" w:eastAsia="Times New Roman" w:hAnsi="Times New Roman"/>
          <w:b/>
          <w:bCs/>
          <w:sz w:val="24"/>
          <w:szCs w:val="24"/>
        </w:rPr>
        <w:t>Training Opportunities</w:t>
      </w:r>
    </w:p>
    <w:p w:rsidR="00FB2CD8" w:rsidRPr="00FB2CD8" w:rsidRDefault="00FB2CD8" w:rsidP="0008178C">
      <w:pPr>
        <w:spacing w:before="240" w:after="0"/>
        <w:jc w:val="both"/>
        <w:rPr>
          <w:rFonts w:ascii="Times New Roman" w:hAnsi="Times New Roman"/>
          <w:sz w:val="24"/>
          <w:szCs w:val="24"/>
        </w:rPr>
      </w:pPr>
      <w:r w:rsidRPr="00FB2CD8">
        <w:rPr>
          <w:rFonts w:ascii="Times New Roman" w:eastAsia="Times New Roman" w:hAnsi="Times New Roman"/>
          <w:sz w:val="24"/>
          <w:szCs w:val="24"/>
        </w:rPr>
        <w:t xml:space="preserve">Under this strategy, the State Department for VTT undertook </w:t>
      </w:r>
      <w:r w:rsidRPr="00FB2CD8">
        <w:rPr>
          <w:rFonts w:ascii="Times New Roman" w:hAnsi="Times New Roman"/>
          <w:sz w:val="24"/>
          <w:szCs w:val="24"/>
        </w:rPr>
        <w:t>to expand training facilities. In this regard;</w:t>
      </w:r>
    </w:p>
    <w:p w:rsidR="00FB2CD8" w:rsidRPr="00FB2CD8" w:rsidRDefault="00FB2CD8" w:rsidP="0008178C">
      <w:pPr>
        <w:numPr>
          <w:ilvl w:val="0"/>
          <w:numId w:val="3"/>
        </w:numPr>
        <w:contextualSpacing/>
        <w:jc w:val="both"/>
        <w:rPr>
          <w:rFonts w:ascii="Times New Roman" w:eastAsia="Times New Roman" w:hAnsi="Times New Roman"/>
          <w:sz w:val="24"/>
          <w:szCs w:val="24"/>
          <w:lang w:val="x-none" w:eastAsia="x-none"/>
        </w:rPr>
      </w:pPr>
      <w:r w:rsidRPr="00FB2CD8">
        <w:rPr>
          <w:rFonts w:ascii="Times New Roman" w:eastAsia="Times New Roman" w:hAnsi="Times New Roman"/>
          <w:sz w:val="24"/>
          <w:szCs w:val="24"/>
          <w:lang w:val="x-none" w:eastAsia="x-none"/>
        </w:rPr>
        <w:t>TVET Colleges were upgraded to National Polytechnic status;</w:t>
      </w:r>
    </w:p>
    <w:p w:rsidR="00FB2CD8" w:rsidRPr="00FB2CD8" w:rsidRDefault="00FB2CD8" w:rsidP="0008178C">
      <w:pPr>
        <w:numPr>
          <w:ilvl w:val="0"/>
          <w:numId w:val="3"/>
        </w:numPr>
        <w:spacing w:before="240"/>
        <w:contextualSpacing/>
        <w:jc w:val="both"/>
        <w:rPr>
          <w:rFonts w:ascii="Times New Roman" w:hAnsi="Times New Roman"/>
          <w:sz w:val="24"/>
          <w:szCs w:val="24"/>
          <w:lang w:val="x-none" w:eastAsia="x-none"/>
        </w:rPr>
      </w:pPr>
      <w:r w:rsidRPr="00FB2CD8">
        <w:rPr>
          <w:rFonts w:ascii="Times New Roman" w:eastAsia="Times New Roman" w:hAnsi="Times New Roman"/>
          <w:sz w:val="24"/>
          <w:szCs w:val="24"/>
          <w:lang w:val="x-none" w:eastAsia="x-none"/>
        </w:rPr>
        <w:t xml:space="preserve">Completion and development of new institutions; and </w:t>
      </w:r>
    </w:p>
    <w:p w:rsidR="00FB2CD8" w:rsidRPr="00FB2CD8" w:rsidRDefault="00FB2CD8" w:rsidP="0008178C">
      <w:pPr>
        <w:numPr>
          <w:ilvl w:val="0"/>
          <w:numId w:val="3"/>
        </w:numPr>
        <w:spacing w:before="240"/>
        <w:contextualSpacing/>
        <w:jc w:val="both"/>
        <w:rPr>
          <w:rFonts w:ascii="Times New Roman" w:hAnsi="Times New Roman"/>
          <w:sz w:val="24"/>
          <w:szCs w:val="24"/>
          <w:lang w:val="x-none" w:eastAsia="x-none"/>
        </w:rPr>
      </w:pPr>
      <w:r w:rsidRPr="00FB2CD8">
        <w:rPr>
          <w:rFonts w:ascii="Times New Roman" w:eastAsia="Times New Roman" w:hAnsi="Times New Roman"/>
          <w:sz w:val="24"/>
          <w:szCs w:val="24"/>
          <w:lang w:val="x-none" w:eastAsia="x-none"/>
        </w:rPr>
        <w:t xml:space="preserve">Registration and licensing of new TVET institutions </w:t>
      </w:r>
    </w:p>
    <w:p w:rsidR="00FB2CD8" w:rsidRPr="00FB2CD8" w:rsidRDefault="00FB2CD8" w:rsidP="0008178C">
      <w:pPr>
        <w:keepNext/>
        <w:keepLines/>
        <w:spacing w:before="200" w:after="0"/>
        <w:outlineLvl w:val="2"/>
        <w:rPr>
          <w:rFonts w:ascii="Times New Roman" w:eastAsia="Times New Roman" w:hAnsi="Times New Roman"/>
          <w:b/>
          <w:bCs/>
          <w:sz w:val="24"/>
          <w:szCs w:val="24"/>
        </w:rPr>
      </w:pPr>
      <w:r w:rsidRPr="00FB2CD8">
        <w:rPr>
          <w:rFonts w:ascii="Times New Roman" w:eastAsia="Times New Roman" w:hAnsi="Times New Roman"/>
          <w:b/>
          <w:bCs/>
          <w:sz w:val="24"/>
          <w:szCs w:val="24"/>
        </w:rPr>
        <w:t xml:space="preserve">Upgrading of TVET Colleges to National Polytechnic Status </w:t>
      </w:r>
    </w:p>
    <w:p w:rsidR="000F54C0" w:rsidRPr="0008178C" w:rsidRDefault="00FB2CD8" w:rsidP="0008178C">
      <w:pPr>
        <w:tabs>
          <w:tab w:val="left" w:pos="9000"/>
        </w:tabs>
        <w:jc w:val="both"/>
        <w:rPr>
          <w:rFonts w:ascii="Times New Roman" w:hAnsi="Times New Roman"/>
          <w:sz w:val="24"/>
          <w:szCs w:val="24"/>
        </w:rPr>
      </w:pPr>
      <w:r w:rsidRPr="0008178C">
        <w:rPr>
          <w:rFonts w:ascii="Times New Roman" w:eastAsia="Times New Roman" w:hAnsi="Times New Roman"/>
          <w:sz w:val="24"/>
          <w:szCs w:val="24"/>
        </w:rPr>
        <w:t xml:space="preserve">In this regard eight </w:t>
      </w:r>
      <w:r w:rsidRPr="0008178C">
        <w:rPr>
          <w:rFonts w:ascii="Times New Roman" w:hAnsi="Times New Roman"/>
          <w:sz w:val="24"/>
          <w:szCs w:val="24"/>
        </w:rPr>
        <w:t xml:space="preserve">(8) </w:t>
      </w:r>
      <w:r w:rsidRPr="0008178C">
        <w:rPr>
          <w:rFonts w:ascii="Times New Roman" w:eastAsia="Times New Roman" w:hAnsi="Times New Roman"/>
          <w:sz w:val="24"/>
          <w:szCs w:val="24"/>
        </w:rPr>
        <w:t>TVET institutions were upgraded to national polytechnic status to add to the current two. Hence the total number of National Polytechnics increased from two (2) to ten (10)</w:t>
      </w:r>
      <w:r w:rsidR="00EA3B33" w:rsidRPr="0008178C">
        <w:rPr>
          <w:rFonts w:ascii="Times New Roman" w:eastAsia="Times New Roman" w:hAnsi="Times New Roman"/>
          <w:sz w:val="24"/>
          <w:szCs w:val="24"/>
        </w:rPr>
        <w:t xml:space="preserve"> </w:t>
      </w:r>
      <w:r w:rsidR="00501D51" w:rsidRPr="0008178C">
        <w:rPr>
          <w:rFonts w:ascii="Times New Roman" w:eastAsia="Times New Roman" w:hAnsi="Times New Roman"/>
          <w:sz w:val="24"/>
          <w:szCs w:val="24"/>
        </w:rPr>
        <w:t>and the other public</w:t>
      </w:r>
      <w:r w:rsidR="00501D51" w:rsidRPr="0008178C">
        <w:rPr>
          <w:rFonts w:ascii="Times New Roman" w:hAnsi="Times New Roman"/>
          <w:sz w:val="24"/>
          <w:szCs w:val="24"/>
        </w:rPr>
        <w:t xml:space="preserve"> TVET institutions rose from 41 in 2012 to 63 in 2016</w:t>
      </w:r>
      <w:r w:rsidR="00501D51" w:rsidRPr="0008178C">
        <w:rPr>
          <w:rFonts w:ascii="Times New Roman" w:eastAsia="Times New Roman" w:hAnsi="Times New Roman"/>
          <w:sz w:val="24"/>
          <w:szCs w:val="24"/>
        </w:rPr>
        <w:t>. As a result of this expansion, the total enrolment in the said public TVET institutions increased gradually from 35,218 in 2010 to 56,886 in 2016</w:t>
      </w:r>
    </w:p>
    <w:p w:rsidR="00ED0D6D" w:rsidRPr="0008178C" w:rsidRDefault="00ED0D6D" w:rsidP="0008178C">
      <w:pPr>
        <w:tabs>
          <w:tab w:val="left" w:pos="9000"/>
        </w:tabs>
        <w:jc w:val="both"/>
        <w:rPr>
          <w:rFonts w:ascii="Times New Roman" w:hAnsi="Times New Roman"/>
          <w:b/>
          <w:sz w:val="24"/>
          <w:szCs w:val="24"/>
        </w:rPr>
      </w:pPr>
      <w:r w:rsidRPr="0008178C">
        <w:rPr>
          <w:rFonts w:ascii="Times New Roman" w:hAnsi="Times New Roman"/>
          <w:b/>
          <w:sz w:val="24"/>
          <w:szCs w:val="24"/>
        </w:rPr>
        <w:lastRenderedPageBreak/>
        <w:t>Access to University Education in Kenya</w:t>
      </w:r>
    </w:p>
    <w:p w:rsidR="00ED0D6D" w:rsidRPr="0008178C" w:rsidRDefault="00ED0D6D" w:rsidP="0008178C">
      <w:pPr>
        <w:tabs>
          <w:tab w:val="left" w:pos="9000"/>
        </w:tabs>
        <w:jc w:val="both"/>
        <w:rPr>
          <w:rFonts w:ascii="Times New Roman" w:hAnsi="Times New Roman"/>
          <w:sz w:val="24"/>
          <w:szCs w:val="24"/>
        </w:rPr>
      </w:pPr>
      <w:r w:rsidRPr="0008178C">
        <w:rPr>
          <w:rFonts w:ascii="Times New Roman" w:hAnsi="Times New Roman"/>
          <w:noProof/>
          <w:sz w:val="24"/>
          <w:szCs w:val="24"/>
        </w:rPr>
        <w:drawing>
          <wp:inline distT="0" distB="0" distL="0" distR="0" wp14:anchorId="09673917" wp14:editId="5805E0AD">
            <wp:extent cx="5831457" cy="21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816" t="19786" r="4841" b="14973"/>
                    <a:stretch/>
                  </pic:blipFill>
                  <pic:spPr bwMode="auto">
                    <a:xfrm>
                      <a:off x="0" y="0"/>
                      <a:ext cx="5840212" cy="2108005"/>
                    </a:xfrm>
                    <a:prstGeom prst="rect">
                      <a:avLst/>
                    </a:prstGeom>
                    <a:noFill/>
                    <a:ln>
                      <a:noFill/>
                    </a:ln>
                    <a:extLst>
                      <a:ext uri="{53640926-AAD7-44D8-BBD7-CCE9431645EC}">
                        <a14:shadowObscured xmlns:a14="http://schemas.microsoft.com/office/drawing/2010/main"/>
                      </a:ext>
                    </a:extLst>
                  </pic:spPr>
                </pic:pic>
              </a:graphicData>
            </a:graphic>
          </wp:inline>
        </w:drawing>
      </w:r>
    </w:p>
    <w:p w:rsidR="00164638" w:rsidRPr="00164638" w:rsidRDefault="00164638" w:rsidP="0008178C">
      <w:pPr>
        <w:spacing w:after="60"/>
        <w:jc w:val="both"/>
        <w:outlineLvl w:val="1"/>
        <w:rPr>
          <w:rFonts w:ascii="Times New Roman" w:eastAsia="Times New Roman" w:hAnsi="Times New Roman"/>
          <w:b/>
          <w:color w:val="000000"/>
          <w:sz w:val="24"/>
          <w:szCs w:val="24"/>
        </w:rPr>
      </w:pPr>
      <w:r w:rsidRPr="00164638">
        <w:rPr>
          <w:rFonts w:ascii="Times New Roman" w:eastAsia="Times New Roman" w:hAnsi="Times New Roman"/>
          <w:b/>
          <w:color w:val="000000"/>
          <w:sz w:val="24"/>
          <w:szCs w:val="24"/>
        </w:rPr>
        <w:t>Quality and Relevance in Education</w:t>
      </w:r>
    </w:p>
    <w:p w:rsidR="00164638" w:rsidRPr="00164638" w:rsidRDefault="00164638" w:rsidP="0008178C">
      <w:pPr>
        <w:contextualSpacing/>
        <w:jc w:val="both"/>
        <w:rPr>
          <w:rFonts w:ascii="Times New Roman" w:hAnsi="Times New Roman"/>
          <w:color w:val="000000"/>
          <w:sz w:val="24"/>
          <w:szCs w:val="24"/>
        </w:rPr>
      </w:pPr>
      <w:r w:rsidRPr="00164638">
        <w:rPr>
          <w:rFonts w:ascii="Times New Roman" w:hAnsi="Times New Roman"/>
          <w:color w:val="000000"/>
          <w:sz w:val="24"/>
          <w:szCs w:val="24"/>
        </w:rPr>
        <w:t xml:space="preserve">This section looks at quality and relevance in education and the extent to which counties and the national government had enhanced the two aspects at different levels of basic education. The information presented entails: policies, guidelines and standards implementation, in-service development of teachers, learning achievements, co-curriculum activities and physical infrastructure. </w:t>
      </w:r>
    </w:p>
    <w:p w:rsidR="00CE1A79" w:rsidRPr="00AF050D" w:rsidRDefault="00AF050D" w:rsidP="009A7384">
      <w:pPr>
        <w:rPr>
          <w:rFonts w:ascii="Times New Roman" w:hAnsi="Times New Roman"/>
          <w:b/>
          <w:sz w:val="24"/>
          <w:szCs w:val="24"/>
        </w:rPr>
      </w:pPr>
      <w:r w:rsidRPr="00AF050D">
        <w:rPr>
          <w:rFonts w:ascii="Times New Roman" w:hAnsi="Times New Roman"/>
          <w:b/>
          <w:sz w:val="24"/>
          <w:szCs w:val="24"/>
        </w:rPr>
        <w:t>FAWE</w:t>
      </w:r>
    </w:p>
    <w:p w:rsidR="00AF050D" w:rsidRPr="00AF050D" w:rsidRDefault="00AF050D" w:rsidP="00AF050D">
      <w:pPr>
        <w:rPr>
          <w:rFonts w:ascii="Times New Roman" w:hAnsi="Times New Roman"/>
          <w:b/>
          <w:sz w:val="24"/>
          <w:szCs w:val="24"/>
          <w:u w:val="single"/>
        </w:rPr>
      </w:pPr>
      <w:r w:rsidRPr="00AF050D">
        <w:rPr>
          <w:rFonts w:ascii="Times New Roman" w:hAnsi="Times New Roman"/>
          <w:b/>
          <w:sz w:val="24"/>
          <w:szCs w:val="24"/>
          <w:u w:val="single"/>
        </w:rPr>
        <w:t>Background information about FAWE Kenya</w:t>
      </w:r>
    </w:p>
    <w:p w:rsidR="00AF050D" w:rsidRPr="00AF050D" w:rsidRDefault="00AF050D" w:rsidP="00AF050D">
      <w:pPr>
        <w:rPr>
          <w:rFonts w:ascii="Times New Roman" w:hAnsi="Times New Roman"/>
          <w:sz w:val="24"/>
          <w:szCs w:val="24"/>
        </w:rPr>
      </w:pPr>
      <w:r w:rsidRPr="00AF050D">
        <w:rPr>
          <w:rFonts w:ascii="Times New Roman" w:hAnsi="Times New Roman"/>
          <w:sz w:val="24"/>
          <w:szCs w:val="24"/>
        </w:rPr>
        <w:t xml:space="preserve"> Forum for African Women Educationalists-Kenya Chapter (FAWEK) is a Non-Governmental Organization registered in 1996 to support girls and women acquire education for development. FAWEK is a member of FAWE network of 34 Chapters in 33 countries in Sub-Saharan Africa who work together to achieve equality and equity in education across the continent; thereby contributing to the attainment of Education for All (EFA) and Sustainable Development Goals (SDGs). </w:t>
      </w:r>
    </w:p>
    <w:p w:rsidR="009A1063" w:rsidRDefault="00AF050D" w:rsidP="009A1063">
      <w:pPr>
        <w:rPr>
          <w:rFonts w:ascii="Times New Roman" w:hAnsi="Times New Roman"/>
          <w:b/>
          <w:sz w:val="24"/>
          <w:szCs w:val="24"/>
          <w:u w:val="thick"/>
        </w:rPr>
      </w:pPr>
      <w:r w:rsidRPr="00AF050D">
        <w:rPr>
          <w:rFonts w:ascii="Times New Roman" w:hAnsi="Times New Roman"/>
          <w:sz w:val="24"/>
          <w:szCs w:val="24"/>
        </w:rPr>
        <w:t>FAWEK’s aim is to ensure that Kenyan girls receive quality education and equal life chances so that they grow into women who have the knowledge, skills and opportunity to contribute to the economic, social and democratic development of their societies.  Our work focuses on influencing action to reduce gender disparities in access, retention, participation and performance through a range of initiatives.</w:t>
      </w:r>
    </w:p>
    <w:p w:rsidR="00AF050D" w:rsidRPr="00AF050D" w:rsidRDefault="00AF050D" w:rsidP="00AF050D">
      <w:pPr>
        <w:jc w:val="both"/>
        <w:rPr>
          <w:rFonts w:ascii="Times New Roman" w:hAnsi="Times New Roman"/>
          <w:b/>
          <w:sz w:val="24"/>
          <w:szCs w:val="24"/>
          <w:u w:val="thick"/>
        </w:rPr>
      </w:pPr>
      <w:r w:rsidRPr="00AF050D">
        <w:rPr>
          <w:rFonts w:ascii="Times New Roman" w:hAnsi="Times New Roman"/>
          <w:b/>
          <w:sz w:val="24"/>
          <w:szCs w:val="24"/>
          <w:u w:val="thick"/>
        </w:rPr>
        <w:t>2016 INTERVENTIONS</w:t>
      </w:r>
    </w:p>
    <w:p w:rsidR="00AF050D" w:rsidRPr="00AF050D" w:rsidRDefault="00AF050D" w:rsidP="00AF050D">
      <w:pPr>
        <w:jc w:val="both"/>
        <w:rPr>
          <w:rFonts w:ascii="Times New Roman" w:hAnsi="Times New Roman"/>
          <w:b/>
          <w:sz w:val="24"/>
          <w:szCs w:val="24"/>
        </w:rPr>
      </w:pPr>
      <w:r w:rsidRPr="00AF050D">
        <w:rPr>
          <w:rFonts w:ascii="Times New Roman" w:hAnsi="Times New Roman"/>
          <w:b/>
          <w:sz w:val="24"/>
          <w:szCs w:val="24"/>
        </w:rPr>
        <w:t xml:space="preserve">ADOLESCENT SEXUAL REPRODUCTIVE HEALTH PROGRAMME </w:t>
      </w:r>
    </w:p>
    <w:p w:rsidR="00AF050D" w:rsidRPr="00AF050D" w:rsidRDefault="00AF050D" w:rsidP="00AF050D">
      <w:pPr>
        <w:jc w:val="both"/>
        <w:rPr>
          <w:rFonts w:ascii="Times New Roman" w:hAnsi="Times New Roman"/>
          <w:sz w:val="24"/>
          <w:szCs w:val="24"/>
        </w:rPr>
      </w:pPr>
      <w:r w:rsidRPr="00AF050D">
        <w:rPr>
          <w:rFonts w:ascii="Times New Roman" w:hAnsi="Times New Roman"/>
          <w:sz w:val="24"/>
          <w:szCs w:val="24"/>
        </w:rPr>
        <w:t xml:space="preserve">FAWE Kenya implements this program in Western Kenya. This year FAWE Kenya trained 28,264 student and 80 teachers both in primary and secondary on </w:t>
      </w:r>
      <w:proofErr w:type="spellStart"/>
      <w:r w:rsidRPr="00AF050D">
        <w:rPr>
          <w:rFonts w:ascii="Times New Roman" w:hAnsi="Times New Roman"/>
          <w:sz w:val="24"/>
          <w:szCs w:val="24"/>
        </w:rPr>
        <w:t>Tuseme</w:t>
      </w:r>
      <w:proofErr w:type="spellEnd"/>
      <w:r w:rsidRPr="00AF050D">
        <w:rPr>
          <w:rFonts w:ascii="Times New Roman" w:hAnsi="Times New Roman"/>
          <w:sz w:val="24"/>
          <w:szCs w:val="24"/>
        </w:rPr>
        <w:t xml:space="preserve"> Module which is a Kiswahili word that mean “lets speak out” and Adolescent Sexual and Reproductive Health and Right, the numbers were majorly reached through in school peer to peer education, in school </w:t>
      </w:r>
      <w:r w:rsidRPr="00AF050D">
        <w:rPr>
          <w:rFonts w:ascii="Times New Roman" w:hAnsi="Times New Roman"/>
          <w:sz w:val="24"/>
          <w:szCs w:val="24"/>
        </w:rPr>
        <w:lastRenderedPageBreak/>
        <w:t xml:space="preserve">mentorship forums and trainings organized by FAWE Kenya and conducted by FAWE national trainers. These trainings have empowered girls to be more assertive and aware of their Adolescent Sexual and Reproductive Health and Right. 20 Community sensitization meetings on Adolescent Sexual and Reproductive Health and Right were beside held to promote awareness within communities in western Kenya on the importance of girl child education and need to protect their reproductive health and right. The aim of the meetings were to eradicate unintended pregnancies, complications arising from unsafe abortions and child birth, Female Genital Mutilation, forced marriage, sexual violation, including rape and sexual harassment, HIV/AIDS and other STDs. More than 34,000 community members including community leaders were reached with information during the sensitization meetings. </w:t>
      </w:r>
    </w:p>
    <w:p w:rsidR="00AF050D" w:rsidRPr="00AF050D" w:rsidRDefault="00AF050D" w:rsidP="00AF050D">
      <w:pPr>
        <w:jc w:val="both"/>
        <w:rPr>
          <w:rFonts w:ascii="Times New Roman" w:hAnsi="Times New Roman"/>
          <w:sz w:val="24"/>
          <w:szCs w:val="24"/>
        </w:rPr>
      </w:pPr>
      <w:r w:rsidRPr="00AF050D">
        <w:rPr>
          <w:rFonts w:ascii="Times New Roman" w:hAnsi="Times New Roman"/>
          <w:sz w:val="24"/>
          <w:szCs w:val="24"/>
        </w:rPr>
        <w:t>FAWE Kenya also supported 40 needy girls with comprehensive scholarship package to enhance retention and transition rate in school. FAWE Kenya in addition reached 40 teenage mothers through re admitting then in schools, providing bursary, mentorship forums, guidance and counseling to improve retention, participation, transition and achievement for the girls. Furthermore FAWE Kenya went ahead to train 58 head of schools and County Directors of Education on ASRHR Policy and Re-entry Policy with an objective of create awareness and boost their capacity on the two policies to endorse re admi</w:t>
      </w:r>
      <w:r w:rsidR="006946BC">
        <w:rPr>
          <w:rFonts w:ascii="Times New Roman" w:hAnsi="Times New Roman"/>
          <w:sz w:val="24"/>
          <w:szCs w:val="24"/>
        </w:rPr>
        <w:t>ssion</w:t>
      </w:r>
      <w:r w:rsidRPr="00AF050D">
        <w:rPr>
          <w:rFonts w:ascii="Times New Roman" w:hAnsi="Times New Roman"/>
          <w:sz w:val="24"/>
          <w:szCs w:val="24"/>
        </w:rPr>
        <w:t xml:space="preserve"> of girls who had gotten pregnant and dropped out of school. Through the activities, schools in western Kenya have reported an increase in retention rate, positive parenting and right protection by the community.</w:t>
      </w:r>
    </w:p>
    <w:p w:rsidR="00AF050D" w:rsidRPr="00AF050D" w:rsidRDefault="00AF050D" w:rsidP="00AF050D">
      <w:pPr>
        <w:jc w:val="both"/>
        <w:rPr>
          <w:rFonts w:ascii="Times New Roman" w:hAnsi="Times New Roman"/>
          <w:sz w:val="24"/>
          <w:szCs w:val="24"/>
        </w:rPr>
      </w:pPr>
      <w:r w:rsidRPr="00AF050D">
        <w:rPr>
          <w:rFonts w:ascii="Times New Roman" w:hAnsi="Times New Roman"/>
          <w:b/>
          <w:bCs/>
          <w:sz w:val="24"/>
          <w:szCs w:val="24"/>
        </w:rPr>
        <w:t>Science Mathematics and Technology (SMT) Program</w:t>
      </w:r>
    </w:p>
    <w:p w:rsidR="00AF050D" w:rsidRPr="00AF050D" w:rsidRDefault="00AF050D" w:rsidP="00AF050D">
      <w:pPr>
        <w:jc w:val="both"/>
        <w:rPr>
          <w:rFonts w:ascii="Times New Roman" w:hAnsi="Times New Roman"/>
          <w:sz w:val="24"/>
          <w:szCs w:val="24"/>
        </w:rPr>
      </w:pPr>
      <w:r w:rsidRPr="00AF050D">
        <w:rPr>
          <w:rFonts w:ascii="Times New Roman" w:hAnsi="Times New Roman"/>
          <w:sz w:val="24"/>
          <w:szCs w:val="24"/>
        </w:rPr>
        <w:t>FAWE Kenya implements this program with an aims to enhance the quality of teaching and learning of Science, Mathematics and Technology in schools through demonstration and effective use of Information Communication Technology (ICT). The program targets girls with the goal of increasing their interest and performance in science based fields. The projects seeks to the capacity of teachers in teaching of science based courses using gender responsive methodologies and encourage creativity in developing and using teaching and learning materials from locally available resources.</w:t>
      </w:r>
    </w:p>
    <w:p w:rsidR="00AF050D" w:rsidRPr="00AF050D" w:rsidRDefault="00AF050D" w:rsidP="00292E59">
      <w:pPr>
        <w:spacing w:after="0"/>
        <w:jc w:val="both"/>
        <w:rPr>
          <w:rFonts w:ascii="Times New Roman" w:hAnsi="Times New Roman"/>
          <w:sz w:val="24"/>
          <w:szCs w:val="24"/>
        </w:rPr>
      </w:pPr>
      <w:r w:rsidRPr="00AF050D">
        <w:rPr>
          <w:rFonts w:ascii="Times New Roman" w:hAnsi="Times New Roman"/>
          <w:sz w:val="24"/>
          <w:szCs w:val="24"/>
        </w:rPr>
        <w:t>SMT program has been implemented in 12 schools in Kenya and this has contributed to;</w:t>
      </w:r>
    </w:p>
    <w:p w:rsidR="00AF050D" w:rsidRPr="00AF050D" w:rsidRDefault="00AF050D" w:rsidP="00292E59">
      <w:pPr>
        <w:numPr>
          <w:ilvl w:val="0"/>
          <w:numId w:val="4"/>
        </w:numPr>
        <w:spacing w:after="0" w:line="240" w:lineRule="auto"/>
        <w:jc w:val="both"/>
        <w:rPr>
          <w:rFonts w:ascii="Times New Roman" w:hAnsi="Times New Roman"/>
          <w:sz w:val="24"/>
          <w:szCs w:val="24"/>
        </w:rPr>
      </w:pPr>
      <w:r w:rsidRPr="00AF050D">
        <w:rPr>
          <w:rFonts w:ascii="Times New Roman" w:hAnsi="Times New Roman"/>
          <w:sz w:val="24"/>
          <w:szCs w:val="24"/>
        </w:rPr>
        <w:t xml:space="preserve">Increased confidence in tackling SMT subjects among girls in the project schools </w:t>
      </w:r>
    </w:p>
    <w:p w:rsidR="00AF050D" w:rsidRPr="00AF050D" w:rsidRDefault="00AF050D" w:rsidP="00292E59">
      <w:pPr>
        <w:spacing w:after="0" w:line="240" w:lineRule="auto"/>
        <w:ind w:firstLine="720"/>
        <w:jc w:val="both"/>
        <w:rPr>
          <w:rFonts w:ascii="Times New Roman" w:hAnsi="Times New Roman"/>
          <w:sz w:val="24"/>
          <w:szCs w:val="24"/>
        </w:rPr>
      </w:pPr>
    </w:p>
    <w:p w:rsidR="00AF050D" w:rsidRPr="00AF050D" w:rsidRDefault="00AF050D" w:rsidP="00292E59">
      <w:pPr>
        <w:numPr>
          <w:ilvl w:val="0"/>
          <w:numId w:val="4"/>
        </w:numPr>
        <w:spacing w:after="0" w:line="240" w:lineRule="auto"/>
        <w:jc w:val="both"/>
        <w:rPr>
          <w:rFonts w:ascii="Times New Roman" w:hAnsi="Times New Roman"/>
          <w:sz w:val="24"/>
          <w:szCs w:val="24"/>
        </w:rPr>
      </w:pPr>
      <w:r w:rsidRPr="00AF050D">
        <w:rPr>
          <w:rFonts w:ascii="Times New Roman" w:hAnsi="Times New Roman"/>
          <w:sz w:val="24"/>
          <w:szCs w:val="24"/>
        </w:rPr>
        <w:t xml:space="preserve">Increased participation in science competitions and symposiums among girls </w:t>
      </w:r>
    </w:p>
    <w:p w:rsidR="00AF050D" w:rsidRPr="00AF050D" w:rsidRDefault="00AF050D" w:rsidP="00292E59">
      <w:pPr>
        <w:spacing w:after="0" w:line="240" w:lineRule="auto"/>
        <w:jc w:val="both"/>
        <w:rPr>
          <w:rFonts w:ascii="Times New Roman" w:hAnsi="Times New Roman"/>
          <w:sz w:val="24"/>
          <w:szCs w:val="24"/>
        </w:rPr>
      </w:pPr>
    </w:p>
    <w:p w:rsidR="00AF050D" w:rsidRPr="00AF050D" w:rsidRDefault="00AF050D" w:rsidP="00292E59">
      <w:pPr>
        <w:numPr>
          <w:ilvl w:val="0"/>
          <w:numId w:val="4"/>
        </w:numPr>
        <w:spacing w:after="0" w:line="240" w:lineRule="auto"/>
        <w:jc w:val="both"/>
        <w:rPr>
          <w:rFonts w:ascii="Times New Roman" w:hAnsi="Times New Roman"/>
          <w:sz w:val="24"/>
          <w:szCs w:val="24"/>
        </w:rPr>
      </w:pPr>
      <w:r w:rsidRPr="00AF050D">
        <w:rPr>
          <w:rFonts w:ascii="Times New Roman" w:hAnsi="Times New Roman"/>
          <w:sz w:val="24"/>
          <w:szCs w:val="24"/>
        </w:rPr>
        <w:t xml:space="preserve">Increased interest among girls in SMT leading to improved performance in SMT courses </w:t>
      </w:r>
    </w:p>
    <w:p w:rsidR="00AF050D" w:rsidRPr="00AF050D" w:rsidRDefault="00AF050D" w:rsidP="00292E59">
      <w:pPr>
        <w:spacing w:after="0" w:line="240" w:lineRule="auto"/>
        <w:jc w:val="both"/>
        <w:rPr>
          <w:rFonts w:ascii="Times New Roman" w:hAnsi="Times New Roman"/>
          <w:sz w:val="24"/>
          <w:szCs w:val="24"/>
        </w:rPr>
      </w:pPr>
    </w:p>
    <w:p w:rsidR="00AF050D" w:rsidRPr="00AF050D" w:rsidRDefault="00AF050D" w:rsidP="00292E59">
      <w:pPr>
        <w:numPr>
          <w:ilvl w:val="0"/>
          <w:numId w:val="4"/>
        </w:numPr>
        <w:spacing w:after="0" w:line="240" w:lineRule="auto"/>
        <w:jc w:val="both"/>
        <w:rPr>
          <w:rFonts w:ascii="Times New Roman" w:hAnsi="Times New Roman"/>
          <w:sz w:val="24"/>
          <w:szCs w:val="24"/>
        </w:rPr>
      </w:pPr>
      <w:r w:rsidRPr="00AF050D">
        <w:rPr>
          <w:rFonts w:ascii="Times New Roman" w:hAnsi="Times New Roman"/>
          <w:sz w:val="24"/>
          <w:szCs w:val="24"/>
        </w:rPr>
        <w:t xml:space="preserve">Increased capacity of teachers in utilizing gender sensitive pedagogical approaches in SMT whilst demonstrating greater creativity in using locally available teaching and learning materials. </w:t>
      </w:r>
    </w:p>
    <w:p w:rsidR="00AF050D" w:rsidRPr="00AF050D" w:rsidRDefault="00AF050D" w:rsidP="00292E59">
      <w:pPr>
        <w:spacing w:after="0" w:line="240" w:lineRule="auto"/>
        <w:jc w:val="both"/>
        <w:rPr>
          <w:rFonts w:ascii="Times New Roman" w:hAnsi="Times New Roman"/>
          <w:sz w:val="24"/>
          <w:szCs w:val="24"/>
        </w:rPr>
      </w:pPr>
    </w:p>
    <w:p w:rsidR="009A1063" w:rsidRDefault="009A1063" w:rsidP="006946BC">
      <w:pPr>
        <w:spacing w:after="0" w:line="240" w:lineRule="auto"/>
        <w:jc w:val="both"/>
        <w:rPr>
          <w:rFonts w:ascii="Times New Roman" w:hAnsi="Times New Roman"/>
          <w:b/>
          <w:bCs/>
          <w:sz w:val="24"/>
          <w:szCs w:val="24"/>
        </w:rPr>
      </w:pPr>
    </w:p>
    <w:p w:rsidR="009A1063" w:rsidRDefault="009A1063" w:rsidP="006946BC">
      <w:pPr>
        <w:spacing w:after="0" w:line="240" w:lineRule="auto"/>
        <w:jc w:val="both"/>
        <w:rPr>
          <w:rFonts w:ascii="Times New Roman" w:hAnsi="Times New Roman"/>
          <w:b/>
          <w:bCs/>
          <w:sz w:val="24"/>
          <w:szCs w:val="24"/>
        </w:rPr>
      </w:pPr>
    </w:p>
    <w:p w:rsidR="009A1063" w:rsidRDefault="009A1063" w:rsidP="006946BC">
      <w:pPr>
        <w:spacing w:after="0" w:line="240" w:lineRule="auto"/>
        <w:jc w:val="both"/>
        <w:rPr>
          <w:rFonts w:ascii="Times New Roman" w:hAnsi="Times New Roman"/>
          <w:b/>
          <w:bCs/>
          <w:sz w:val="24"/>
          <w:szCs w:val="24"/>
        </w:rPr>
      </w:pPr>
    </w:p>
    <w:p w:rsidR="00AF050D" w:rsidRPr="00AF050D" w:rsidRDefault="00AF050D" w:rsidP="006946BC">
      <w:pPr>
        <w:spacing w:after="0" w:line="240" w:lineRule="auto"/>
        <w:jc w:val="both"/>
        <w:rPr>
          <w:rFonts w:ascii="Times New Roman" w:hAnsi="Times New Roman"/>
          <w:sz w:val="24"/>
          <w:szCs w:val="24"/>
        </w:rPr>
      </w:pPr>
      <w:bookmarkStart w:id="1" w:name="_GoBack"/>
      <w:bookmarkEnd w:id="1"/>
      <w:r w:rsidRPr="00AF050D">
        <w:rPr>
          <w:rFonts w:ascii="Times New Roman" w:hAnsi="Times New Roman"/>
          <w:b/>
          <w:bCs/>
          <w:sz w:val="24"/>
          <w:szCs w:val="24"/>
        </w:rPr>
        <w:lastRenderedPageBreak/>
        <w:t>Women Entrepreneurship programs</w:t>
      </w:r>
    </w:p>
    <w:p w:rsidR="00AF050D" w:rsidRPr="00AF050D" w:rsidRDefault="00AF050D" w:rsidP="006946BC">
      <w:pPr>
        <w:spacing w:after="0" w:line="240" w:lineRule="auto"/>
        <w:jc w:val="both"/>
        <w:rPr>
          <w:rFonts w:ascii="Times New Roman" w:hAnsi="Times New Roman"/>
          <w:sz w:val="24"/>
          <w:szCs w:val="24"/>
        </w:rPr>
      </w:pPr>
    </w:p>
    <w:p w:rsidR="00AF050D" w:rsidRPr="00AF050D" w:rsidRDefault="00AF050D" w:rsidP="00AF050D">
      <w:pPr>
        <w:jc w:val="both"/>
        <w:rPr>
          <w:rFonts w:ascii="Times New Roman" w:hAnsi="Times New Roman"/>
          <w:sz w:val="24"/>
          <w:szCs w:val="24"/>
        </w:rPr>
      </w:pPr>
      <w:r w:rsidRPr="00AF050D">
        <w:rPr>
          <w:rFonts w:ascii="Times New Roman" w:hAnsi="Times New Roman"/>
          <w:sz w:val="24"/>
          <w:szCs w:val="24"/>
        </w:rPr>
        <w:t xml:space="preserve">FAWE Kenya also adopted a new model of women entrepreneurship programs through women groups. Women groups have been identified as key community networks through which girls and women empowerment programs can be channeled. In 2016 FAWE Kenya has supported 4 women groups consisting of 100 members in Western Kenya. We began with a financial training to improve handling of finances and financial practices as a platform to initiate other models such as table banking. FAWE Kenya besides supported the groups with a revolving grant of ksh.240, 000 per group to bust their businesses. This year, a total of 76 girls have been supported with school fee and uniforms by the women groups. The women groups have also reached 36,840 community member and leaders with messages on </w:t>
      </w:r>
      <w:proofErr w:type="gramStart"/>
      <w:r w:rsidRPr="00AF050D">
        <w:rPr>
          <w:rFonts w:ascii="Times New Roman" w:hAnsi="Times New Roman"/>
          <w:sz w:val="24"/>
          <w:szCs w:val="24"/>
        </w:rPr>
        <w:t>girls</w:t>
      </w:r>
      <w:proofErr w:type="gramEnd"/>
      <w:r w:rsidRPr="00AF050D">
        <w:rPr>
          <w:rFonts w:ascii="Times New Roman" w:hAnsi="Times New Roman"/>
          <w:sz w:val="24"/>
          <w:szCs w:val="24"/>
        </w:rPr>
        <w:t xml:space="preserve"> education. This has contributed to change in community behavior and attitude towards </w:t>
      </w:r>
      <w:proofErr w:type="gramStart"/>
      <w:r w:rsidRPr="00AF050D">
        <w:rPr>
          <w:rFonts w:ascii="Times New Roman" w:hAnsi="Times New Roman"/>
          <w:sz w:val="24"/>
          <w:szCs w:val="24"/>
        </w:rPr>
        <w:t>girls</w:t>
      </w:r>
      <w:proofErr w:type="gramEnd"/>
      <w:r w:rsidRPr="00AF050D">
        <w:rPr>
          <w:rFonts w:ascii="Times New Roman" w:hAnsi="Times New Roman"/>
          <w:sz w:val="24"/>
          <w:szCs w:val="24"/>
        </w:rPr>
        <w:t xml:space="preserve"> education and significantly lead to increase in access and retention rate for the girl child. FAWE Kenya has also linked the women with more innovative programs based on their needs and interests. There is potential to reach out to other groups out of Western Kenya and also enable the groups to be change agents on girls’ education and gender matters in general.</w:t>
      </w:r>
    </w:p>
    <w:p w:rsidR="00AF050D" w:rsidRPr="00AF050D" w:rsidRDefault="00AF050D" w:rsidP="00AF050D">
      <w:pPr>
        <w:jc w:val="both"/>
        <w:rPr>
          <w:rFonts w:ascii="Times New Roman" w:hAnsi="Times New Roman"/>
          <w:b/>
          <w:sz w:val="24"/>
          <w:szCs w:val="24"/>
          <w:u w:val="thick"/>
        </w:rPr>
      </w:pPr>
      <w:r w:rsidRPr="00AF050D">
        <w:rPr>
          <w:rFonts w:ascii="Times New Roman" w:hAnsi="Times New Roman"/>
          <w:sz w:val="24"/>
          <w:szCs w:val="24"/>
        </w:rPr>
        <w:t xml:space="preserve">In conclusion FAWE Kenya has in great extent contributed to education policy development and implementation of the policy in school and community level to enhance access, retention, participation, transition and achievement in education for the girl child to have a society where gender parity and equality in education and training prevail.    </w:t>
      </w:r>
    </w:p>
    <w:p w:rsidR="00AF050D" w:rsidRPr="00AF050D" w:rsidRDefault="00AF050D" w:rsidP="00AF050D">
      <w:pPr>
        <w:jc w:val="both"/>
        <w:rPr>
          <w:rFonts w:ascii="Times New Roman" w:hAnsi="Times New Roman"/>
          <w:b/>
          <w:sz w:val="24"/>
          <w:szCs w:val="24"/>
        </w:rPr>
      </w:pPr>
      <w:r w:rsidRPr="00AF050D">
        <w:rPr>
          <w:rFonts w:ascii="Times New Roman" w:hAnsi="Times New Roman"/>
          <w:b/>
          <w:sz w:val="24"/>
          <w:szCs w:val="24"/>
        </w:rPr>
        <w:t>CEMASTEA</w:t>
      </w:r>
    </w:p>
    <w:p w:rsidR="00AF050D" w:rsidRPr="00AF050D" w:rsidRDefault="00AF050D" w:rsidP="00AF050D">
      <w:pPr>
        <w:jc w:val="both"/>
        <w:rPr>
          <w:rFonts w:ascii="Times New Roman" w:eastAsiaTheme="minorHAnsi" w:hAnsi="Times New Roman"/>
          <w:b/>
          <w:sz w:val="24"/>
          <w:szCs w:val="24"/>
        </w:rPr>
      </w:pPr>
      <w:r w:rsidRPr="00AF050D">
        <w:rPr>
          <w:rFonts w:ascii="Times New Roman" w:eastAsiaTheme="minorHAnsi" w:hAnsi="Times New Roman"/>
          <w:b/>
          <w:sz w:val="24"/>
          <w:szCs w:val="24"/>
        </w:rPr>
        <w:t>CEMASTEA’s Contribution to Africa’s Education Since 2013</w:t>
      </w:r>
    </w:p>
    <w:p w:rsidR="00AF050D" w:rsidRPr="00AF050D" w:rsidRDefault="00AF050D" w:rsidP="00AF050D">
      <w:pPr>
        <w:spacing w:after="120" w:line="360" w:lineRule="auto"/>
        <w:jc w:val="both"/>
        <w:rPr>
          <w:rFonts w:ascii="Times New Roman" w:eastAsiaTheme="minorHAnsi" w:hAnsi="Times New Roman"/>
          <w:sz w:val="24"/>
          <w:szCs w:val="24"/>
        </w:rPr>
      </w:pPr>
      <w:r w:rsidRPr="00AF050D">
        <w:rPr>
          <w:rFonts w:ascii="Times New Roman" w:eastAsiaTheme="minorHAnsi" w:hAnsi="Times New Roman"/>
          <w:sz w:val="24"/>
          <w:szCs w:val="24"/>
        </w:rPr>
        <w:t>The Centre for Mathematics, Science and Technology Education in Africa (CEMASTEA) is a government institution under the Kenyan Ministry of Education (</w:t>
      </w:r>
      <w:proofErr w:type="spellStart"/>
      <w:r w:rsidRPr="00AF050D">
        <w:rPr>
          <w:rFonts w:ascii="Times New Roman" w:eastAsiaTheme="minorHAnsi" w:hAnsi="Times New Roman"/>
          <w:sz w:val="24"/>
          <w:szCs w:val="24"/>
        </w:rPr>
        <w:t>MoE</w:t>
      </w:r>
      <w:proofErr w:type="spellEnd"/>
      <w:r w:rsidRPr="00AF050D">
        <w:rPr>
          <w:rFonts w:ascii="Times New Roman" w:eastAsiaTheme="minorHAnsi" w:hAnsi="Times New Roman"/>
          <w:sz w:val="24"/>
          <w:szCs w:val="24"/>
        </w:rPr>
        <w:t xml:space="preserve">) responsible for science and mathematics teachers’ professional development. The overarching strategy that CEMASTEA has constantly employed for pedagogical improvement has been the “Activity-based, Student-centered, Experiments and Improvisation” (ASEI) realized through the continual improvement cycle of “Plan, Do, See, Improve” (PDSI); the ASEI-PDSI. The Centre is organized in three training program areas namely: secondary, primary, and international; ICT integration in education to support lesson delivery; partnership and linkages, research and development. </w:t>
      </w:r>
    </w:p>
    <w:p w:rsidR="00AF050D" w:rsidRPr="00AF050D" w:rsidRDefault="00AF050D" w:rsidP="00AF050D">
      <w:pPr>
        <w:spacing w:after="0" w:line="360" w:lineRule="auto"/>
        <w:jc w:val="both"/>
        <w:rPr>
          <w:rFonts w:ascii="Times New Roman" w:eastAsiaTheme="minorHAnsi" w:hAnsi="Times New Roman"/>
          <w:sz w:val="24"/>
          <w:szCs w:val="24"/>
        </w:rPr>
      </w:pPr>
      <w:r w:rsidRPr="00AF050D">
        <w:rPr>
          <w:rFonts w:ascii="Times New Roman" w:eastAsiaTheme="minorHAnsi" w:hAnsi="Times New Roman"/>
          <w:sz w:val="24"/>
          <w:szCs w:val="24"/>
        </w:rPr>
        <w:t xml:space="preserve">CEMASTEA’s contribution to Africa’s education is through partnership and linkages with local and international organizations. Since 2004, the Centre has been developing capacity of teachers and other educators from twenty-nine other African countries on innovative pedagogy using locally available materials in partnership with Japan International Co-operation Agency (JICA).  </w:t>
      </w:r>
      <w:r w:rsidRPr="00AF050D">
        <w:rPr>
          <w:rFonts w:ascii="Times New Roman" w:eastAsiaTheme="minorHAnsi" w:hAnsi="Times New Roman"/>
          <w:sz w:val="24"/>
          <w:szCs w:val="24"/>
        </w:rPr>
        <w:lastRenderedPageBreak/>
        <w:t>The Centre is also an Inter-Country Quality Node for the development of mathematics and science for Association for Development of Education in Africa (ADEA). Through a memorandum of understanding with African Union Commission, CEMASTEA spearheading science, technology, engineering and mathematics (STEM) in Africa. In the same area, CEMASTEA is also working with United Nations’ Education, Scientific and Cultural Organization’s International Institute for Capacity Building (UNESCO-IICBA) in promoting science, technology, engineering, art and Design and mathematics (STEAM) in Africa.</w:t>
      </w:r>
    </w:p>
    <w:p w:rsidR="00AF050D" w:rsidRPr="00AF050D" w:rsidRDefault="00AF050D" w:rsidP="00AF050D">
      <w:pPr>
        <w:spacing w:after="0" w:line="360" w:lineRule="auto"/>
        <w:jc w:val="both"/>
        <w:rPr>
          <w:rFonts w:ascii="Times New Roman" w:eastAsiaTheme="minorHAnsi" w:hAnsi="Times New Roman"/>
          <w:sz w:val="24"/>
          <w:szCs w:val="24"/>
        </w:rPr>
      </w:pPr>
      <w:r w:rsidRPr="00AF050D">
        <w:rPr>
          <w:rFonts w:ascii="Times New Roman" w:eastAsiaTheme="minorHAnsi" w:hAnsi="Times New Roman"/>
          <w:sz w:val="24"/>
          <w:szCs w:val="24"/>
        </w:rPr>
        <w:t xml:space="preserve">Since 2013, under the Jubilee government, CEMASTEA has strengthened her activities as an Africa’s </w:t>
      </w:r>
      <w:proofErr w:type="spellStart"/>
      <w:r w:rsidRPr="00AF050D">
        <w:rPr>
          <w:rFonts w:ascii="Times New Roman" w:eastAsiaTheme="minorHAnsi" w:hAnsi="Times New Roman"/>
          <w:sz w:val="24"/>
          <w:szCs w:val="24"/>
        </w:rPr>
        <w:t>centre</w:t>
      </w:r>
      <w:proofErr w:type="spellEnd"/>
      <w:r w:rsidRPr="00AF050D">
        <w:rPr>
          <w:rFonts w:ascii="Times New Roman" w:eastAsiaTheme="minorHAnsi" w:hAnsi="Times New Roman"/>
          <w:sz w:val="24"/>
          <w:szCs w:val="24"/>
        </w:rPr>
        <w:t xml:space="preserve"> for educational research and capacity development in innovative pedagogy. </w:t>
      </w:r>
    </w:p>
    <w:p w:rsidR="00AF050D" w:rsidRPr="00AF050D" w:rsidRDefault="00AF050D" w:rsidP="00AF050D">
      <w:pPr>
        <w:spacing w:line="360" w:lineRule="auto"/>
        <w:jc w:val="both"/>
        <w:rPr>
          <w:rFonts w:ascii="Times New Roman" w:eastAsiaTheme="minorHAnsi" w:hAnsi="Times New Roman"/>
          <w:sz w:val="24"/>
          <w:szCs w:val="24"/>
        </w:rPr>
      </w:pPr>
      <w:r w:rsidRPr="00AF050D">
        <w:rPr>
          <w:rFonts w:ascii="Times New Roman" w:eastAsiaTheme="minorHAnsi" w:hAnsi="Times New Roman"/>
          <w:sz w:val="24"/>
          <w:szCs w:val="24"/>
        </w:rPr>
        <w:t>CEMASTEA achievements in line with Jubilee Manifesto, Kenya Vision 2013, and Continental Education Strategy for Africa 16-25 are as follows:</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Capacity building 300 teachers from twelve African countries through the Third Country Training Program (TCTP)</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Introducing 47 science, technology, engineering and mathematics (STEM) model schools in Kenya;</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 xml:space="preserve">Conducting workshop for 60 teachers and educators from six countries on science, technology, engineering, art &amp; design  and mathematics (STEAM) </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Organized three international conferences which brought together more than one thousand participants from different organization and agency working in the education sector in the Africa and other continents</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 xml:space="preserve"> Conducted three main research including one situational analysis on the teachers’ practice in six African Countries</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 xml:space="preserve">Actively participating in preparations for ADEA </w:t>
      </w:r>
      <w:proofErr w:type="spellStart"/>
      <w:r w:rsidRPr="00AF050D">
        <w:rPr>
          <w:rFonts w:ascii="Times New Roman" w:hAnsi="Times New Roman"/>
          <w:sz w:val="24"/>
          <w:szCs w:val="24"/>
        </w:rPr>
        <w:t>Trienniale</w:t>
      </w:r>
      <w:proofErr w:type="spellEnd"/>
      <w:r w:rsidRPr="00AF050D">
        <w:rPr>
          <w:rFonts w:ascii="Times New Roman" w:hAnsi="Times New Roman"/>
          <w:sz w:val="24"/>
          <w:szCs w:val="24"/>
        </w:rPr>
        <w:t xml:space="preserve"> to be held in Morocco in 2017</w:t>
      </w:r>
    </w:p>
    <w:p w:rsidR="00AF050D" w:rsidRPr="00AF050D" w:rsidRDefault="00AF050D" w:rsidP="00AF050D">
      <w:pPr>
        <w:numPr>
          <w:ilvl w:val="0"/>
          <w:numId w:val="5"/>
        </w:numPr>
        <w:spacing w:after="0" w:line="240" w:lineRule="auto"/>
        <w:contextualSpacing/>
        <w:jc w:val="both"/>
        <w:rPr>
          <w:rFonts w:ascii="Times New Roman" w:hAnsi="Times New Roman"/>
          <w:sz w:val="24"/>
          <w:szCs w:val="24"/>
        </w:rPr>
      </w:pPr>
      <w:r w:rsidRPr="00AF050D">
        <w:rPr>
          <w:rFonts w:ascii="Times New Roman" w:hAnsi="Times New Roman"/>
          <w:sz w:val="24"/>
          <w:szCs w:val="24"/>
        </w:rPr>
        <w:t>Actively participating in TICAD VI conference preparation to be held in Kenya August 2016</w:t>
      </w:r>
    </w:p>
    <w:p w:rsidR="00AF050D" w:rsidRPr="00AF050D" w:rsidRDefault="00AF050D" w:rsidP="00AF050D">
      <w:pPr>
        <w:spacing w:line="360" w:lineRule="auto"/>
        <w:jc w:val="both"/>
        <w:rPr>
          <w:rFonts w:asciiTheme="minorHAnsi" w:eastAsiaTheme="minorHAnsi" w:hAnsiTheme="minorHAnsi" w:cstheme="minorBidi"/>
          <w:szCs w:val="24"/>
        </w:rPr>
      </w:pPr>
    </w:p>
    <w:p w:rsidR="00AF050D" w:rsidRPr="00AF050D" w:rsidRDefault="00AF050D" w:rsidP="00AF050D">
      <w:pPr>
        <w:spacing w:line="360" w:lineRule="auto"/>
        <w:jc w:val="both"/>
        <w:rPr>
          <w:rFonts w:asciiTheme="minorHAnsi" w:eastAsiaTheme="minorHAnsi" w:hAnsiTheme="minorHAnsi" w:cstheme="minorBidi"/>
          <w:b/>
          <w:szCs w:val="24"/>
        </w:rPr>
      </w:pPr>
    </w:p>
    <w:p w:rsidR="00AF050D" w:rsidRPr="00AF050D" w:rsidRDefault="00AF050D" w:rsidP="009A7384">
      <w:pPr>
        <w:rPr>
          <w:rFonts w:ascii="Times New Roman" w:hAnsi="Times New Roman"/>
          <w:b/>
          <w:sz w:val="24"/>
          <w:szCs w:val="24"/>
        </w:rPr>
      </w:pPr>
    </w:p>
    <w:sectPr w:rsidR="00AF050D" w:rsidRPr="00AF050D" w:rsidSect="009A106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strangelo Edessa">
    <w:panose1 w:val="030806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460325B8"/>
    <w:multiLevelType w:val="hybridMultilevel"/>
    <w:tmpl w:val="91281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7675F"/>
    <w:multiLevelType w:val="hybridMultilevel"/>
    <w:tmpl w:val="0E80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E7D03"/>
    <w:multiLevelType w:val="hybridMultilevel"/>
    <w:tmpl w:val="4AB0CAFA"/>
    <w:lvl w:ilvl="0" w:tplc="2B1676F0">
      <w:start w:val="1"/>
      <w:numFmt w:val="lowerRoman"/>
      <w:lvlText w:val="(%1)"/>
      <w:lvlJc w:val="left"/>
      <w:pPr>
        <w:ind w:left="720" w:hanging="360"/>
      </w:pPr>
      <w:rPr>
        <w:rFonts w:ascii="Estrangelo Edessa" w:hAnsi="Estrangelo Edessa" w:cs="Estrangelo Edess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E0E03"/>
    <w:multiLevelType w:val="hybridMultilevel"/>
    <w:tmpl w:val="80E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10"/>
    <w:rsid w:val="0008178C"/>
    <w:rsid w:val="000F54C0"/>
    <w:rsid w:val="00164638"/>
    <w:rsid w:val="0024222E"/>
    <w:rsid w:val="002567E7"/>
    <w:rsid w:val="00292E59"/>
    <w:rsid w:val="00297E39"/>
    <w:rsid w:val="00307199"/>
    <w:rsid w:val="003D4A58"/>
    <w:rsid w:val="00456D3E"/>
    <w:rsid w:val="00501D51"/>
    <w:rsid w:val="005077E7"/>
    <w:rsid w:val="00576210"/>
    <w:rsid w:val="00660063"/>
    <w:rsid w:val="006946BC"/>
    <w:rsid w:val="006A4341"/>
    <w:rsid w:val="007F2A66"/>
    <w:rsid w:val="00874BD2"/>
    <w:rsid w:val="0095319B"/>
    <w:rsid w:val="009A1063"/>
    <w:rsid w:val="009A7384"/>
    <w:rsid w:val="00A30153"/>
    <w:rsid w:val="00AF050D"/>
    <w:rsid w:val="00B00699"/>
    <w:rsid w:val="00B92C13"/>
    <w:rsid w:val="00E35B3D"/>
    <w:rsid w:val="00E8366C"/>
    <w:rsid w:val="00EA3B33"/>
    <w:rsid w:val="00ED0D6D"/>
    <w:rsid w:val="00F87122"/>
    <w:rsid w:val="00FB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D6D"/>
    <w:rPr>
      <w:rFonts w:ascii="Tahoma" w:eastAsia="Calibri" w:hAnsi="Tahoma" w:cs="Tahoma"/>
      <w:sz w:val="16"/>
      <w:szCs w:val="16"/>
    </w:rPr>
  </w:style>
  <w:style w:type="paragraph" w:styleId="ListParagraph">
    <w:name w:val="List Paragraph"/>
    <w:basedOn w:val="Normal"/>
    <w:uiPriority w:val="34"/>
    <w:qFormat/>
    <w:rsid w:val="00F87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D6D"/>
    <w:rPr>
      <w:rFonts w:ascii="Tahoma" w:eastAsia="Calibri" w:hAnsi="Tahoma" w:cs="Tahoma"/>
      <w:sz w:val="16"/>
      <w:szCs w:val="16"/>
    </w:rPr>
  </w:style>
  <w:style w:type="paragraph" w:styleId="ListParagraph">
    <w:name w:val="List Paragraph"/>
    <w:basedOn w:val="Normal"/>
    <w:uiPriority w:val="34"/>
    <w:qFormat/>
    <w:rsid w:val="00F8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2016-10-24T00:24:00Z</dcterms:created>
  <dcterms:modified xsi:type="dcterms:W3CDTF">2016-10-24T15:55:00Z</dcterms:modified>
</cp:coreProperties>
</file>