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84" w:rsidRPr="0008178C" w:rsidRDefault="0008178C" w:rsidP="0008178C">
      <w:pPr>
        <w:jc w:val="both"/>
        <w:rPr>
          <w:rFonts w:ascii="Cambria" w:hAnsi="Cambria"/>
          <w:b/>
          <w:sz w:val="28"/>
          <w:szCs w:val="28"/>
        </w:rPr>
      </w:pPr>
      <w:r w:rsidRPr="0008178C">
        <w:rPr>
          <w:rFonts w:ascii="Cambria" w:hAnsi="Cambria"/>
          <w:b/>
          <w:sz w:val="28"/>
          <w:szCs w:val="28"/>
        </w:rPr>
        <w:t>EDUCATION ACTIVITIES IN KENYA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284"/>
        <w:gridCol w:w="1092"/>
        <w:gridCol w:w="990"/>
        <w:gridCol w:w="1134"/>
        <w:gridCol w:w="270"/>
        <w:gridCol w:w="2160"/>
        <w:gridCol w:w="1620"/>
      </w:tblGrid>
      <w:tr w:rsidR="006A4341" w:rsidRPr="006A4341" w:rsidTr="004A74D5">
        <w:tc>
          <w:tcPr>
            <w:tcW w:w="5418" w:type="dxa"/>
            <w:gridSpan w:val="5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jc w:val="center"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POPULATION %</w:t>
            </w:r>
          </w:p>
        </w:tc>
        <w:tc>
          <w:tcPr>
            <w:tcW w:w="270" w:type="dxa"/>
            <w:vMerge w:val="restart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jc w:val="center"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Budget</w:t>
            </w:r>
          </w:p>
        </w:tc>
      </w:tr>
      <w:tr w:rsidR="006A4341" w:rsidRPr="006A4341" w:rsidTr="004A74D5">
        <w:tc>
          <w:tcPr>
            <w:tcW w:w="918" w:type="dxa"/>
            <w:vMerge w:val="restart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376" w:type="dxa"/>
            <w:gridSpan w:val="2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General distribution</w:t>
            </w:r>
          </w:p>
        </w:tc>
        <w:tc>
          <w:tcPr>
            <w:tcW w:w="2124" w:type="dxa"/>
            <w:gridSpan w:val="2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Enrolled by cycle</w:t>
            </w:r>
          </w:p>
        </w:tc>
        <w:tc>
          <w:tcPr>
            <w:tcW w:w="270" w:type="dxa"/>
            <w:vMerge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  <w:t>School cycle</w:t>
            </w:r>
          </w:p>
        </w:tc>
        <w:tc>
          <w:tcPr>
            <w:tcW w:w="162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%</w:t>
            </w:r>
          </w:p>
        </w:tc>
      </w:tr>
      <w:tr w:rsidR="006A4341" w:rsidRPr="006A4341" w:rsidTr="004A74D5">
        <w:trPr>
          <w:trHeight w:val="305"/>
        </w:trPr>
        <w:tc>
          <w:tcPr>
            <w:tcW w:w="918" w:type="dxa"/>
            <w:vMerge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jc w:val="center"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2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jc w:val="center"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9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jc w:val="center"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jc w:val="center"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270" w:type="dxa"/>
            <w:vMerge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</w:tr>
      <w:tr w:rsidR="006A4341" w:rsidRPr="006A4341" w:rsidTr="004A74D5">
        <w:trPr>
          <w:trHeight w:val="152"/>
        </w:trPr>
        <w:tc>
          <w:tcPr>
            <w:tcW w:w="918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3</w:t>
            </w: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-5</w:t>
            </w:r>
          </w:p>
        </w:tc>
        <w:tc>
          <w:tcPr>
            <w:tcW w:w="1284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34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75</w:t>
            </w:r>
          </w:p>
        </w:tc>
        <w:tc>
          <w:tcPr>
            <w:tcW w:w="270" w:type="dxa"/>
            <w:vMerge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  <w:t>Pre-primary</w:t>
            </w:r>
          </w:p>
        </w:tc>
        <w:tc>
          <w:tcPr>
            <w:tcW w:w="162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1.8</w:t>
            </w:r>
          </w:p>
        </w:tc>
      </w:tr>
      <w:tr w:rsidR="006A4341" w:rsidRPr="0008178C" w:rsidTr="00AE0976">
        <w:trPr>
          <w:trHeight w:val="224"/>
        </w:trPr>
        <w:tc>
          <w:tcPr>
            <w:tcW w:w="918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6 - 1</w:t>
            </w: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3</w:t>
            </w:r>
          </w:p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105.8</w:t>
            </w:r>
          </w:p>
        </w:tc>
        <w:tc>
          <w:tcPr>
            <w:tcW w:w="1134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101.5</w:t>
            </w:r>
          </w:p>
        </w:tc>
        <w:tc>
          <w:tcPr>
            <w:tcW w:w="270" w:type="dxa"/>
            <w:vMerge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62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41.6</w:t>
            </w:r>
          </w:p>
        </w:tc>
      </w:tr>
      <w:tr w:rsidR="006A4341" w:rsidRPr="006A4341" w:rsidTr="004A74D5">
        <w:tc>
          <w:tcPr>
            <w:tcW w:w="918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1</w:t>
            </w: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4</w:t>
            </w: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-17</w:t>
            </w:r>
          </w:p>
        </w:tc>
        <w:tc>
          <w:tcPr>
            <w:tcW w:w="1284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67.1</w:t>
            </w:r>
          </w:p>
        </w:tc>
        <w:tc>
          <w:tcPr>
            <w:tcW w:w="1134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59.6</w:t>
            </w:r>
          </w:p>
        </w:tc>
        <w:tc>
          <w:tcPr>
            <w:tcW w:w="270" w:type="dxa"/>
            <w:vMerge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620" w:type="dxa"/>
            <w:shd w:val="clear" w:color="auto" w:fill="auto"/>
          </w:tcPr>
          <w:p w:rsidR="006A4341" w:rsidRPr="006A4341" w:rsidRDefault="006A4341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50.6</w:t>
            </w:r>
          </w:p>
        </w:tc>
      </w:tr>
      <w:tr w:rsidR="0008178C" w:rsidRPr="006A4341" w:rsidTr="004A74D5">
        <w:trPr>
          <w:trHeight w:val="251"/>
        </w:trPr>
        <w:tc>
          <w:tcPr>
            <w:tcW w:w="918" w:type="dxa"/>
            <w:shd w:val="clear" w:color="auto" w:fill="auto"/>
          </w:tcPr>
          <w:p w:rsidR="0008178C" w:rsidRPr="006A4341" w:rsidRDefault="0008178C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18-35</w:t>
            </w:r>
          </w:p>
        </w:tc>
        <w:tc>
          <w:tcPr>
            <w:tcW w:w="1284" w:type="dxa"/>
            <w:shd w:val="clear" w:color="auto" w:fill="auto"/>
          </w:tcPr>
          <w:p w:rsidR="0008178C" w:rsidRPr="006A4341" w:rsidRDefault="0008178C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08178C" w:rsidRPr="006A4341" w:rsidRDefault="0008178C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08178C" w:rsidRPr="006A4341" w:rsidRDefault="0008178C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08178C" w:rsidRPr="006A4341" w:rsidRDefault="0008178C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08178C" w:rsidRPr="006A4341" w:rsidRDefault="0008178C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8178C" w:rsidRPr="006A4341" w:rsidRDefault="0008178C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</w:pPr>
            <w:r w:rsidRPr="006A4341"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  <w:t xml:space="preserve">TVET </w:t>
            </w:r>
          </w:p>
        </w:tc>
        <w:tc>
          <w:tcPr>
            <w:tcW w:w="1620" w:type="dxa"/>
            <w:shd w:val="clear" w:color="auto" w:fill="auto"/>
          </w:tcPr>
          <w:p w:rsidR="0008178C" w:rsidRPr="006A4341" w:rsidRDefault="0008178C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5.1</w:t>
            </w:r>
          </w:p>
        </w:tc>
      </w:tr>
      <w:tr w:rsidR="005077E7" w:rsidRPr="0008178C" w:rsidTr="004A74D5">
        <w:trPr>
          <w:trHeight w:val="233"/>
        </w:trPr>
        <w:tc>
          <w:tcPr>
            <w:tcW w:w="918" w:type="dxa"/>
            <w:shd w:val="clear" w:color="auto" w:fill="auto"/>
          </w:tcPr>
          <w:p w:rsidR="005077E7" w:rsidRPr="006A4341" w:rsidRDefault="005077E7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18-35</w:t>
            </w:r>
          </w:p>
        </w:tc>
        <w:tc>
          <w:tcPr>
            <w:tcW w:w="1284" w:type="dxa"/>
            <w:shd w:val="clear" w:color="auto" w:fill="auto"/>
          </w:tcPr>
          <w:p w:rsidR="005077E7" w:rsidRPr="006A4341" w:rsidRDefault="005077E7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5077E7" w:rsidRPr="006A4341" w:rsidRDefault="005077E7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5077E7" w:rsidRPr="006A4341" w:rsidRDefault="005077E7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5077E7" w:rsidRPr="006A4341" w:rsidRDefault="005077E7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5077E7" w:rsidRPr="006A4341" w:rsidRDefault="005077E7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5077E7" w:rsidRPr="006A4341" w:rsidRDefault="005077E7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</w:pPr>
            <w:smartTag w:uri="urn:schemas-microsoft-com:office:smarttags" w:element="stockticker">
              <w:r w:rsidRPr="006A4341">
                <w:rPr>
                  <w:rFonts w:ascii="Footlight MT Light" w:eastAsia="Times New Roman" w:hAnsi="Footlight MT Light" w:cs="Estrangelo Edessa"/>
                  <w:color w:val="000000"/>
                  <w:sz w:val="20"/>
                  <w:szCs w:val="20"/>
                </w:rPr>
                <w:t>STI</w:t>
              </w:r>
            </w:smartTag>
            <w:r w:rsidRPr="0008178C">
              <w:rPr>
                <w:rFonts w:ascii="Footlight MT Light" w:eastAsia="Times New Roman" w:hAnsi="Footlight MT Light" w:cs="Estrangelo Edessa"/>
                <w:color w:val="000000"/>
                <w:sz w:val="20"/>
                <w:szCs w:val="20"/>
              </w:rPr>
              <w:t>+Higher</w:t>
            </w:r>
          </w:p>
        </w:tc>
        <w:tc>
          <w:tcPr>
            <w:tcW w:w="1620" w:type="dxa"/>
            <w:shd w:val="clear" w:color="auto" w:fill="auto"/>
          </w:tcPr>
          <w:p w:rsidR="005077E7" w:rsidRPr="006A4341" w:rsidRDefault="005077E7" w:rsidP="00AE0976">
            <w:pPr>
              <w:spacing w:before="100" w:after="0" w:line="240" w:lineRule="auto"/>
              <w:contextualSpacing/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</w:pPr>
            <w:r w:rsidRPr="0008178C">
              <w:rPr>
                <w:rFonts w:ascii="Footlight MT Light" w:eastAsia="Times New Roman" w:hAnsi="Footlight MT Light" w:cs="Estrangelo Edessa"/>
                <w:b/>
                <w:color w:val="000000"/>
                <w:sz w:val="20"/>
                <w:szCs w:val="20"/>
              </w:rPr>
              <w:t>14.8</w:t>
            </w:r>
          </w:p>
        </w:tc>
      </w:tr>
    </w:tbl>
    <w:p w:rsidR="009A7384" w:rsidRPr="004A74D5" w:rsidRDefault="005077E7" w:rsidP="00AE0976">
      <w:pPr>
        <w:spacing w:after="0"/>
        <w:jc w:val="both"/>
        <w:rPr>
          <w:rFonts w:ascii="Cambria" w:hAnsi="Cambria"/>
          <w:b/>
          <w:sz w:val="16"/>
          <w:szCs w:val="16"/>
        </w:rPr>
      </w:pPr>
      <w:r w:rsidRPr="004A74D5">
        <w:rPr>
          <w:rFonts w:ascii="Cambria" w:hAnsi="Cambria"/>
          <w:b/>
          <w:sz w:val="16"/>
          <w:szCs w:val="16"/>
        </w:rPr>
        <w:t>Obtained from Kenya National Bureau of Statistics 2015/2016</w:t>
      </w:r>
    </w:p>
    <w:p w:rsidR="009A7384" w:rsidRPr="0008178C" w:rsidRDefault="009A7384" w:rsidP="00AE09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178C">
        <w:rPr>
          <w:rFonts w:ascii="Times New Roman" w:hAnsi="Times New Roman"/>
          <w:sz w:val="24"/>
          <w:szCs w:val="24"/>
        </w:rPr>
        <w:t>The Ministry of Education</w:t>
      </w:r>
      <w:r w:rsidR="006A4341" w:rsidRPr="0008178C">
        <w:rPr>
          <w:rFonts w:ascii="Times New Roman" w:hAnsi="Times New Roman"/>
          <w:sz w:val="24"/>
          <w:szCs w:val="24"/>
        </w:rPr>
        <w:t xml:space="preserve"> </w:t>
      </w:r>
      <w:r w:rsidRPr="0008178C">
        <w:rPr>
          <w:rFonts w:ascii="Times New Roman" w:hAnsi="Times New Roman"/>
          <w:sz w:val="24"/>
          <w:szCs w:val="24"/>
        </w:rPr>
        <w:t xml:space="preserve">(MOE) places education at the </w:t>
      </w:r>
      <w:r w:rsidR="006A4341" w:rsidRPr="0008178C">
        <w:rPr>
          <w:rFonts w:ascii="Times New Roman" w:hAnsi="Times New Roman"/>
          <w:sz w:val="24"/>
          <w:szCs w:val="24"/>
        </w:rPr>
        <w:t>Centre</w:t>
      </w:r>
      <w:r w:rsidRPr="0008178C">
        <w:rPr>
          <w:rFonts w:ascii="Times New Roman" w:hAnsi="Times New Roman"/>
          <w:sz w:val="24"/>
          <w:szCs w:val="24"/>
        </w:rPr>
        <w:t xml:space="preserve"> stage of the country’s human and economic development strategies.  As such, education in Kenya aims at providing globally competitive, quality education</w:t>
      </w:r>
      <w:r w:rsidR="006A4341" w:rsidRPr="0008178C">
        <w:rPr>
          <w:rFonts w:ascii="Times New Roman" w:hAnsi="Times New Roman"/>
          <w:sz w:val="24"/>
          <w:szCs w:val="24"/>
        </w:rPr>
        <w:t xml:space="preserve"> and</w:t>
      </w:r>
      <w:r w:rsidRPr="0008178C">
        <w:rPr>
          <w:rFonts w:ascii="Times New Roman" w:hAnsi="Times New Roman"/>
          <w:sz w:val="24"/>
          <w:szCs w:val="24"/>
        </w:rPr>
        <w:t xml:space="preserve"> training.</w:t>
      </w:r>
    </w:p>
    <w:p w:rsidR="000F54C0" w:rsidRPr="0008178C" w:rsidRDefault="000F54C0" w:rsidP="00AE0976">
      <w:pPr>
        <w:tabs>
          <w:tab w:val="left" w:pos="900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8178C">
        <w:rPr>
          <w:rFonts w:ascii="Times New Roman" w:hAnsi="Times New Roman"/>
          <w:b/>
          <w:sz w:val="24"/>
          <w:szCs w:val="24"/>
        </w:rPr>
        <w:t>Early Childhood Development Education</w:t>
      </w:r>
      <w:r w:rsidR="00307199" w:rsidRPr="0008178C">
        <w:rPr>
          <w:rFonts w:ascii="Times New Roman" w:hAnsi="Times New Roman"/>
          <w:b/>
          <w:sz w:val="24"/>
          <w:szCs w:val="24"/>
        </w:rPr>
        <w:t xml:space="preserve"> (ECDE)</w:t>
      </w:r>
    </w:p>
    <w:p w:rsidR="000F54C0" w:rsidRPr="0008178C" w:rsidRDefault="000F54C0" w:rsidP="00AE0976">
      <w:pPr>
        <w:tabs>
          <w:tab w:val="left" w:pos="900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8178C">
        <w:rPr>
          <w:rFonts w:ascii="Times New Roman" w:hAnsi="Times New Roman"/>
          <w:color w:val="000000"/>
          <w:sz w:val="24"/>
          <w:szCs w:val="24"/>
        </w:rPr>
        <w:t>There has been a remarkable achievement in the ECDE sub-sector over the last five years under KESSP (2005-2010). Access rate increased from a GER of 35% in 2003 to 63% in 2014.  ECDE is a devolved function and Counties have embarked on its implementation by hiring of teachers and putting up of infrastructure among others. A National Policy Framework and Service Standards Guidelines   are being developed in line with the new constitution</w:t>
      </w:r>
    </w:p>
    <w:p w:rsidR="00307199" w:rsidRPr="0008178C" w:rsidRDefault="00307199" w:rsidP="00AE0976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08178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Primary </w:t>
      </w:r>
      <w:r w:rsidRPr="0008178C">
        <w:rPr>
          <w:rFonts w:ascii="Times New Roman" w:eastAsia="Times New Roman" w:hAnsi="Times New Roman"/>
          <w:b/>
          <w:sz w:val="24"/>
          <w:szCs w:val="24"/>
        </w:rPr>
        <w:t>Education</w:t>
      </w:r>
    </w:p>
    <w:p w:rsidR="000F54C0" w:rsidRPr="000F54C0" w:rsidRDefault="000F54C0" w:rsidP="00AE0976">
      <w:pPr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F54C0">
        <w:rPr>
          <w:rFonts w:ascii="Times New Roman" w:eastAsia="Times New Roman" w:hAnsi="Times New Roman"/>
          <w:color w:val="000000"/>
          <w:sz w:val="24"/>
          <w:szCs w:val="24"/>
        </w:rPr>
        <w:t>Since the introduction of the Free Primary Education (FPE) Programme in January 2003, enrolment increased from 5.9 million in 2003 to 9,950,746 million in 201</w:t>
      </w:r>
      <w:r w:rsidR="002567E7" w:rsidRPr="0008178C">
        <w:rPr>
          <w:rFonts w:ascii="Times New Roman" w:eastAsia="Times New Roman" w:hAnsi="Times New Roman"/>
          <w:color w:val="000000"/>
          <w:sz w:val="24"/>
          <w:szCs w:val="24"/>
        </w:rPr>
        <w:t>6</w:t>
      </w:r>
      <w:r w:rsidRPr="000F54C0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307199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There were </w:t>
      </w:r>
      <w:r w:rsidR="00307199" w:rsidRPr="0008178C">
        <w:rPr>
          <w:rFonts w:ascii="Times New Roman" w:hAnsi="Times New Roman"/>
          <w:sz w:val="24"/>
          <w:szCs w:val="24"/>
        </w:rPr>
        <w:t>4</w:t>
      </w:r>
      <w:r w:rsidR="003D4A58" w:rsidRPr="0008178C">
        <w:rPr>
          <w:rFonts w:ascii="Times New Roman" w:hAnsi="Times New Roman"/>
          <w:sz w:val="24"/>
          <w:szCs w:val="24"/>
        </w:rPr>
        <w:t>,</w:t>
      </w:r>
      <w:r w:rsidR="00307199" w:rsidRPr="0008178C">
        <w:rPr>
          <w:rFonts w:ascii="Times New Roman" w:hAnsi="Times New Roman"/>
          <w:sz w:val="24"/>
          <w:szCs w:val="24"/>
        </w:rPr>
        <w:t>844</w:t>
      </w:r>
      <w:r w:rsidR="003D4A58" w:rsidRPr="0008178C">
        <w:rPr>
          <w:rFonts w:ascii="Times New Roman" w:hAnsi="Times New Roman"/>
          <w:sz w:val="24"/>
          <w:szCs w:val="24"/>
        </w:rPr>
        <w:t>,</w:t>
      </w:r>
      <w:r w:rsidR="00307199" w:rsidRPr="0008178C">
        <w:rPr>
          <w:rFonts w:ascii="Times New Roman" w:hAnsi="Times New Roman"/>
          <w:sz w:val="24"/>
          <w:szCs w:val="24"/>
        </w:rPr>
        <w:t>431 girls and 5</w:t>
      </w:r>
      <w:r w:rsidR="003D4A58" w:rsidRPr="0008178C">
        <w:rPr>
          <w:rFonts w:ascii="Times New Roman" w:hAnsi="Times New Roman"/>
          <w:sz w:val="24"/>
          <w:szCs w:val="24"/>
        </w:rPr>
        <w:t>,</w:t>
      </w:r>
      <w:r w:rsidR="00307199" w:rsidRPr="0008178C">
        <w:rPr>
          <w:rFonts w:ascii="Times New Roman" w:hAnsi="Times New Roman"/>
          <w:sz w:val="24"/>
          <w:szCs w:val="24"/>
        </w:rPr>
        <w:t>106</w:t>
      </w:r>
      <w:r w:rsidR="003D4A58" w:rsidRPr="0008178C">
        <w:rPr>
          <w:rFonts w:ascii="Times New Roman" w:hAnsi="Times New Roman"/>
          <w:sz w:val="24"/>
          <w:szCs w:val="24"/>
        </w:rPr>
        <w:t>,</w:t>
      </w:r>
      <w:r w:rsidR="00307199" w:rsidRPr="0008178C">
        <w:rPr>
          <w:rFonts w:ascii="Times New Roman" w:hAnsi="Times New Roman"/>
          <w:sz w:val="24"/>
          <w:szCs w:val="24"/>
        </w:rPr>
        <w:t>315</w:t>
      </w:r>
      <w:r w:rsidR="003D4A58" w:rsidRPr="0008178C">
        <w:rPr>
          <w:rFonts w:ascii="Times New Roman" w:hAnsi="Times New Roman"/>
          <w:sz w:val="24"/>
          <w:szCs w:val="24"/>
        </w:rPr>
        <w:t xml:space="preserve"> boys</w:t>
      </w:r>
      <w:r w:rsidR="003D4A58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 with </w:t>
      </w:r>
      <w:r w:rsidR="00307199" w:rsidRPr="0008178C">
        <w:rPr>
          <w:rFonts w:ascii="Times New Roman" w:hAnsi="Times New Roman"/>
          <w:bCs/>
          <w:sz w:val="24"/>
          <w:szCs w:val="24"/>
          <w:lang w:val="en-GB"/>
        </w:rPr>
        <w:t>3,019,866 classrooms</w:t>
      </w:r>
      <w:r w:rsidR="003D4A58" w:rsidRPr="0008178C">
        <w:rPr>
          <w:rFonts w:ascii="Times New Roman" w:hAnsi="Times New Roman"/>
          <w:bCs/>
          <w:sz w:val="24"/>
          <w:szCs w:val="24"/>
          <w:lang w:val="en-GB"/>
        </w:rPr>
        <w:t>.</w:t>
      </w:r>
      <w:r w:rsidR="00307199" w:rsidRPr="0008178C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="0008178C" w:rsidRPr="0008178C">
        <w:rPr>
          <w:rFonts w:ascii="Times New Roman" w:hAnsi="Times New Roman"/>
          <w:bCs/>
          <w:sz w:val="24"/>
          <w:szCs w:val="24"/>
          <w:lang w:val="en-GB"/>
        </w:rPr>
        <w:t xml:space="preserve">The Pupil – Teacher ratio is averagely at 1:53 in primary schools. </w:t>
      </w:r>
      <w:r w:rsidRPr="000F54C0">
        <w:rPr>
          <w:rFonts w:ascii="Times New Roman" w:eastAsia="Times New Roman" w:hAnsi="Times New Roman"/>
          <w:color w:val="000000"/>
          <w:sz w:val="24"/>
          <w:szCs w:val="24"/>
        </w:rPr>
        <w:t>The FPE annual education bill is in excess of Ksh.13 billion and this is currently being met solely by the National Treasury.</w:t>
      </w:r>
      <w:r w:rsidR="00456D3E" w:rsidRPr="0008178C">
        <w:rPr>
          <w:rFonts w:ascii="Times New Roman" w:hAnsi="Times New Roman"/>
          <w:b/>
          <w:sz w:val="24"/>
          <w:szCs w:val="24"/>
        </w:rPr>
        <w:t xml:space="preserve"> </w:t>
      </w:r>
    </w:p>
    <w:p w:rsidR="000F54C0" w:rsidRPr="000F54C0" w:rsidRDefault="00307199" w:rsidP="0008178C">
      <w:pPr>
        <w:spacing w:after="160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08178C">
        <w:rPr>
          <w:rFonts w:ascii="Times New Roman" w:eastAsia="Times New Roman" w:hAnsi="Times New Roman"/>
          <w:b/>
          <w:sz w:val="24"/>
          <w:szCs w:val="24"/>
        </w:rPr>
        <w:t>Secondary Education</w:t>
      </w:r>
    </w:p>
    <w:p w:rsidR="0095319B" w:rsidRPr="000F54C0" w:rsidRDefault="000F54C0" w:rsidP="00AE0976">
      <w:pPr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0F54C0">
        <w:rPr>
          <w:rFonts w:ascii="Times New Roman" w:eastAsia="Times New Roman" w:hAnsi="Times New Roman"/>
          <w:color w:val="000000"/>
          <w:sz w:val="24"/>
          <w:szCs w:val="24"/>
        </w:rPr>
        <w:t>At the secondary level, projections suggested a positive overall gender parity, with a projected higher number of boys than girls in the National, Special, Extra –County and County schools, and more girls than boys in the Sub –County and Private schools</w:t>
      </w:r>
      <w:r w:rsidR="003D4A58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2567E7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Majority of the schools were owned by the Government.  </w:t>
      </w:r>
      <w:r w:rsidR="003D4A58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At gender </w:t>
      </w:r>
      <w:r w:rsidR="002567E7" w:rsidRPr="0008178C">
        <w:rPr>
          <w:rFonts w:ascii="Times New Roman" w:eastAsia="Times New Roman" w:hAnsi="Times New Roman"/>
          <w:color w:val="000000"/>
          <w:sz w:val="24"/>
          <w:szCs w:val="24"/>
        </w:rPr>
        <w:t>enrolment was as follows;</w:t>
      </w:r>
      <w:r w:rsidR="003D4A58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 2,009,698 boys and 2,030,808 girls</w:t>
      </w:r>
      <w:r w:rsidR="002567E7" w:rsidRPr="0008178C">
        <w:rPr>
          <w:rFonts w:ascii="Times New Roman" w:eastAsia="Times New Roman" w:hAnsi="Times New Roman"/>
          <w:color w:val="000000"/>
          <w:sz w:val="24"/>
          <w:szCs w:val="24"/>
        </w:rPr>
        <w:t>. There were</w:t>
      </w:r>
      <w:r w:rsidR="003D4A58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D4A58" w:rsidRPr="0008178C">
        <w:rPr>
          <w:rFonts w:ascii="Times New Roman" w:hAnsi="Times New Roman"/>
          <w:sz w:val="24"/>
          <w:szCs w:val="24"/>
          <w:lang w:val="en-GB"/>
        </w:rPr>
        <w:t>8,734</w:t>
      </w:r>
      <w:r w:rsidR="003D4A58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 secondary schools</w:t>
      </w:r>
      <w:r w:rsidR="002567E7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 in the country</w:t>
      </w:r>
      <w:r w:rsidR="003D4A58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2567E7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Pr="000F54C0">
        <w:rPr>
          <w:rFonts w:ascii="Times New Roman" w:eastAsia="Times New Roman" w:hAnsi="Times New Roman"/>
          <w:color w:val="000000"/>
          <w:sz w:val="24"/>
          <w:szCs w:val="24"/>
        </w:rPr>
        <w:t xml:space="preserve">enrolment increased from </w:t>
      </w:r>
      <w:r w:rsidR="00456D3E" w:rsidRPr="0008178C">
        <w:rPr>
          <w:rFonts w:ascii="Times New Roman" w:eastAsia="Times New Roman" w:hAnsi="Times New Roman"/>
          <w:color w:val="000000"/>
          <w:sz w:val="24"/>
          <w:szCs w:val="24"/>
        </w:rPr>
        <w:t xml:space="preserve">2,331,697 </w:t>
      </w:r>
      <w:r w:rsidRPr="000F54C0">
        <w:rPr>
          <w:rFonts w:ascii="Times New Roman" w:eastAsia="Times New Roman" w:hAnsi="Times New Roman"/>
          <w:color w:val="000000"/>
          <w:sz w:val="24"/>
          <w:szCs w:val="24"/>
        </w:rPr>
        <w:t>million in 20</w:t>
      </w:r>
      <w:r w:rsidR="00456D3E" w:rsidRPr="0008178C">
        <w:rPr>
          <w:rFonts w:ascii="Times New Roman" w:eastAsia="Times New Roman" w:hAnsi="Times New Roman"/>
          <w:color w:val="000000"/>
          <w:sz w:val="24"/>
          <w:szCs w:val="24"/>
        </w:rPr>
        <w:t>14</w:t>
      </w:r>
      <w:r w:rsidRPr="000F54C0">
        <w:rPr>
          <w:rFonts w:ascii="Times New Roman" w:eastAsia="Times New Roman" w:hAnsi="Times New Roman"/>
          <w:color w:val="000000"/>
          <w:sz w:val="24"/>
          <w:szCs w:val="24"/>
        </w:rPr>
        <w:t xml:space="preserve"> to </w:t>
      </w:r>
      <w:r w:rsidR="00456D3E" w:rsidRPr="0008178C">
        <w:rPr>
          <w:rFonts w:ascii="Times New Roman" w:eastAsia="Times New Roman" w:hAnsi="Times New Roman"/>
          <w:color w:val="000000"/>
          <w:sz w:val="24"/>
          <w:szCs w:val="24"/>
        </w:rPr>
        <w:t>4,040,506</w:t>
      </w:r>
      <w:r w:rsidRPr="000F54C0">
        <w:rPr>
          <w:rFonts w:ascii="Times New Roman" w:eastAsia="Times New Roman" w:hAnsi="Times New Roman"/>
          <w:color w:val="000000"/>
          <w:sz w:val="24"/>
          <w:szCs w:val="24"/>
        </w:rPr>
        <w:t xml:space="preserve"> in 201</w:t>
      </w:r>
      <w:r w:rsidR="002567E7" w:rsidRPr="0008178C">
        <w:rPr>
          <w:rFonts w:ascii="Times New Roman" w:eastAsia="Times New Roman" w:hAnsi="Times New Roman"/>
          <w:color w:val="000000"/>
          <w:sz w:val="24"/>
          <w:szCs w:val="24"/>
        </w:rPr>
        <w:t>6</w:t>
      </w:r>
      <w:r w:rsidRPr="000F54C0">
        <w:rPr>
          <w:rFonts w:ascii="Times New Roman" w:eastAsia="Times New Roman" w:hAnsi="Times New Roman"/>
          <w:color w:val="000000"/>
          <w:sz w:val="24"/>
          <w:szCs w:val="24"/>
        </w:rPr>
        <w:t xml:space="preserve"> due to government interventions, which included subsidized secondary education.</w:t>
      </w:r>
      <w:r w:rsidRPr="0008178C">
        <w:rPr>
          <w:rFonts w:ascii="Times New Roman" w:hAnsi="Times New Roman"/>
          <w:b/>
          <w:sz w:val="24"/>
          <w:szCs w:val="24"/>
        </w:rPr>
        <w:t xml:space="preserve"> </w:t>
      </w:r>
      <w:r w:rsidR="00164638" w:rsidRPr="0008178C">
        <w:rPr>
          <w:rFonts w:ascii="Times New Roman" w:hAnsi="Times New Roman"/>
          <w:color w:val="000000"/>
          <w:sz w:val="24"/>
          <w:szCs w:val="24"/>
        </w:rPr>
        <w:t xml:space="preserve">The teacher – pupil ratio was averagely at1:30 </w:t>
      </w:r>
    </w:p>
    <w:p w:rsidR="0095319B" w:rsidRPr="0008178C" w:rsidRDefault="0095319B" w:rsidP="00AE0976">
      <w:pPr>
        <w:tabs>
          <w:tab w:val="left" w:pos="9000"/>
        </w:tabs>
        <w:spacing w:after="0"/>
        <w:ind w:left="360"/>
        <w:rPr>
          <w:rFonts w:ascii="Times New Roman" w:hAnsi="Times New Roman"/>
          <w:b/>
          <w:sz w:val="24"/>
          <w:szCs w:val="24"/>
          <w:lang w:val="en-NZ"/>
        </w:rPr>
      </w:pPr>
      <w:r w:rsidRPr="0008178C">
        <w:rPr>
          <w:rFonts w:ascii="Times New Roman" w:hAnsi="Times New Roman"/>
          <w:b/>
          <w:sz w:val="24"/>
          <w:szCs w:val="24"/>
          <w:lang w:val="en-NZ"/>
        </w:rPr>
        <w:t>TVET EDUCATION</w:t>
      </w:r>
    </w:p>
    <w:p w:rsidR="000F54C0" w:rsidRPr="004A74D5" w:rsidRDefault="0095319B" w:rsidP="00AE0976">
      <w:pPr>
        <w:spacing w:before="100" w:after="0"/>
        <w:contextualSpacing/>
        <w:rPr>
          <w:rFonts w:ascii="Times New Roman" w:hAnsi="Times New Roman"/>
          <w:sz w:val="24"/>
          <w:szCs w:val="24"/>
          <w:lang w:val="en-NZ"/>
        </w:rPr>
      </w:pPr>
      <w:r w:rsidRPr="0008178C">
        <w:rPr>
          <w:rFonts w:ascii="Times New Roman" w:eastAsia="Times New Roman" w:hAnsi="Times New Roman"/>
          <w:color w:val="000000"/>
          <w:sz w:val="24"/>
          <w:szCs w:val="24"/>
        </w:rPr>
        <w:t>TVET training sector in Kenya</w:t>
      </w:r>
      <w:r w:rsidR="004A74D5">
        <w:rPr>
          <w:rFonts w:ascii="Times New Roman" w:eastAsia="Times New Roman" w:hAnsi="Times New Roman"/>
          <w:color w:val="000000"/>
          <w:sz w:val="24"/>
          <w:szCs w:val="24"/>
        </w:rPr>
        <w:t xml:space="preserve"> focuses on four thematic areas thus; </w:t>
      </w:r>
      <w:r w:rsidRPr="004A74D5">
        <w:rPr>
          <w:rFonts w:ascii="Times New Roman" w:eastAsia="Times New Roman" w:hAnsi="Times New Roman"/>
          <w:color w:val="000000"/>
          <w:sz w:val="24"/>
          <w:szCs w:val="24"/>
        </w:rPr>
        <w:t>Access and Equity in TVET</w:t>
      </w:r>
      <w:r w:rsidR="004A74D5" w:rsidRPr="004A74D5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4A74D5">
        <w:rPr>
          <w:rFonts w:ascii="Times New Roman" w:eastAsia="Times New Roman" w:hAnsi="Times New Roman"/>
          <w:color w:val="000000"/>
          <w:sz w:val="24"/>
          <w:szCs w:val="24"/>
        </w:rPr>
        <w:t>Quality and relevance in TVET</w:t>
      </w:r>
      <w:r w:rsidR="004A74D5" w:rsidRPr="004A74D5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4A74D5">
        <w:rPr>
          <w:rFonts w:ascii="Times New Roman" w:eastAsia="Times New Roman" w:hAnsi="Times New Roman"/>
          <w:color w:val="000000"/>
          <w:sz w:val="24"/>
          <w:szCs w:val="24"/>
        </w:rPr>
        <w:t>Governance and Management in TVET</w:t>
      </w:r>
      <w:r w:rsidR="004A74D5" w:rsidRPr="004A74D5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4A74D5">
        <w:rPr>
          <w:rFonts w:ascii="Times New Roman" w:eastAsia="Times New Roman" w:hAnsi="Times New Roman"/>
          <w:color w:val="000000"/>
          <w:sz w:val="24"/>
          <w:szCs w:val="24"/>
        </w:rPr>
        <w:t>ICT integration in TVET</w:t>
      </w:r>
      <w:r w:rsidR="004A74D5" w:rsidRPr="004A74D5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0F54C0" w:rsidRPr="004A74D5">
        <w:rPr>
          <w:rFonts w:ascii="Times New Roman" w:hAnsi="Times New Roman"/>
          <w:sz w:val="24"/>
          <w:szCs w:val="24"/>
          <w:lang w:val="en-NZ"/>
        </w:rPr>
        <w:t xml:space="preserve">Training opportunities in the public TVET </w:t>
      </w:r>
      <w:r w:rsidRPr="004A74D5">
        <w:rPr>
          <w:rFonts w:ascii="Times New Roman" w:hAnsi="Times New Roman"/>
          <w:sz w:val="24"/>
          <w:szCs w:val="24"/>
          <w:lang w:val="en-NZ"/>
        </w:rPr>
        <w:t>institutions increased</w:t>
      </w:r>
      <w:r w:rsidR="000F54C0" w:rsidRPr="004A74D5">
        <w:rPr>
          <w:rFonts w:ascii="Times New Roman" w:hAnsi="Times New Roman"/>
          <w:sz w:val="24"/>
          <w:szCs w:val="24"/>
          <w:lang w:val="en-NZ"/>
        </w:rPr>
        <w:t xml:space="preserve"> by </w:t>
      </w:r>
      <w:r w:rsidR="000F54C0" w:rsidRPr="004A74D5">
        <w:rPr>
          <w:rFonts w:ascii="Times New Roman" w:hAnsi="Times New Roman"/>
          <w:sz w:val="24"/>
          <w:szCs w:val="24"/>
        </w:rPr>
        <w:t>40,963</w:t>
      </w:r>
      <w:r w:rsidR="000F54C0" w:rsidRPr="004A74D5">
        <w:rPr>
          <w:rFonts w:ascii="Times New Roman" w:hAnsi="Times New Roman"/>
          <w:sz w:val="24"/>
          <w:szCs w:val="24"/>
          <w:lang w:val="en-NZ"/>
        </w:rPr>
        <w:t xml:space="preserve"> due to increase in the number of institutions </w:t>
      </w:r>
    </w:p>
    <w:p w:rsidR="000F54C0" w:rsidRDefault="00FB2CD8" w:rsidP="00AE0976">
      <w:pPr>
        <w:tabs>
          <w:tab w:val="left" w:pos="900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8178C">
        <w:rPr>
          <w:rFonts w:ascii="Times New Roman" w:eastAsia="Times New Roman" w:hAnsi="Times New Roman"/>
          <w:sz w:val="24"/>
          <w:szCs w:val="24"/>
        </w:rPr>
        <w:t xml:space="preserve">In this regard eight </w:t>
      </w:r>
      <w:r w:rsidRPr="0008178C">
        <w:rPr>
          <w:rFonts w:ascii="Times New Roman" w:hAnsi="Times New Roman"/>
          <w:sz w:val="24"/>
          <w:szCs w:val="24"/>
        </w:rPr>
        <w:t xml:space="preserve">(8) </w:t>
      </w:r>
      <w:r w:rsidRPr="0008178C">
        <w:rPr>
          <w:rFonts w:ascii="Times New Roman" w:eastAsia="Times New Roman" w:hAnsi="Times New Roman"/>
          <w:sz w:val="24"/>
          <w:szCs w:val="24"/>
        </w:rPr>
        <w:t>TVET institutions were upgraded to national polytechnic status to add to the current two. Hence the total number of National Polytechnics increased from two (2) to ten (10)</w:t>
      </w:r>
      <w:r w:rsidR="00EA3B33" w:rsidRPr="0008178C">
        <w:rPr>
          <w:rFonts w:ascii="Times New Roman" w:eastAsia="Times New Roman" w:hAnsi="Times New Roman"/>
          <w:sz w:val="24"/>
          <w:szCs w:val="24"/>
        </w:rPr>
        <w:t xml:space="preserve"> </w:t>
      </w:r>
      <w:r w:rsidR="00501D51" w:rsidRPr="0008178C">
        <w:rPr>
          <w:rFonts w:ascii="Times New Roman" w:eastAsia="Times New Roman" w:hAnsi="Times New Roman"/>
          <w:sz w:val="24"/>
          <w:szCs w:val="24"/>
        </w:rPr>
        <w:t>and the other public</w:t>
      </w:r>
      <w:r w:rsidR="00501D51" w:rsidRPr="0008178C">
        <w:rPr>
          <w:rFonts w:ascii="Times New Roman" w:hAnsi="Times New Roman"/>
          <w:sz w:val="24"/>
          <w:szCs w:val="24"/>
        </w:rPr>
        <w:t xml:space="preserve"> TVET institutions rose from 41 in 2012 to 63 in 2016</w:t>
      </w:r>
      <w:r w:rsidR="00501D51" w:rsidRPr="0008178C">
        <w:rPr>
          <w:rFonts w:ascii="Times New Roman" w:eastAsia="Times New Roman" w:hAnsi="Times New Roman"/>
          <w:sz w:val="24"/>
          <w:szCs w:val="24"/>
        </w:rPr>
        <w:t>. As a result of this expansion, the total enrolment in the said public TVET institutions increased gradually from 35,218 in 2010 to 56,886 in 2016</w:t>
      </w:r>
      <w:r w:rsidR="00AE097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B3053" w:rsidRPr="00AB3053" w:rsidRDefault="00AB3053" w:rsidP="00AE0976">
      <w:pPr>
        <w:tabs>
          <w:tab w:val="left" w:pos="900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B3053">
        <w:rPr>
          <w:rFonts w:ascii="Times New Roman" w:eastAsia="Times New Roman" w:hAnsi="Times New Roman"/>
          <w:b/>
          <w:sz w:val="24"/>
          <w:szCs w:val="24"/>
        </w:rPr>
        <w:t>University Education</w:t>
      </w:r>
    </w:p>
    <w:p w:rsidR="00AF050D" w:rsidRPr="00AF050D" w:rsidRDefault="00ED0D6D" w:rsidP="00AE0976">
      <w:pPr>
        <w:tabs>
          <w:tab w:val="left" w:pos="9000"/>
        </w:tabs>
        <w:jc w:val="both"/>
        <w:rPr>
          <w:rFonts w:asciiTheme="minorHAnsi" w:eastAsiaTheme="minorHAnsi" w:hAnsiTheme="minorHAnsi" w:cstheme="minorBidi"/>
          <w:b/>
          <w:szCs w:val="24"/>
        </w:rPr>
      </w:pPr>
      <w:r w:rsidRPr="00AB3053">
        <w:rPr>
          <w:rFonts w:ascii="Times New Roman" w:hAnsi="Times New Roman"/>
          <w:sz w:val="24"/>
          <w:szCs w:val="24"/>
        </w:rPr>
        <w:t>Access to University Education in Kenya</w:t>
      </w:r>
      <w:r w:rsidR="004A74D5" w:rsidRPr="00AB3053">
        <w:rPr>
          <w:rFonts w:ascii="Times New Roman" w:hAnsi="Times New Roman"/>
          <w:sz w:val="24"/>
          <w:szCs w:val="24"/>
        </w:rPr>
        <w:t>: there are 71 universities with 538,343</w:t>
      </w:r>
      <w:r w:rsidR="00AB3053" w:rsidRPr="00AB3053">
        <w:rPr>
          <w:rFonts w:ascii="Times New Roman" w:hAnsi="Times New Roman"/>
          <w:sz w:val="24"/>
          <w:szCs w:val="24"/>
        </w:rPr>
        <w:t xml:space="preserve"> students in 2016 </w:t>
      </w:r>
      <w:proofErr w:type="gramStart"/>
      <w:r w:rsidR="00AB3053" w:rsidRPr="00AB3053">
        <w:rPr>
          <w:rFonts w:ascii="Times New Roman" w:hAnsi="Times New Roman"/>
          <w:sz w:val="24"/>
          <w:szCs w:val="24"/>
        </w:rPr>
        <w:t>from  324,560</w:t>
      </w:r>
      <w:proofErr w:type="gramEnd"/>
      <w:r w:rsidR="00AB3053" w:rsidRPr="00AB3053">
        <w:rPr>
          <w:rFonts w:ascii="Times New Roman" w:hAnsi="Times New Roman"/>
          <w:sz w:val="24"/>
          <w:szCs w:val="24"/>
        </w:rPr>
        <w:t xml:space="preserve"> students in 2014. Females are 41% while males are 51%</w:t>
      </w:r>
      <w:r w:rsidR="00AE0976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AF050D" w:rsidRPr="00AF050D" w:rsidRDefault="00AF050D" w:rsidP="009A7384">
      <w:pPr>
        <w:rPr>
          <w:rFonts w:ascii="Times New Roman" w:hAnsi="Times New Roman"/>
          <w:b/>
          <w:sz w:val="24"/>
          <w:szCs w:val="24"/>
        </w:rPr>
      </w:pPr>
    </w:p>
    <w:sectPr w:rsidR="00AF050D" w:rsidRPr="00AF050D" w:rsidSect="004A74D5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trangelo Edessa">
    <w:panose1 w:val="030806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D06"/>
    <w:multiLevelType w:val="hybridMultilevel"/>
    <w:tmpl w:val="00004DB7"/>
    <w:lvl w:ilvl="0" w:tplc="0000154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460325B8"/>
    <w:multiLevelType w:val="hybridMultilevel"/>
    <w:tmpl w:val="91281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7675F"/>
    <w:multiLevelType w:val="hybridMultilevel"/>
    <w:tmpl w:val="0E80B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E7D03"/>
    <w:multiLevelType w:val="hybridMultilevel"/>
    <w:tmpl w:val="4AB0CAFA"/>
    <w:lvl w:ilvl="0" w:tplc="2B1676F0">
      <w:start w:val="1"/>
      <w:numFmt w:val="lowerRoman"/>
      <w:lvlText w:val="(%1)"/>
      <w:lvlJc w:val="left"/>
      <w:pPr>
        <w:ind w:left="720" w:hanging="360"/>
      </w:pPr>
      <w:rPr>
        <w:rFonts w:ascii="Estrangelo Edessa" w:hAnsi="Estrangelo Edessa" w:cs="Estrangelo Edess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E0E03"/>
    <w:multiLevelType w:val="hybridMultilevel"/>
    <w:tmpl w:val="80E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10"/>
    <w:rsid w:val="0008178C"/>
    <w:rsid w:val="000F54C0"/>
    <w:rsid w:val="00164638"/>
    <w:rsid w:val="0024222E"/>
    <w:rsid w:val="002567E7"/>
    <w:rsid w:val="00292E59"/>
    <w:rsid w:val="00297E39"/>
    <w:rsid w:val="00307199"/>
    <w:rsid w:val="003D4A58"/>
    <w:rsid w:val="00456D3E"/>
    <w:rsid w:val="004A74D5"/>
    <w:rsid w:val="00501D51"/>
    <w:rsid w:val="005077E7"/>
    <w:rsid w:val="00576210"/>
    <w:rsid w:val="00655D7A"/>
    <w:rsid w:val="00660063"/>
    <w:rsid w:val="006946BC"/>
    <w:rsid w:val="006A4341"/>
    <w:rsid w:val="007F2A66"/>
    <w:rsid w:val="00874BD2"/>
    <w:rsid w:val="0095319B"/>
    <w:rsid w:val="009A1063"/>
    <w:rsid w:val="009A7384"/>
    <w:rsid w:val="00A30153"/>
    <w:rsid w:val="00AB3053"/>
    <w:rsid w:val="00AE0976"/>
    <w:rsid w:val="00AF050D"/>
    <w:rsid w:val="00B00699"/>
    <w:rsid w:val="00B92C13"/>
    <w:rsid w:val="00E35B3D"/>
    <w:rsid w:val="00E8366C"/>
    <w:rsid w:val="00EA3B33"/>
    <w:rsid w:val="00ED0D6D"/>
    <w:rsid w:val="00F87122"/>
    <w:rsid w:val="00FB2CD8"/>
    <w:rsid w:val="00FB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D6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D6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2016-10-24T07:37:00Z</dcterms:created>
  <dcterms:modified xsi:type="dcterms:W3CDTF">2016-10-24T09:40:00Z</dcterms:modified>
</cp:coreProperties>
</file>